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tbl>
      <w:tblPr>
        <w:tblStyle w:val="GlobalFund"/>
        <w:tblpPr w:leftFromText="181" w:rightFromText="181" w:vertAnchor="page" w:horzAnchor="page" w:tblpYSpec="top"/>
        <w:tblOverlap w:val="never"/>
        <w:tblW w:w="11901" w:type="dxa"/>
        <w:tblLayout w:type="fixed"/>
        <w:tblCellMar>
          <w:right w:w="0" w:type="dxa"/>
        </w:tblCellMar>
        <w:tblLook w:val="04A0" w:firstRow="1" w:lastRow="0" w:firstColumn="1" w:lastColumn="0" w:noHBand="0" w:noVBand="1"/>
      </w:tblPr>
      <w:tblGrid>
        <w:gridCol w:w="11901"/>
      </w:tblGrid>
      <w:tr w:rsidR="007043C7" w:rsidRPr="00B271DB" w14:paraId="33D35476" w14:textId="77777777" w:rsidTr="007F6CC2">
        <w:trPr>
          <w:cnfStyle w:val="100000000000" w:firstRow="1" w:lastRow="0" w:firstColumn="0" w:lastColumn="0" w:oddVBand="0" w:evenVBand="0" w:oddHBand="0" w:evenHBand="0" w:firstRowFirstColumn="0" w:firstRowLastColumn="0" w:lastRowFirstColumn="0" w:lastRowLastColumn="0"/>
          <w:trHeight w:hRule="exact" w:val="5103"/>
        </w:trPr>
        <w:tc>
          <w:tcPr>
            <w:tcW w:w="9638" w:type="dxa"/>
            <w:tcBorders>
              <w:bottom w:val="none" w:sz="0" w:space="0" w:color="auto"/>
            </w:tcBorders>
          </w:tcPr>
          <w:tbl>
            <w:tblPr>
              <w:tblStyle w:val="TableGrid"/>
              <w:tblpPr w:leftFromText="180" w:rightFromText="180" w:vertAnchor="text" w:horzAnchor="margin" w:tblpXSpec="center" w:tblpY="2284"/>
              <w:tblOverlap w:val="never"/>
              <w:tblW w:w="9298" w:type="dxa"/>
              <w:tblBorders>
                <w:top w:val="single" w:sz="6" w:space="0" w:color="1E1E1E" w:themeColor="background2"/>
                <w:left w:val="none" w:sz="0" w:space="0" w:color="auto"/>
                <w:bottom w:val="single" w:sz="6" w:space="0" w:color="1E1E1E" w:themeColor="background2"/>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298"/>
            </w:tblGrid>
            <w:tr w:rsidR="00AF19B0" w:rsidRPr="00B271DB" w14:paraId="3F26895E" w14:textId="77777777" w:rsidTr="009A6DE4">
              <w:tc>
                <w:tcPr>
                  <w:tcW w:w="9298" w:type="dxa"/>
                  <w:vAlign w:val="center"/>
                </w:tcPr>
                <w:p w14:paraId="6908ABDC" w14:textId="77777777" w:rsidR="00B175AC" w:rsidRPr="00B271DB" w:rsidRDefault="009A6DE4" w:rsidP="007364E8">
                  <w:pPr>
                    <w:pStyle w:val="CoverPageTitle"/>
                    <w:jc w:val="left"/>
                    <w:rPr>
                      <w:color w:val="003F72"/>
                    </w:rPr>
                  </w:pPr>
                  <w:r w:rsidRPr="00B271DB">
                    <w:rPr>
                      <w:color w:val="003F72"/>
                    </w:rPr>
                    <w:t>Funding Request</w:t>
                  </w:r>
                  <w:r w:rsidR="000E5BFC" w:rsidRPr="00B271DB">
                    <w:rPr>
                      <w:color w:val="003F72"/>
                    </w:rPr>
                    <w:t xml:space="preserve"> Form</w:t>
                  </w:r>
                </w:p>
                <w:p w14:paraId="0CB60D3D" w14:textId="3F435CB2" w:rsidR="00C11349" w:rsidRPr="00B271DB" w:rsidRDefault="00C11349" w:rsidP="000E5BFC">
                  <w:pPr>
                    <w:pStyle w:val="CoverPageTitle"/>
                    <w:rPr>
                      <w:color w:val="003F72"/>
                      <w:sz w:val="40"/>
                      <w:szCs w:val="40"/>
                    </w:rPr>
                  </w:pPr>
                  <w:r w:rsidRPr="00B271DB">
                    <w:rPr>
                      <w:color w:val="003F72"/>
                      <w:sz w:val="40"/>
                      <w:szCs w:val="40"/>
                    </w:rPr>
                    <w:t xml:space="preserve">Allocation </w:t>
                  </w:r>
                  <w:r w:rsidR="00AB6271">
                    <w:rPr>
                      <w:color w:val="003F72"/>
                      <w:sz w:val="40"/>
                      <w:szCs w:val="40"/>
                    </w:rPr>
                    <w:t>Period</w:t>
                  </w:r>
                  <w:r w:rsidRPr="00B271DB">
                    <w:rPr>
                      <w:color w:val="003F72"/>
                      <w:sz w:val="40"/>
                      <w:szCs w:val="40"/>
                    </w:rPr>
                    <w:t xml:space="preserve"> 2020-2022</w:t>
                  </w:r>
                </w:p>
              </w:tc>
            </w:tr>
          </w:tbl>
          <w:p w14:paraId="09786C6B" w14:textId="77777777" w:rsidR="00F84E3B" w:rsidRDefault="00F84E3B" w:rsidP="00197AE7">
            <w:pPr>
              <w:pStyle w:val="NormalNoSpace"/>
              <w:jc w:val="center"/>
              <w:rPr>
                <w:caps w:val="0"/>
              </w:rPr>
            </w:pPr>
          </w:p>
          <w:p w14:paraId="4470BB6E" w14:textId="55250D34" w:rsidR="007043C7" w:rsidRPr="00B271DB" w:rsidRDefault="00D2069F" w:rsidP="00197AE7">
            <w:pPr>
              <w:pStyle w:val="NormalNoSpace"/>
              <w:jc w:val="center"/>
              <w:rPr>
                <w:caps w:val="0"/>
              </w:rPr>
            </w:pPr>
            <w:r w:rsidRPr="00B271DB">
              <w:rPr>
                <w:noProof/>
              </w:rPr>
              <mc:AlternateContent>
                <mc:Choice Requires="wps">
                  <w:drawing>
                    <wp:anchor distT="0" distB="0" distL="114300" distR="114300" simplePos="0" relativeHeight="251658240" behindDoc="0" locked="0" layoutInCell="1" allowOverlap="1" wp14:anchorId="18AB035E" wp14:editId="3E357E70">
                      <wp:simplePos x="0" y="0"/>
                      <wp:positionH relativeFrom="margin">
                        <wp:align>right</wp:align>
                      </wp:positionH>
                      <wp:positionV relativeFrom="margin">
                        <wp:align>center</wp:align>
                      </wp:positionV>
                      <wp:extent cx="574040" cy="10899648"/>
                      <wp:effectExtent l="0" t="0" r="0" b="0"/>
                      <wp:wrapNone/>
                      <wp:docPr id="203" name="Rectangle 203"/>
                      <wp:cNvGraphicFramePr/>
                      <a:graphic xmlns:a="http://schemas.openxmlformats.org/drawingml/2006/main">
                        <a:graphicData uri="http://schemas.microsoft.com/office/word/2010/wordprocessingShape">
                          <wps:wsp>
                            <wps:cNvSpPr/>
                            <wps:spPr>
                              <a:xfrm>
                                <a:off x="0" y="0"/>
                                <a:ext cx="574040" cy="10899648"/>
                              </a:xfrm>
                              <a:prstGeom prst="rect">
                                <a:avLst/>
                              </a:prstGeom>
                              <a:solidFill>
                                <a:srgbClr val="003F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A9F123" w14:textId="47907CDC" w:rsidR="00C71542" w:rsidRPr="009F52F1" w:rsidRDefault="00C71542" w:rsidP="0086619D">
                                  <w:pPr>
                                    <w:jc w:val="center"/>
                                    <w:rPr>
                                      <w:color w:val="FFFFFF" w:themeColor="background1"/>
                                      <w:sz w:val="48"/>
                                      <w:szCs w:val="48"/>
                                    </w:rPr>
                                  </w:pPr>
                                  <w:r>
                                    <w:rPr>
                                      <w:color w:val="FFFFFF" w:themeColor="background1"/>
                                      <w:sz w:val="48"/>
                                      <w:szCs w:val="48"/>
                                    </w:rPr>
                                    <w:t>Tailored for Focused Portfolios</w:t>
                                  </w:r>
                                </w:p>
                              </w:txbxContent>
                            </wps:txbx>
                            <wps:bodyPr rot="0" spcFirstLastPara="0" vertOverflow="overflow" horzOverflow="overflow" vert="vert"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B035E" id="Rectangle 203" o:spid="_x0000_s1026" style="position:absolute;left:0;text-align:left;margin-left:-6pt;margin-top:0;width:45.2pt;height:858.25pt;z-index:251658240;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" fillcolor="#003f72" stroked="f" strokeweight="1pt">
                      <v:textbox style="layout-flow:vertical" inset=",14.4pt,8.64pt,18pt">
                        <w:txbxContent>
                          <w:p w14:paraId="44A9F123" w14:textId="47907CDC" w:rsidR="00C71542" w:rsidRPr="009F52F1" w:rsidRDefault="00C71542" w:rsidP="0086619D">
                            <w:pPr>
                              <w:jc w:val="center"/>
                              <w:rPr>
                                <w:color w:val="FFFFFF" w:themeColor="background1"/>
                                <w:sz w:val="48"/>
                                <w:szCs w:val="48"/>
                              </w:rPr>
                            </w:pPr>
                            <w:r>
                              <w:rPr>
                                <w:color w:val="FFFFFF" w:themeColor="background1"/>
                                <w:sz w:val="48"/>
                                <w:szCs w:val="48"/>
                              </w:rPr>
                              <w:t>Tailored for Focused Portfolios</w:t>
                            </w:r>
                          </w:p>
                        </w:txbxContent>
                      </v:textbox>
                      <w10:wrap anchorx="margin" anchory="margin"/>
                    </v:rect>
                  </w:pict>
                </mc:Fallback>
              </mc:AlternateContent>
            </w:r>
          </w:p>
        </w:tc>
      </w:tr>
    </w:tbl>
    <w:p w14:paraId="4D5C031D" w14:textId="77777777" w:rsidR="007043C7" w:rsidRPr="00B271DB" w:rsidRDefault="007043C7" w:rsidP="007043C7">
      <w:pPr>
        <w:pStyle w:val="Tiny"/>
      </w:pPr>
    </w:p>
    <w:p w14:paraId="5DF05DFA" w14:textId="77777777" w:rsidR="009A28E5" w:rsidRPr="00B271DB" w:rsidRDefault="009A28E5" w:rsidP="009A28E5"/>
    <w:p w14:paraId="695235FB" w14:textId="77777777" w:rsidR="009F52F1" w:rsidRPr="00B271DB" w:rsidRDefault="009F52F1" w:rsidP="009A28E5"/>
    <w:p w14:paraId="11EDC92F" w14:textId="77777777" w:rsidR="009F52F1" w:rsidRPr="00B271DB" w:rsidRDefault="009F52F1" w:rsidP="009A28E5"/>
    <w:p w14:paraId="6A4BD23C" w14:textId="77777777" w:rsidR="009F52F1" w:rsidRPr="00B271DB" w:rsidRDefault="009F52F1" w:rsidP="009A28E5"/>
    <w:p w14:paraId="79CD308B" w14:textId="77777777" w:rsidR="009F52F1" w:rsidRPr="00B271DB" w:rsidRDefault="009F52F1" w:rsidP="009A28E5"/>
    <w:p w14:paraId="4FCC4226" w14:textId="77777777" w:rsidR="009F52F1" w:rsidRPr="00B271DB" w:rsidRDefault="009F52F1" w:rsidP="009A28E5"/>
    <w:p w14:paraId="7FA09794" w14:textId="482F8E37" w:rsidR="001E4991" w:rsidRDefault="006D1A08" w:rsidP="00F5709E">
      <w:pPr>
        <w:spacing w:after="0"/>
        <w:rPr>
          <w:rFonts w:cs="Arial"/>
          <w:i/>
          <w:iCs/>
        </w:rPr>
      </w:pPr>
      <w:r>
        <w:rPr>
          <w:rFonts w:cs="Arial"/>
          <w:i/>
          <w:iCs/>
        </w:rPr>
        <w:t>R</w:t>
      </w:r>
      <w:r w:rsidR="00FA73DE" w:rsidRPr="00B271DB">
        <w:rPr>
          <w:rFonts w:cs="Arial"/>
          <w:i/>
          <w:iCs/>
        </w:rPr>
        <w:t xml:space="preserve">efer to the “Tailored </w:t>
      </w:r>
      <w:r w:rsidR="00975D66">
        <w:rPr>
          <w:rFonts w:cs="Arial"/>
          <w:i/>
          <w:iCs/>
        </w:rPr>
        <w:t>for</w:t>
      </w:r>
      <w:r w:rsidR="00FA73DE" w:rsidRPr="00B271DB">
        <w:rPr>
          <w:rFonts w:cs="Arial"/>
          <w:i/>
          <w:iCs/>
        </w:rPr>
        <w:t xml:space="preserve"> </w:t>
      </w:r>
      <w:r w:rsidR="00E244B4">
        <w:rPr>
          <w:rFonts w:cs="Arial"/>
          <w:i/>
          <w:iCs/>
        </w:rPr>
        <w:t>Focused Portfolios</w:t>
      </w:r>
      <w:r w:rsidR="00FA73DE" w:rsidRPr="00B271DB">
        <w:rPr>
          <w:rFonts w:cs="Arial"/>
          <w:i/>
          <w:iCs/>
        </w:rPr>
        <w:t xml:space="preserve">” </w:t>
      </w:r>
      <w:r w:rsidR="00F112AD" w:rsidRPr="00B271DB">
        <w:rPr>
          <w:rFonts w:cs="Arial"/>
          <w:i/>
          <w:iCs/>
        </w:rPr>
        <w:t xml:space="preserve">Instructions </w:t>
      </w:r>
      <w:r w:rsidR="00FA73DE" w:rsidRPr="00B271DB">
        <w:rPr>
          <w:rFonts w:cs="Arial"/>
          <w:i/>
          <w:iCs/>
        </w:rPr>
        <w:t xml:space="preserve">to complete this </w:t>
      </w:r>
      <w:r w:rsidR="005E5FAA">
        <w:rPr>
          <w:rFonts w:cs="Arial"/>
          <w:i/>
          <w:iCs/>
        </w:rPr>
        <w:t>f</w:t>
      </w:r>
      <w:r w:rsidR="00FA73DE" w:rsidRPr="00B271DB">
        <w:rPr>
          <w:rFonts w:cs="Arial"/>
          <w:i/>
          <w:iCs/>
        </w:rPr>
        <w:t>orm.</w:t>
      </w:r>
    </w:p>
    <w:p w14:paraId="636FB396" w14:textId="77777777" w:rsidR="00F5709E" w:rsidRPr="00701406" w:rsidRDefault="00F5709E" w:rsidP="00F5709E">
      <w:pPr>
        <w:spacing w:after="0"/>
        <w:rPr>
          <w:rFonts w:cs="Arial"/>
          <w:i/>
          <w:iCs/>
        </w:rPr>
      </w:pPr>
    </w:p>
    <w:p w14:paraId="3A4DF958" w14:textId="77777777" w:rsidR="00253CE0" w:rsidRDefault="00253CE0" w:rsidP="00253CE0">
      <w:pPr>
        <w:spacing w:after="0"/>
        <w:rPr>
          <w:rStyle w:val="Heading1Char"/>
          <w:color w:val="1E1E1E" w:themeColor="background2"/>
        </w:rPr>
      </w:pPr>
      <w:r>
        <w:rPr>
          <w:rStyle w:val="Heading1Char"/>
          <w:color w:val="1E1E1E" w:themeColor="background2"/>
        </w:rPr>
        <w:t>Summary Information</w:t>
      </w:r>
    </w:p>
    <w:tbl>
      <w:tblPr>
        <w:tblStyle w:val="TableGrid"/>
        <w:tblW w:w="0" w:type="auto"/>
        <w:tblLook w:val="04A0" w:firstRow="1" w:lastRow="0" w:firstColumn="1" w:lastColumn="0" w:noHBand="0" w:noVBand="1"/>
      </w:tblPr>
      <w:tblGrid>
        <w:gridCol w:w="4320"/>
        <w:gridCol w:w="5472"/>
      </w:tblGrid>
      <w:tr w:rsidR="00253CE0" w14:paraId="51326E24" w14:textId="77777777" w:rsidTr="00253CE0">
        <w:trPr>
          <w:trHeight w:val="461"/>
        </w:trPr>
        <w:tc>
          <w:tcPr>
            <w:tcW w:w="4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636A6D" w14:textId="77777777" w:rsidR="00253CE0" w:rsidRDefault="00253CE0">
            <w:pPr>
              <w:rPr>
                <w:b/>
                <w:lang w:val="en-GB"/>
              </w:rPr>
            </w:pPr>
            <w:bookmarkStart w:id="0" w:name="_Hlk15379458"/>
            <w:r>
              <w:rPr>
                <w:rFonts w:eastAsiaTheme="minorEastAsia"/>
                <w:b/>
                <w:bCs/>
                <w:lang w:val="en-GB"/>
              </w:rPr>
              <w:t>Country(s)</w:t>
            </w:r>
          </w:p>
        </w:tc>
        <w:tc>
          <w:tcPr>
            <w:tcW w:w="5472" w:type="dxa"/>
            <w:tcBorders>
              <w:top w:val="single" w:sz="4" w:space="0" w:color="auto"/>
              <w:left w:val="single" w:sz="4" w:space="0" w:color="auto"/>
              <w:bottom w:val="single" w:sz="4" w:space="0" w:color="auto"/>
              <w:right w:val="single" w:sz="4" w:space="0" w:color="auto"/>
            </w:tcBorders>
            <w:hideMark/>
          </w:tcPr>
          <w:p w14:paraId="6CF6C00C" w14:textId="77777777" w:rsidR="00253CE0" w:rsidRPr="00253CE0" w:rsidRDefault="00253CE0">
            <w:pPr>
              <w:rPr>
                <w:rFonts w:cs="Arial"/>
                <w:lang w:val="en-GB"/>
              </w:rPr>
            </w:pPr>
            <w:r w:rsidRPr="00253CE0">
              <w:rPr>
                <w:rFonts w:cs="Arial"/>
                <w:lang w:val="en-GB"/>
              </w:rPr>
              <w:t>Moldova</w:t>
            </w:r>
          </w:p>
        </w:tc>
      </w:tr>
      <w:tr w:rsidR="00253CE0" w14:paraId="37E9B1FB" w14:textId="77777777" w:rsidTr="00253CE0">
        <w:trPr>
          <w:trHeight w:val="461"/>
        </w:trPr>
        <w:tc>
          <w:tcPr>
            <w:tcW w:w="4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B83692" w14:textId="77777777" w:rsidR="00253CE0" w:rsidRDefault="00253CE0">
            <w:pPr>
              <w:rPr>
                <w:rFonts w:cs="Arial"/>
                <w:b/>
                <w:lang w:val="en-GB"/>
              </w:rPr>
            </w:pPr>
            <w:r>
              <w:rPr>
                <w:b/>
                <w:bCs/>
                <w:lang w:val="en-GB"/>
              </w:rPr>
              <w:t>Component(s)</w:t>
            </w:r>
          </w:p>
        </w:tc>
        <w:tc>
          <w:tcPr>
            <w:tcW w:w="5472" w:type="dxa"/>
            <w:tcBorders>
              <w:top w:val="single" w:sz="4" w:space="0" w:color="auto"/>
              <w:left w:val="single" w:sz="4" w:space="0" w:color="auto"/>
              <w:bottom w:val="single" w:sz="4" w:space="0" w:color="auto"/>
              <w:right w:val="single" w:sz="4" w:space="0" w:color="auto"/>
            </w:tcBorders>
            <w:hideMark/>
          </w:tcPr>
          <w:p w14:paraId="34122A33" w14:textId="77777777" w:rsidR="00253CE0" w:rsidRPr="00253CE0" w:rsidRDefault="00253CE0">
            <w:pPr>
              <w:rPr>
                <w:rFonts w:cs="Arial"/>
                <w:lang w:val="en-GB"/>
              </w:rPr>
            </w:pPr>
            <w:r w:rsidRPr="00253CE0">
              <w:rPr>
                <w:rFonts w:cs="Arial"/>
                <w:lang w:val="en-GB"/>
              </w:rPr>
              <w:t>TB, HIV</w:t>
            </w:r>
          </w:p>
        </w:tc>
      </w:tr>
      <w:tr w:rsidR="00253CE0" w14:paraId="08454682" w14:textId="77777777" w:rsidTr="00253CE0">
        <w:trPr>
          <w:trHeight w:val="461"/>
        </w:trPr>
        <w:tc>
          <w:tcPr>
            <w:tcW w:w="4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5DC0A7" w14:textId="77777777" w:rsidR="00253CE0" w:rsidRDefault="00253CE0">
            <w:pPr>
              <w:rPr>
                <w:rFonts w:cs="Arial"/>
                <w:b/>
                <w:lang w:val="en-GB"/>
              </w:rPr>
            </w:pPr>
            <w:r>
              <w:rPr>
                <w:b/>
                <w:bCs/>
                <w:lang w:val="en-GB"/>
              </w:rPr>
              <w:t>Planned grant(s) start date(s)</w:t>
            </w:r>
          </w:p>
        </w:tc>
        <w:tc>
          <w:tcPr>
            <w:tcW w:w="5472" w:type="dxa"/>
            <w:tcBorders>
              <w:top w:val="single" w:sz="4" w:space="0" w:color="auto"/>
              <w:left w:val="single" w:sz="4" w:space="0" w:color="auto"/>
              <w:bottom w:val="single" w:sz="4" w:space="0" w:color="auto"/>
              <w:right w:val="single" w:sz="4" w:space="0" w:color="auto"/>
            </w:tcBorders>
            <w:hideMark/>
          </w:tcPr>
          <w:p w14:paraId="76B491AB" w14:textId="77777777" w:rsidR="00253CE0" w:rsidRPr="00253CE0" w:rsidRDefault="00253CE0">
            <w:pPr>
              <w:rPr>
                <w:rFonts w:cs="Arial"/>
                <w:lang w:val="en-GB"/>
              </w:rPr>
            </w:pPr>
            <w:r w:rsidRPr="00253CE0">
              <w:rPr>
                <w:rFonts w:cs="Arial"/>
                <w:lang w:val="en-GB"/>
              </w:rPr>
              <w:t>January 1, 2021</w:t>
            </w:r>
          </w:p>
        </w:tc>
      </w:tr>
      <w:tr w:rsidR="00253CE0" w14:paraId="173913C6" w14:textId="77777777" w:rsidTr="00253CE0">
        <w:trPr>
          <w:trHeight w:val="461"/>
        </w:trPr>
        <w:tc>
          <w:tcPr>
            <w:tcW w:w="4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AEA697" w14:textId="77777777" w:rsidR="00253CE0" w:rsidRDefault="00253CE0">
            <w:pPr>
              <w:rPr>
                <w:rFonts w:cs="Arial"/>
                <w:b/>
                <w:lang w:val="en-GB"/>
              </w:rPr>
            </w:pPr>
            <w:r>
              <w:rPr>
                <w:b/>
                <w:bCs/>
                <w:lang w:val="en-GB"/>
              </w:rPr>
              <w:t>Planned grant(s) end date(s)</w:t>
            </w:r>
          </w:p>
        </w:tc>
        <w:tc>
          <w:tcPr>
            <w:tcW w:w="5472" w:type="dxa"/>
            <w:tcBorders>
              <w:top w:val="single" w:sz="4" w:space="0" w:color="auto"/>
              <w:left w:val="single" w:sz="4" w:space="0" w:color="auto"/>
              <w:bottom w:val="single" w:sz="4" w:space="0" w:color="auto"/>
              <w:right w:val="single" w:sz="4" w:space="0" w:color="auto"/>
            </w:tcBorders>
            <w:hideMark/>
          </w:tcPr>
          <w:p w14:paraId="1B39E5FE" w14:textId="77777777" w:rsidR="00253CE0" w:rsidRPr="00253CE0" w:rsidRDefault="00253CE0">
            <w:pPr>
              <w:rPr>
                <w:rFonts w:cs="Arial"/>
                <w:lang w:val="en-GB"/>
              </w:rPr>
            </w:pPr>
            <w:r w:rsidRPr="00253CE0">
              <w:rPr>
                <w:rFonts w:cs="Arial"/>
                <w:lang w:val="en-GB"/>
              </w:rPr>
              <w:t>December 31, 2023</w:t>
            </w:r>
          </w:p>
        </w:tc>
      </w:tr>
      <w:tr w:rsidR="00253CE0" w14:paraId="5929B74B" w14:textId="77777777" w:rsidTr="00253CE0">
        <w:trPr>
          <w:trHeight w:val="461"/>
        </w:trPr>
        <w:tc>
          <w:tcPr>
            <w:tcW w:w="4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B845E3" w14:textId="77777777" w:rsidR="00253CE0" w:rsidRDefault="00253CE0">
            <w:pPr>
              <w:rPr>
                <w:rFonts w:cs="Arial"/>
                <w:b/>
                <w:lang w:val="en-GB"/>
              </w:rPr>
            </w:pPr>
            <w:r>
              <w:rPr>
                <w:b/>
                <w:bCs/>
                <w:lang w:val="en-GB"/>
              </w:rPr>
              <w:t xml:space="preserve">Principal Recipient(s) </w:t>
            </w:r>
          </w:p>
        </w:tc>
        <w:tc>
          <w:tcPr>
            <w:tcW w:w="5472" w:type="dxa"/>
            <w:tcBorders>
              <w:top w:val="single" w:sz="4" w:space="0" w:color="auto"/>
              <w:left w:val="single" w:sz="4" w:space="0" w:color="auto"/>
              <w:bottom w:val="single" w:sz="4" w:space="0" w:color="auto"/>
              <w:right w:val="single" w:sz="4" w:space="0" w:color="auto"/>
            </w:tcBorders>
            <w:hideMark/>
          </w:tcPr>
          <w:p w14:paraId="4F5DB65C" w14:textId="77777777" w:rsidR="00253CE0" w:rsidRPr="00253CE0" w:rsidRDefault="00253CE0">
            <w:pPr>
              <w:rPr>
                <w:rFonts w:cs="Arial"/>
                <w:lang w:val="en-GB"/>
              </w:rPr>
            </w:pPr>
            <w:r w:rsidRPr="00253CE0">
              <w:rPr>
                <w:rFonts w:cs="Arial"/>
                <w:lang w:val="en-GB"/>
              </w:rPr>
              <w:t>PI CIMU HSP</w:t>
            </w:r>
          </w:p>
        </w:tc>
      </w:tr>
      <w:tr w:rsidR="00253CE0" w14:paraId="6A8DAEF0" w14:textId="77777777" w:rsidTr="00253CE0">
        <w:trPr>
          <w:trHeight w:val="461"/>
        </w:trPr>
        <w:tc>
          <w:tcPr>
            <w:tcW w:w="4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69AA37" w14:textId="77777777" w:rsidR="00253CE0" w:rsidRDefault="00253CE0">
            <w:pPr>
              <w:rPr>
                <w:rFonts w:cs="Arial"/>
                <w:b/>
                <w:lang w:val="en-GB"/>
              </w:rPr>
            </w:pPr>
            <w:r>
              <w:rPr>
                <w:b/>
                <w:bCs/>
                <w:lang w:val="en-GB"/>
              </w:rPr>
              <w:t>Currency</w:t>
            </w:r>
          </w:p>
        </w:tc>
        <w:tc>
          <w:tcPr>
            <w:tcW w:w="5472" w:type="dxa"/>
            <w:tcBorders>
              <w:top w:val="single" w:sz="4" w:space="0" w:color="auto"/>
              <w:left w:val="single" w:sz="4" w:space="0" w:color="auto"/>
              <w:bottom w:val="single" w:sz="4" w:space="0" w:color="auto"/>
              <w:right w:val="single" w:sz="4" w:space="0" w:color="auto"/>
            </w:tcBorders>
            <w:hideMark/>
          </w:tcPr>
          <w:p w14:paraId="60B3BE05" w14:textId="77777777" w:rsidR="00253CE0" w:rsidRPr="00253CE0" w:rsidRDefault="00253CE0">
            <w:pPr>
              <w:rPr>
                <w:rFonts w:cs="Arial"/>
                <w:lang w:val="en-GB"/>
              </w:rPr>
            </w:pPr>
            <w:r w:rsidRPr="00253CE0">
              <w:rPr>
                <w:rFonts w:cs="Arial"/>
                <w:lang w:val="en-GB"/>
              </w:rPr>
              <w:t>Euro</w:t>
            </w:r>
          </w:p>
        </w:tc>
      </w:tr>
      <w:tr w:rsidR="00253CE0" w14:paraId="27F4833F" w14:textId="77777777" w:rsidTr="00253CE0">
        <w:trPr>
          <w:trHeight w:val="461"/>
        </w:trPr>
        <w:tc>
          <w:tcPr>
            <w:tcW w:w="4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7D2752" w14:textId="77777777" w:rsidR="00253CE0" w:rsidRDefault="00253CE0">
            <w:pPr>
              <w:rPr>
                <w:rFonts w:cs="Arial"/>
                <w:b/>
                <w:lang w:val="en-GB"/>
              </w:rPr>
            </w:pPr>
            <w:r>
              <w:rPr>
                <w:b/>
                <w:bCs/>
                <w:lang w:val="en-GB"/>
              </w:rPr>
              <w:t>Allocation Funding Request Amount</w:t>
            </w:r>
          </w:p>
        </w:tc>
        <w:tc>
          <w:tcPr>
            <w:tcW w:w="5472" w:type="dxa"/>
            <w:tcBorders>
              <w:top w:val="single" w:sz="4" w:space="0" w:color="auto"/>
              <w:left w:val="single" w:sz="4" w:space="0" w:color="auto"/>
              <w:bottom w:val="single" w:sz="4" w:space="0" w:color="auto"/>
              <w:right w:val="single" w:sz="4" w:space="0" w:color="auto"/>
            </w:tcBorders>
            <w:hideMark/>
          </w:tcPr>
          <w:p w14:paraId="545A5179" w14:textId="77777777" w:rsidR="00253CE0" w:rsidRPr="00253CE0" w:rsidRDefault="00253CE0">
            <w:pPr>
              <w:rPr>
                <w:rFonts w:cs="Arial"/>
                <w:lang w:val="en-GB"/>
              </w:rPr>
            </w:pPr>
            <w:r w:rsidRPr="00253CE0">
              <w:rPr>
                <w:rFonts w:cs="Arial"/>
                <w:lang w:val="en-GB"/>
              </w:rPr>
              <w:t>18,061,192</w:t>
            </w:r>
          </w:p>
        </w:tc>
      </w:tr>
      <w:tr w:rsidR="00253CE0" w14:paraId="0C313F2A" w14:textId="77777777" w:rsidTr="00253CE0">
        <w:trPr>
          <w:trHeight w:val="461"/>
        </w:trPr>
        <w:tc>
          <w:tcPr>
            <w:tcW w:w="4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5BDE20" w14:textId="77777777" w:rsidR="00253CE0" w:rsidRDefault="00253CE0">
            <w:pPr>
              <w:rPr>
                <w:rFonts w:cs="Arial"/>
                <w:b/>
                <w:lang w:val="en-GB"/>
              </w:rPr>
            </w:pPr>
            <w:r>
              <w:rPr>
                <w:b/>
                <w:bCs/>
                <w:lang w:val="en-GB"/>
              </w:rPr>
              <w:t>Prioritized Above Allocation Request (PAAR) Amount</w:t>
            </w:r>
            <w:r>
              <w:rPr>
                <w:rStyle w:val="FootnoteReference"/>
                <w:b/>
                <w:bCs/>
              </w:rPr>
              <w:footnoteReference w:id="2"/>
            </w:r>
            <w:r>
              <w:rPr>
                <w:b/>
                <w:bCs/>
                <w:lang w:val="en-GB"/>
              </w:rPr>
              <w:t xml:space="preserve"> </w:t>
            </w:r>
          </w:p>
        </w:tc>
        <w:tc>
          <w:tcPr>
            <w:tcW w:w="5472" w:type="dxa"/>
            <w:tcBorders>
              <w:top w:val="single" w:sz="4" w:space="0" w:color="auto"/>
              <w:left w:val="single" w:sz="4" w:space="0" w:color="auto"/>
              <w:bottom w:val="single" w:sz="4" w:space="0" w:color="auto"/>
              <w:right w:val="single" w:sz="4" w:space="0" w:color="auto"/>
            </w:tcBorders>
            <w:hideMark/>
          </w:tcPr>
          <w:p w14:paraId="2D142F26" w14:textId="679F6920" w:rsidR="008376E7" w:rsidRPr="008376E7" w:rsidRDefault="008376E7" w:rsidP="008376E7">
            <w:pPr>
              <w:rPr>
                <w:rFonts w:cs="Arial"/>
                <w:lang w:val="en-GB"/>
              </w:rPr>
            </w:pPr>
            <w:r w:rsidRPr="008376E7">
              <w:rPr>
                <w:rFonts w:cs="Arial"/>
                <w:highlight w:val="yellow"/>
                <w:lang w:val="en-GB"/>
              </w:rPr>
              <w:t>4,231,590</w:t>
            </w:r>
          </w:p>
          <w:p w14:paraId="61657473" w14:textId="6BD6985C" w:rsidR="00253CE0" w:rsidRPr="00253CE0" w:rsidRDefault="00253CE0">
            <w:pPr>
              <w:rPr>
                <w:rFonts w:cs="Arial"/>
                <w:lang w:val="en-GB"/>
              </w:rPr>
            </w:pPr>
          </w:p>
        </w:tc>
      </w:tr>
      <w:tr w:rsidR="00253CE0" w14:paraId="1FF12BFF" w14:textId="77777777" w:rsidTr="00253CE0">
        <w:trPr>
          <w:trHeight w:val="461"/>
        </w:trPr>
        <w:tc>
          <w:tcPr>
            <w:tcW w:w="43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50EA80" w14:textId="77777777" w:rsidR="00253CE0" w:rsidRDefault="00253CE0">
            <w:pPr>
              <w:spacing w:after="0"/>
              <w:rPr>
                <w:b/>
                <w:bCs/>
                <w:lang w:val="en-GB"/>
              </w:rPr>
            </w:pPr>
            <w:r>
              <w:rPr>
                <w:b/>
                <w:bCs/>
                <w:lang w:val="en-GB"/>
              </w:rPr>
              <w:t>Matching Funds Request Amount</w:t>
            </w:r>
            <w:r>
              <w:rPr>
                <w:rStyle w:val="FootnoteReference"/>
                <w:b/>
                <w:bCs/>
              </w:rPr>
              <w:footnoteReference w:id="3"/>
            </w:r>
            <w:r>
              <w:rPr>
                <w:b/>
                <w:bCs/>
                <w:lang w:val="en-GB"/>
              </w:rPr>
              <w:t xml:space="preserve"> </w:t>
            </w:r>
          </w:p>
          <w:p w14:paraId="33410BD7" w14:textId="77777777" w:rsidR="00253CE0" w:rsidRDefault="00253CE0">
            <w:pPr>
              <w:rPr>
                <w:rFonts w:cs="Arial"/>
                <w:lang w:val="en-GB"/>
              </w:rPr>
            </w:pPr>
            <w:r>
              <w:rPr>
                <w:bCs/>
                <w:lang w:val="en-GB"/>
              </w:rPr>
              <w:t>(if applicable)</w:t>
            </w:r>
          </w:p>
        </w:tc>
        <w:tc>
          <w:tcPr>
            <w:tcW w:w="5472" w:type="dxa"/>
            <w:tcBorders>
              <w:top w:val="single" w:sz="4" w:space="0" w:color="auto"/>
              <w:left w:val="single" w:sz="4" w:space="0" w:color="auto"/>
              <w:bottom w:val="single" w:sz="4" w:space="0" w:color="auto"/>
              <w:right w:val="single" w:sz="4" w:space="0" w:color="auto"/>
            </w:tcBorders>
            <w:hideMark/>
          </w:tcPr>
          <w:p w14:paraId="616FFAB0" w14:textId="4F433784" w:rsidR="00253CE0" w:rsidRPr="00253CE0" w:rsidRDefault="00253CE0">
            <w:pPr>
              <w:rPr>
                <w:rFonts w:cs="Arial"/>
                <w:lang w:val="en-GB"/>
              </w:rPr>
            </w:pPr>
            <w:r w:rsidRPr="00253CE0">
              <w:rPr>
                <w:rFonts w:cs="Arial"/>
                <w:lang w:val="en-GB"/>
              </w:rPr>
              <w:t>N/A</w:t>
            </w:r>
          </w:p>
        </w:tc>
        <w:bookmarkEnd w:id="0"/>
      </w:tr>
    </w:tbl>
    <w:p w14:paraId="32CD72B3" w14:textId="1A0985E6" w:rsidR="00F5709E" w:rsidRDefault="00F5709E" w:rsidP="00F5709E">
      <w:pPr>
        <w:spacing w:after="0"/>
        <w:rPr>
          <w:rStyle w:val="Heading1Char"/>
          <w:color w:val="1E1E1E" w:themeColor="background2"/>
        </w:rPr>
      </w:pPr>
    </w:p>
    <w:p w14:paraId="0E1ACD44" w14:textId="2DDA8342" w:rsidR="00F5709E" w:rsidRPr="00B271DB" w:rsidRDefault="00F5709E" w:rsidP="00F5709E">
      <w:pPr>
        <w:spacing w:after="0"/>
        <w:jc w:val="center"/>
        <w:rPr>
          <w:rFonts w:cs="Arial"/>
          <w:i/>
          <w:iCs/>
        </w:rPr>
      </w:pPr>
      <w:r w:rsidRPr="009F52F1">
        <w:rPr>
          <w:noProof/>
        </w:rPr>
        <w:drawing>
          <wp:inline distT="0" distB="0" distL="0" distR="0" wp14:anchorId="32EA3BCA" wp14:editId="5F0492CA">
            <wp:extent cx="2700000" cy="328154"/>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945991581" name="Picture 1"/>
                    <pic:cNvPicPr/>
                  </pic:nvPicPr>
                  <pic:blipFill>
                    <a:blip r:embed="rId14"/>
                    <a:srcRect/>
                    <a:stretch/>
                  </pic:blipFill>
                  <pic:spPr>
                    <a:xfrm>
                      <a:off x="0" y="0"/>
                      <a:ext cx="2700000" cy="328154"/>
                    </a:xfrm>
                    <a:prstGeom prst="rect">
                      <a:avLst/>
                    </a:prstGeom>
                  </pic:spPr>
                </pic:pic>
              </a:graphicData>
            </a:graphic>
          </wp:inline>
        </w:drawing>
      </w:r>
    </w:p>
    <w:p w14:paraId="7467D48D" w14:textId="77777777" w:rsidR="001D5CEF" w:rsidRDefault="001D5CEF">
      <w:pPr>
        <w:spacing w:after="160" w:line="0" w:lineRule="auto"/>
        <w:rPr>
          <w:rFonts w:eastAsiaTheme="majorEastAsia" w:cs="Arial"/>
          <w:bCs/>
          <w:noProof/>
          <w:sz w:val="36"/>
          <w:szCs w:val="30"/>
          <w:highlight w:val="lightGray"/>
        </w:rPr>
      </w:pPr>
      <w:r>
        <w:rPr>
          <w:highlight w:val="lightGray"/>
        </w:rPr>
        <w:br w:type="page"/>
      </w:r>
    </w:p>
    <w:p w14:paraId="52502048" w14:textId="0CCCBA79" w:rsidR="00854A89" w:rsidRPr="003860E7" w:rsidRDefault="00824D66" w:rsidP="00824D66">
      <w:pPr>
        <w:pStyle w:val="Heading1"/>
        <w:numPr>
          <w:ilvl w:val="0"/>
          <w:numId w:val="0"/>
        </w:numPr>
        <w:pBdr>
          <w:top w:val="single" w:sz="6" w:space="1" w:color="D9D9D9" w:themeColor="background1" w:themeShade="D9"/>
          <w:left w:val="single" w:sz="6" w:space="4" w:color="D9D9D9" w:themeColor="background1" w:themeShade="D9"/>
          <w:bottom w:val="single" w:sz="6" w:space="1" w:color="D9D9D9" w:themeColor="background1" w:themeShade="D9"/>
          <w:right w:val="single" w:sz="6" w:space="4" w:color="D9D9D9" w:themeColor="background1" w:themeShade="D9"/>
        </w:pBdr>
        <w:shd w:val="clear" w:color="auto" w:fill="D9D9D9" w:themeFill="background1" w:themeFillShade="D9"/>
        <w:spacing w:before="0" w:after="120"/>
        <w:ind w:left="567" w:hanging="567"/>
        <w:rPr>
          <w:b/>
          <w:sz w:val="30"/>
        </w:rPr>
      </w:pPr>
      <w:r>
        <w:rPr>
          <w:b/>
          <w:sz w:val="30"/>
        </w:rPr>
        <w:lastRenderedPageBreak/>
        <w:t xml:space="preserve">Section 1: </w:t>
      </w:r>
      <w:r w:rsidR="00485066" w:rsidRPr="00F25018">
        <w:rPr>
          <w:b/>
          <w:sz w:val="30"/>
        </w:rPr>
        <w:t>Funding Request and Prioritization</w:t>
      </w:r>
    </w:p>
    <w:p w14:paraId="3E738F92" w14:textId="0CCD2D40" w:rsidR="00485066" w:rsidRPr="00B271DB" w:rsidRDefault="00485066" w:rsidP="00485066">
      <w:pPr>
        <w:spacing w:after="0" w:line="240" w:lineRule="auto"/>
        <w:rPr>
          <w:rFonts w:cs="Arial"/>
          <w:szCs w:val="20"/>
        </w:rPr>
      </w:pPr>
    </w:p>
    <w:p w14:paraId="6C9FF455" w14:textId="37B393A4" w:rsidR="00485066" w:rsidRPr="004A2E91" w:rsidRDefault="00B4096F" w:rsidP="00183185">
      <w:pPr>
        <w:pStyle w:val="Heading2"/>
        <w:numPr>
          <w:ilvl w:val="1"/>
          <w:numId w:val="18"/>
        </w:numPr>
        <w:shd w:val="clear" w:color="auto" w:fill="D9D9D9" w:themeFill="background1" w:themeFillShade="D9"/>
        <w:spacing w:before="0" w:after="0" w:line="240" w:lineRule="auto"/>
        <w:jc w:val="both"/>
        <w:textAlignment w:val="baseline"/>
        <w:rPr>
          <w:rFonts w:eastAsia="Calibri"/>
        </w:rPr>
      </w:pPr>
      <w:r w:rsidRPr="004A2E91">
        <w:rPr>
          <w:szCs w:val="20"/>
        </w:rPr>
        <w:t xml:space="preserve">Overall Context and </w:t>
      </w:r>
      <w:r w:rsidR="004A2E91" w:rsidRPr="004A2E91">
        <w:rPr>
          <w:szCs w:val="20"/>
        </w:rPr>
        <w:t>Funding Priorities</w:t>
      </w:r>
    </w:p>
    <w:tbl>
      <w:tblPr>
        <w:tblStyle w:val="TableGrid"/>
        <w:tblW w:w="0" w:type="auto"/>
        <w:tblLook w:val="04A0" w:firstRow="1" w:lastRow="0" w:firstColumn="1" w:lastColumn="0" w:noHBand="0" w:noVBand="1"/>
      </w:tblPr>
      <w:tblGrid>
        <w:gridCol w:w="10456"/>
      </w:tblGrid>
      <w:tr w:rsidR="0071110F" w:rsidRPr="00B271DB" w14:paraId="035811EC" w14:textId="77777777" w:rsidTr="00047D69">
        <w:tc>
          <w:tcPr>
            <w:tcW w:w="10456" w:type="dxa"/>
          </w:tcPr>
          <w:p w14:paraId="417A05D4" w14:textId="77777777" w:rsidR="0071110F" w:rsidRPr="000C2CB4" w:rsidRDefault="0071110F" w:rsidP="00781834">
            <w:pPr>
              <w:rPr>
                <w:rFonts w:asciiTheme="majorHAnsi" w:hAnsiTheme="majorHAnsi" w:cstheme="majorHAnsi"/>
                <w:b/>
                <w:sz w:val="20"/>
              </w:rPr>
            </w:pPr>
            <w:r w:rsidRPr="000C2CB4">
              <w:rPr>
                <w:rFonts w:asciiTheme="majorHAnsi" w:hAnsiTheme="majorHAnsi" w:cstheme="majorHAnsi"/>
                <w:b/>
                <w:sz w:val="20"/>
              </w:rPr>
              <w:t>Overall context</w:t>
            </w:r>
          </w:p>
          <w:p w14:paraId="013E76FA" w14:textId="345015F0" w:rsidR="0071110F" w:rsidRDefault="0071110F" w:rsidP="00781834">
            <w:pPr>
              <w:spacing w:after="0" w:line="240" w:lineRule="auto"/>
              <w:jc w:val="both"/>
              <w:rPr>
                <w:rStyle w:val="e24kjd"/>
                <w:rFonts w:asciiTheme="majorHAnsi" w:hAnsiTheme="majorHAnsi" w:cstheme="majorHAnsi"/>
                <w:sz w:val="20"/>
              </w:rPr>
            </w:pPr>
            <w:r w:rsidRPr="000F739F">
              <w:rPr>
                <w:rFonts w:asciiTheme="majorHAnsi" w:hAnsiTheme="majorHAnsi" w:cstheme="majorHAnsi"/>
                <w:sz w:val="20"/>
              </w:rPr>
              <w:t>Republic of Moldova is a country in eastern E</w:t>
            </w:r>
            <w:r>
              <w:rPr>
                <w:rFonts w:asciiTheme="majorHAnsi" w:hAnsiTheme="majorHAnsi" w:cstheme="majorHAnsi"/>
                <w:sz w:val="20"/>
              </w:rPr>
              <w:t xml:space="preserve">urope, </w:t>
            </w:r>
            <w:r>
              <w:rPr>
                <w:rStyle w:val="e24kjd"/>
                <w:rFonts w:asciiTheme="majorHAnsi" w:hAnsiTheme="majorHAnsi" w:cstheme="majorHAnsi"/>
                <w:sz w:val="20"/>
              </w:rPr>
              <w:t xml:space="preserve">surface area of </w:t>
            </w:r>
            <w:r w:rsidRPr="000C2CB4">
              <w:rPr>
                <w:rStyle w:val="e24kjd"/>
                <w:rFonts w:asciiTheme="majorHAnsi" w:hAnsiTheme="majorHAnsi" w:cstheme="majorHAnsi"/>
                <w:sz w:val="20"/>
              </w:rPr>
              <w:t>33.9 thousand sq. km</w:t>
            </w:r>
            <w:r>
              <w:rPr>
                <w:rStyle w:val="e24kjd"/>
                <w:rFonts w:asciiTheme="majorHAnsi" w:hAnsiTheme="majorHAnsi" w:cstheme="majorHAnsi"/>
                <w:sz w:val="20"/>
              </w:rPr>
              <w:t>,</w:t>
            </w:r>
            <w:r w:rsidRPr="000C2CB4">
              <w:rPr>
                <w:rStyle w:val="e24kjd"/>
                <w:rFonts w:asciiTheme="majorHAnsi" w:hAnsiTheme="majorHAnsi" w:cstheme="majorHAnsi"/>
                <w:sz w:val="20"/>
              </w:rPr>
              <w:t xml:space="preserve"> </w:t>
            </w:r>
            <w:r>
              <w:rPr>
                <w:rFonts w:asciiTheme="majorHAnsi" w:hAnsiTheme="majorHAnsi" w:cstheme="majorHAnsi"/>
                <w:sz w:val="20"/>
              </w:rPr>
              <w:t>bordering Romania (member of the European Union) and Ukraine. Its history of in</w:t>
            </w:r>
            <w:r>
              <w:rPr>
                <w:rStyle w:val="e24kjd"/>
                <w:rFonts w:asciiTheme="majorHAnsi" w:hAnsiTheme="majorHAnsi" w:cstheme="majorHAnsi"/>
                <w:sz w:val="20"/>
              </w:rPr>
              <w:t xml:space="preserve">dependence dates </w:t>
            </w:r>
            <w:r w:rsidRPr="00101B07">
              <w:rPr>
                <w:rStyle w:val="e24kjd"/>
                <w:rFonts w:asciiTheme="majorHAnsi" w:hAnsiTheme="majorHAnsi" w:cstheme="majorHAnsi"/>
                <w:sz w:val="20"/>
              </w:rPr>
              <w:t xml:space="preserve">1991 </w:t>
            </w:r>
            <w:r>
              <w:rPr>
                <w:rStyle w:val="e24kjd"/>
                <w:rFonts w:asciiTheme="majorHAnsi" w:hAnsiTheme="majorHAnsi" w:cstheme="majorHAnsi"/>
                <w:sz w:val="20"/>
              </w:rPr>
              <w:t xml:space="preserve">following </w:t>
            </w:r>
            <w:r w:rsidRPr="00101B07">
              <w:rPr>
                <w:rStyle w:val="e24kjd"/>
                <w:rFonts w:asciiTheme="majorHAnsi" w:hAnsiTheme="majorHAnsi" w:cstheme="majorHAnsi"/>
                <w:sz w:val="20"/>
              </w:rPr>
              <w:t>dissolution of the Soviet Union.</w:t>
            </w:r>
            <w:r>
              <w:rPr>
                <w:rStyle w:val="e24kjd"/>
                <w:rFonts w:asciiTheme="majorHAnsi" w:hAnsiTheme="majorHAnsi" w:cstheme="majorHAnsi"/>
                <w:sz w:val="20"/>
              </w:rPr>
              <w:t xml:space="preserve"> </w:t>
            </w:r>
            <w:r w:rsidRPr="002D4B43">
              <w:rPr>
                <w:rFonts w:asciiTheme="majorHAnsi" w:hAnsiTheme="majorHAnsi" w:cstheme="majorHAnsi"/>
                <w:sz w:val="20"/>
              </w:rPr>
              <w:t>Moldova is ranked by the World Bank as a lower-middle income country (LMI</w:t>
            </w:r>
            <w:r>
              <w:rPr>
                <w:rFonts w:asciiTheme="majorHAnsi" w:hAnsiTheme="majorHAnsi" w:cstheme="majorHAnsi"/>
                <w:sz w:val="20"/>
              </w:rPr>
              <w:t>C</w:t>
            </w:r>
            <w:r w:rsidRPr="002D4B43">
              <w:rPr>
                <w:rFonts w:asciiTheme="majorHAnsi" w:hAnsiTheme="majorHAnsi" w:cstheme="majorHAnsi"/>
                <w:sz w:val="20"/>
              </w:rPr>
              <w:t>); Gross National Income (GNI) per capita in 2018 (Atlas method) was estimated at USD 3,900 per capita</w:t>
            </w:r>
            <w:r w:rsidRPr="002D4B43">
              <w:rPr>
                <w:rFonts w:asciiTheme="majorHAnsi" w:hAnsiTheme="majorHAnsi" w:cstheme="majorHAnsi"/>
                <w:sz w:val="20"/>
                <w:vertAlign w:val="superscript"/>
              </w:rPr>
              <w:footnoteReference w:id="4"/>
            </w:r>
            <w:r w:rsidRPr="002D4B43">
              <w:rPr>
                <w:rFonts w:asciiTheme="majorHAnsi" w:hAnsiTheme="majorHAnsi" w:cstheme="majorHAnsi"/>
                <w:sz w:val="20"/>
              </w:rPr>
              <w:t xml:space="preserve">. </w:t>
            </w:r>
            <w:r>
              <w:rPr>
                <w:rFonts w:asciiTheme="majorHAnsi" w:hAnsiTheme="majorHAnsi" w:cstheme="majorHAnsi"/>
                <w:sz w:val="20"/>
              </w:rPr>
              <w:t>A</w:t>
            </w:r>
            <w:r>
              <w:rPr>
                <w:rStyle w:val="e24kjd"/>
                <w:rFonts w:asciiTheme="majorHAnsi" w:hAnsiTheme="majorHAnsi" w:cstheme="majorHAnsi"/>
                <w:sz w:val="20"/>
              </w:rPr>
              <w:t xml:space="preserve">dministratively it is divided in 32 districts, </w:t>
            </w:r>
            <w:r w:rsidRPr="007261F6">
              <w:rPr>
                <w:rStyle w:val="e24kjd"/>
                <w:rFonts w:asciiTheme="majorHAnsi" w:hAnsiTheme="majorHAnsi" w:cstheme="majorHAnsi"/>
                <w:sz w:val="20"/>
              </w:rPr>
              <w:t>5 municipalities (Chisinau</w:t>
            </w:r>
            <w:r>
              <w:rPr>
                <w:rStyle w:val="e24kjd"/>
                <w:rFonts w:asciiTheme="majorHAnsi" w:hAnsiTheme="majorHAnsi" w:cstheme="majorHAnsi"/>
                <w:sz w:val="20"/>
              </w:rPr>
              <w:t>, the capital city</w:t>
            </w:r>
            <w:r w:rsidRPr="007261F6">
              <w:rPr>
                <w:rStyle w:val="e24kjd"/>
                <w:rFonts w:asciiTheme="majorHAnsi" w:hAnsiTheme="majorHAnsi" w:cstheme="majorHAnsi"/>
                <w:sz w:val="20"/>
              </w:rPr>
              <w:t>, Balti, Comrat</w:t>
            </w:r>
            <w:r>
              <w:rPr>
                <w:rStyle w:val="e24kjd"/>
                <w:rFonts w:asciiTheme="majorHAnsi" w:hAnsiTheme="majorHAnsi" w:cstheme="majorHAnsi"/>
                <w:sz w:val="20"/>
              </w:rPr>
              <w:t>,</w:t>
            </w:r>
            <w:r w:rsidRPr="007261F6">
              <w:rPr>
                <w:rStyle w:val="e24kjd"/>
                <w:rFonts w:asciiTheme="majorHAnsi" w:hAnsiTheme="majorHAnsi" w:cstheme="majorHAnsi"/>
                <w:sz w:val="20"/>
              </w:rPr>
              <w:t xml:space="preserve"> Tighina, Tiraspol)</w:t>
            </w:r>
            <w:r>
              <w:rPr>
                <w:rStyle w:val="e24kjd"/>
                <w:rFonts w:asciiTheme="majorHAnsi" w:hAnsiTheme="majorHAnsi" w:cstheme="majorHAnsi"/>
                <w:sz w:val="20"/>
              </w:rPr>
              <w:t xml:space="preserve"> and 2 regions with special </w:t>
            </w:r>
            <w:r w:rsidRPr="007261F6">
              <w:rPr>
                <w:rStyle w:val="e24kjd"/>
                <w:rFonts w:asciiTheme="majorHAnsi" w:hAnsiTheme="majorHAnsi" w:cstheme="majorHAnsi"/>
                <w:sz w:val="20"/>
              </w:rPr>
              <w:t>status: Autonom</w:t>
            </w:r>
            <w:r>
              <w:rPr>
                <w:rStyle w:val="e24kjd"/>
                <w:rFonts w:asciiTheme="majorHAnsi" w:hAnsiTheme="majorHAnsi" w:cstheme="majorHAnsi"/>
                <w:sz w:val="20"/>
              </w:rPr>
              <w:t>ous Territorial Unit Gagauzia, and t</w:t>
            </w:r>
            <w:r w:rsidRPr="007261F6">
              <w:rPr>
                <w:rStyle w:val="e24kjd"/>
                <w:rFonts w:asciiTheme="majorHAnsi" w:hAnsiTheme="majorHAnsi" w:cstheme="majorHAnsi"/>
                <w:sz w:val="20"/>
              </w:rPr>
              <w:t>erritorial administrative units from the left part of Nistru river, generically known as Transnistria</w:t>
            </w:r>
            <w:r>
              <w:rPr>
                <w:rStyle w:val="e24kjd"/>
                <w:rFonts w:asciiTheme="majorHAnsi" w:hAnsiTheme="majorHAnsi" w:cstheme="majorHAnsi"/>
                <w:sz w:val="20"/>
              </w:rPr>
              <w:t xml:space="preserve"> or Left Bank. </w:t>
            </w:r>
            <w:r w:rsidRPr="007261F6">
              <w:rPr>
                <w:rStyle w:val="e24kjd"/>
                <w:rFonts w:asciiTheme="majorHAnsi" w:hAnsiTheme="majorHAnsi" w:cstheme="majorHAnsi"/>
                <w:sz w:val="20"/>
              </w:rPr>
              <w:t>The so-called Moldovan Republic of Transnistria has self-proclaimed its independence in 1990</w:t>
            </w:r>
            <w:r>
              <w:rPr>
                <w:rStyle w:val="e24kjd"/>
                <w:rFonts w:asciiTheme="majorHAnsi" w:hAnsiTheme="majorHAnsi" w:cstheme="majorHAnsi"/>
                <w:sz w:val="20"/>
              </w:rPr>
              <w:t xml:space="preserve"> but has not been</w:t>
            </w:r>
            <w:r w:rsidRPr="007261F6">
              <w:rPr>
                <w:rStyle w:val="e24kjd"/>
                <w:rFonts w:asciiTheme="majorHAnsi" w:hAnsiTheme="majorHAnsi" w:cstheme="majorHAnsi"/>
                <w:sz w:val="20"/>
              </w:rPr>
              <w:t xml:space="preserve"> recognized by any state</w:t>
            </w:r>
            <w:r>
              <w:rPr>
                <w:rStyle w:val="e24kjd"/>
                <w:rFonts w:asciiTheme="majorHAnsi" w:hAnsiTheme="majorHAnsi" w:cstheme="majorHAnsi"/>
                <w:sz w:val="20"/>
              </w:rPr>
              <w:t>. It is not controlled by the</w:t>
            </w:r>
            <w:r w:rsidRPr="007261F6">
              <w:rPr>
                <w:rStyle w:val="e24kjd"/>
                <w:rFonts w:asciiTheme="majorHAnsi" w:hAnsiTheme="majorHAnsi" w:cstheme="majorHAnsi"/>
                <w:sz w:val="20"/>
              </w:rPr>
              <w:t xml:space="preserve"> government</w:t>
            </w:r>
            <w:r>
              <w:rPr>
                <w:rStyle w:val="e24kjd"/>
                <w:rFonts w:asciiTheme="majorHAnsi" w:hAnsiTheme="majorHAnsi" w:cstheme="majorHAnsi"/>
                <w:sz w:val="20"/>
              </w:rPr>
              <w:t>, de facto authorities govern the region comprising</w:t>
            </w:r>
            <w:r w:rsidRPr="007261F6">
              <w:rPr>
                <w:rStyle w:val="e24kjd"/>
                <w:rFonts w:asciiTheme="majorHAnsi" w:hAnsiTheme="majorHAnsi" w:cstheme="majorHAnsi"/>
                <w:sz w:val="20"/>
              </w:rPr>
              <w:t xml:space="preserve"> 5 districts a</w:t>
            </w:r>
            <w:r w:rsidR="007273BE">
              <w:rPr>
                <w:rStyle w:val="e24kjd"/>
                <w:rFonts w:asciiTheme="majorHAnsi" w:hAnsiTheme="majorHAnsi" w:cstheme="majorHAnsi"/>
                <w:sz w:val="20"/>
              </w:rPr>
              <w:t xml:space="preserve">nd two municipalities (Tiraspol- the capital </w:t>
            </w:r>
            <w:r w:rsidRPr="007261F6">
              <w:rPr>
                <w:rStyle w:val="e24kjd"/>
                <w:rFonts w:asciiTheme="majorHAnsi" w:hAnsiTheme="majorHAnsi" w:cstheme="majorHAnsi"/>
                <w:sz w:val="20"/>
              </w:rPr>
              <w:t>and Tighina).</w:t>
            </w:r>
            <w:r>
              <w:rPr>
                <w:rStyle w:val="FootnoteReference"/>
                <w:rFonts w:asciiTheme="majorHAnsi" w:hAnsiTheme="majorHAnsi" w:cstheme="majorHAnsi"/>
                <w:sz w:val="20"/>
              </w:rPr>
              <w:footnoteReference w:id="5"/>
            </w:r>
          </w:p>
          <w:p w14:paraId="546709F2" w14:textId="77777777" w:rsidR="0071110F" w:rsidRDefault="0071110F" w:rsidP="00781834">
            <w:pPr>
              <w:spacing w:after="0" w:line="240" w:lineRule="auto"/>
              <w:rPr>
                <w:rStyle w:val="e24kjd"/>
                <w:rFonts w:asciiTheme="majorHAnsi" w:hAnsiTheme="majorHAnsi" w:cstheme="majorHAnsi"/>
                <w:sz w:val="20"/>
              </w:rPr>
            </w:pPr>
          </w:p>
          <w:p w14:paraId="0FF55A71" w14:textId="37E5AC8C" w:rsidR="0071110F" w:rsidRDefault="00A3449A" w:rsidP="00781834">
            <w:pPr>
              <w:spacing w:after="0" w:line="240" w:lineRule="auto"/>
              <w:jc w:val="both"/>
              <w:rPr>
                <w:rStyle w:val="e24kjd"/>
                <w:rFonts w:asciiTheme="majorHAnsi" w:hAnsiTheme="majorHAnsi" w:cstheme="majorHAnsi"/>
                <w:sz w:val="20"/>
              </w:rPr>
            </w:pPr>
            <w:r w:rsidRPr="00265DBE">
              <w:rPr>
                <w:sz w:val="20"/>
              </w:rPr>
              <w:t>In 199</w:t>
            </w:r>
            <w:r>
              <w:rPr>
                <w:sz w:val="20"/>
              </w:rPr>
              <w:t>1</w:t>
            </w:r>
            <w:r w:rsidRPr="00265DBE">
              <w:rPr>
                <w:sz w:val="20"/>
              </w:rPr>
              <w:t>,</w:t>
            </w:r>
            <w:r w:rsidRPr="00265DBE">
              <w:rPr>
                <w:rFonts w:asciiTheme="majorHAnsi" w:hAnsiTheme="majorHAnsi" w:cstheme="majorHAnsi"/>
                <w:sz w:val="18"/>
              </w:rPr>
              <w:t xml:space="preserve"> M</w:t>
            </w:r>
            <w:r>
              <w:rPr>
                <w:sz w:val="20"/>
              </w:rPr>
              <w:t>oldova started transition to democracy and</w:t>
            </w:r>
            <w:r w:rsidRPr="00265DBE">
              <w:rPr>
                <w:sz w:val="20"/>
              </w:rPr>
              <w:t xml:space="preserve"> </w:t>
            </w:r>
            <w:r w:rsidRPr="0013713F">
              <w:rPr>
                <w:rFonts w:asciiTheme="majorHAnsi" w:hAnsiTheme="majorHAnsi" w:cstheme="majorHAnsi"/>
                <w:sz w:val="20"/>
              </w:rPr>
              <w:t>has experienced sweeping political</w:t>
            </w:r>
            <w:r>
              <w:rPr>
                <w:rFonts w:asciiTheme="majorHAnsi" w:hAnsiTheme="majorHAnsi" w:cstheme="majorHAnsi"/>
                <w:sz w:val="20"/>
              </w:rPr>
              <w:t>,</w:t>
            </w:r>
            <w:r w:rsidRPr="0013713F">
              <w:rPr>
                <w:rFonts w:asciiTheme="majorHAnsi" w:hAnsiTheme="majorHAnsi" w:cstheme="majorHAnsi"/>
                <w:sz w:val="20"/>
              </w:rPr>
              <w:t xml:space="preserve"> </w:t>
            </w:r>
            <w:r>
              <w:rPr>
                <w:rFonts w:asciiTheme="majorHAnsi" w:hAnsiTheme="majorHAnsi" w:cstheme="majorHAnsi"/>
                <w:sz w:val="20"/>
              </w:rPr>
              <w:t xml:space="preserve">economic and social </w:t>
            </w:r>
            <w:r w:rsidRPr="00265DBE">
              <w:rPr>
                <w:sz w:val="20"/>
              </w:rPr>
              <w:t>changes</w:t>
            </w:r>
            <w:r>
              <w:rPr>
                <w:sz w:val="20"/>
              </w:rPr>
              <w:t xml:space="preserve">. </w:t>
            </w:r>
            <w:r w:rsidRPr="00265DBE">
              <w:rPr>
                <w:sz w:val="20"/>
              </w:rPr>
              <w:t xml:space="preserve"> </w:t>
            </w:r>
            <w:r>
              <w:rPr>
                <w:sz w:val="20"/>
              </w:rPr>
              <w:t xml:space="preserve">Adoption of </w:t>
            </w:r>
            <w:hyperlink r:id="rId15" w:tooltip="Market economy" w:history="1">
              <w:r w:rsidRPr="00265DBE">
                <w:rPr>
                  <w:sz w:val="20"/>
                </w:rPr>
                <w:t>market economy</w:t>
              </w:r>
            </w:hyperlink>
            <w:r>
              <w:rPr>
                <w:sz w:val="20"/>
              </w:rPr>
              <w:t xml:space="preserve"> in 1992 </w:t>
            </w:r>
            <w:r w:rsidRPr="00265DBE">
              <w:rPr>
                <w:sz w:val="20"/>
              </w:rPr>
              <w:t>result</w:t>
            </w:r>
            <w:r>
              <w:rPr>
                <w:sz w:val="20"/>
              </w:rPr>
              <w:t>ed</w:t>
            </w:r>
            <w:r w:rsidRPr="00265DBE">
              <w:rPr>
                <w:sz w:val="20"/>
              </w:rPr>
              <w:t xml:space="preserve"> in </w:t>
            </w:r>
            <w:r>
              <w:rPr>
                <w:sz w:val="20"/>
              </w:rPr>
              <w:t xml:space="preserve">large </w:t>
            </w:r>
            <w:hyperlink r:id="rId16" w:tooltip="Inflation" w:history="1">
              <w:r w:rsidRPr="00265DBE">
                <w:rPr>
                  <w:sz w:val="20"/>
                </w:rPr>
                <w:t>inflation</w:t>
              </w:r>
            </w:hyperlink>
            <w:r>
              <w:rPr>
                <w:sz w:val="20"/>
              </w:rPr>
              <w:t xml:space="preserve"> and economic plunge, causing</w:t>
            </w:r>
            <w:r w:rsidRPr="00101B07">
              <w:rPr>
                <w:rStyle w:val="e24kjd"/>
                <w:rFonts w:asciiTheme="majorHAnsi" w:hAnsiTheme="majorHAnsi" w:cstheme="majorHAnsi"/>
                <w:sz w:val="20"/>
              </w:rPr>
              <w:t xml:space="preserve"> socio</w:t>
            </w:r>
            <w:r>
              <w:rPr>
                <w:rStyle w:val="e24kjd"/>
                <w:rFonts w:asciiTheme="majorHAnsi" w:hAnsiTheme="majorHAnsi" w:cstheme="majorHAnsi"/>
                <w:sz w:val="20"/>
              </w:rPr>
              <w:t>-</w:t>
            </w:r>
            <w:r w:rsidRPr="00101B07">
              <w:rPr>
                <w:rStyle w:val="e24kjd"/>
                <w:rFonts w:asciiTheme="majorHAnsi" w:hAnsiTheme="majorHAnsi" w:cstheme="majorHAnsi"/>
                <w:sz w:val="20"/>
              </w:rPr>
              <w:t>e</w:t>
            </w:r>
            <w:r>
              <w:rPr>
                <w:rStyle w:val="e24kjd"/>
                <w:rFonts w:asciiTheme="majorHAnsi" w:hAnsiTheme="majorHAnsi" w:cstheme="majorHAnsi"/>
                <w:sz w:val="20"/>
              </w:rPr>
              <w:t>conomic distress, abrupt impoverishment, increasing inequalities and massive outmigration.</w:t>
            </w:r>
            <w:r w:rsidR="0071110F" w:rsidRPr="00265DBE">
              <w:rPr>
                <w:sz w:val="20"/>
              </w:rPr>
              <w:t xml:space="preserve"> </w:t>
            </w:r>
            <w:r w:rsidR="0071110F" w:rsidRPr="00814C4B">
              <w:rPr>
                <w:rStyle w:val="e24kjd"/>
                <w:rFonts w:asciiTheme="majorHAnsi" w:hAnsiTheme="majorHAnsi" w:cstheme="majorHAnsi"/>
                <w:sz w:val="20"/>
              </w:rPr>
              <w:t>This led to health system funding shortages, reductions in service provision and human resources for health, increased out-of-pocket (OOP) payments for users</w:t>
            </w:r>
            <w:r w:rsidR="0071110F">
              <w:rPr>
                <w:rStyle w:val="e24kjd"/>
                <w:rFonts w:asciiTheme="majorHAnsi" w:hAnsiTheme="majorHAnsi" w:cstheme="majorHAnsi"/>
                <w:sz w:val="20"/>
              </w:rPr>
              <w:t>. Social distress led to increased vulnerabilities and risk behaviors, i.e. increased alcohol</w:t>
            </w:r>
            <w:r>
              <w:rPr>
                <w:rStyle w:val="e24kjd"/>
                <w:rFonts w:asciiTheme="majorHAnsi" w:hAnsiTheme="majorHAnsi" w:cstheme="majorHAnsi"/>
                <w:sz w:val="20"/>
              </w:rPr>
              <w:t xml:space="preserve"> use</w:t>
            </w:r>
            <w:r w:rsidR="0071110F">
              <w:rPr>
                <w:rStyle w:val="e24kjd"/>
                <w:rFonts w:asciiTheme="majorHAnsi" w:hAnsiTheme="majorHAnsi" w:cstheme="majorHAnsi"/>
                <w:sz w:val="20"/>
              </w:rPr>
              <w:t xml:space="preserve"> and a new patter</w:t>
            </w:r>
            <w:r w:rsidR="007273BE">
              <w:rPr>
                <w:rStyle w:val="e24kjd"/>
                <w:rFonts w:asciiTheme="majorHAnsi" w:hAnsiTheme="majorHAnsi" w:cstheme="majorHAnsi"/>
                <w:sz w:val="20"/>
              </w:rPr>
              <w:t>n</w:t>
            </w:r>
            <w:r w:rsidR="0071110F">
              <w:rPr>
                <w:rStyle w:val="e24kjd"/>
                <w:rFonts w:asciiTheme="majorHAnsi" w:hAnsiTheme="majorHAnsi" w:cstheme="majorHAnsi"/>
                <w:sz w:val="20"/>
              </w:rPr>
              <w:t xml:space="preserve"> of injecting drug use </w:t>
            </w:r>
            <w:r w:rsidR="007273BE">
              <w:rPr>
                <w:rStyle w:val="e24kjd"/>
                <w:rFonts w:asciiTheme="majorHAnsi" w:hAnsiTheme="majorHAnsi" w:cstheme="majorHAnsi"/>
                <w:sz w:val="20"/>
              </w:rPr>
              <w:t xml:space="preserve">pre-cursor </w:t>
            </w:r>
            <w:r w:rsidR="0071110F">
              <w:rPr>
                <w:rStyle w:val="e24kjd"/>
                <w:rFonts w:asciiTheme="majorHAnsi" w:hAnsiTheme="majorHAnsi" w:cstheme="majorHAnsi"/>
                <w:sz w:val="20"/>
              </w:rPr>
              <w:t>to an HIV explosive epidemic among people who injected drugs. TB</w:t>
            </w:r>
            <w:r w:rsidR="007273BE">
              <w:rPr>
                <w:rStyle w:val="e24kjd"/>
                <w:rFonts w:asciiTheme="majorHAnsi" w:hAnsiTheme="majorHAnsi" w:cstheme="majorHAnsi"/>
                <w:sz w:val="20"/>
              </w:rPr>
              <w:t xml:space="preserve"> also</w:t>
            </w:r>
            <w:r w:rsidR="0071110F">
              <w:rPr>
                <w:rStyle w:val="e24kjd"/>
                <w:rFonts w:asciiTheme="majorHAnsi" w:hAnsiTheme="majorHAnsi" w:cstheme="majorHAnsi"/>
                <w:sz w:val="20"/>
              </w:rPr>
              <w:t xml:space="preserve"> re-emerg</w:t>
            </w:r>
            <w:r w:rsidR="007273BE">
              <w:rPr>
                <w:rStyle w:val="e24kjd"/>
                <w:rFonts w:asciiTheme="majorHAnsi" w:hAnsiTheme="majorHAnsi" w:cstheme="majorHAnsi"/>
                <w:sz w:val="20"/>
              </w:rPr>
              <w:t>ed</w:t>
            </w:r>
            <w:r w:rsidR="0071110F">
              <w:rPr>
                <w:rStyle w:val="e24kjd"/>
                <w:rFonts w:asciiTheme="majorHAnsi" w:hAnsiTheme="majorHAnsi" w:cstheme="majorHAnsi"/>
                <w:sz w:val="20"/>
              </w:rPr>
              <w:t xml:space="preserve"> as a public health issue. Economy </w:t>
            </w:r>
            <w:r w:rsidR="0071110F">
              <w:rPr>
                <w:sz w:val="20"/>
              </w:rPr>
              <w:t>rebounded since</w:t>
            </w:r>
            <w:r w:rsidR="0071110F">
              <w:rPr>
                <w:rStyle w:val="e24kjd"/>
                <w:rFonts w:asciiTheme="majorHAnsi" w:hAnsiTheme="majorHAnsi" w:cstheme="majorHAnsi"/>
                <w:sz w:val="20"/>
              </w:rPr>
              <w:t xml:space="preserve"> 2001, with </w:t>
            </w:r>
            <w:r w:rsidR="007273BE">
              <w:rPr>
                <w:rStyle w:val="e24kjd"/>
                <w:rFonts w:asciiTheme="majorHAnsi" w:hAnsiTheme="majorHAnsi" w:cstheme="majorHAnsi"/>
                <w:sz w:val="20"/>
              </w:rPr>
              <w:t>positive</w:t>
            </w:r>
            <w:r w:rsidR="0071110F">
              <w:rPr>
                <w:rStyle w:val="e24kjd"/>
                <w:rFonts w:asciiTheme="majorHAnsi" w:hAnsiTheme="majorHAnsi" w:cstheme="majorHAnsi"/>
                <w:sz w:val="20"/>
              </w:rPr>
              <w:t xml:space="preserve"> </w:t>
            </w:r>
            <w:r w:rsidR="0071110F" w:rsidRPr="00265DBE">
              <w:rPr>
                <w:rStyle w:val="e24kjd"/>
                <w:rFonts w:asciiTheme="majorHAnsi" w:hAnsiTheme="majorHAnsi" w:cstheme="majorHAnsi"/>
                <w:sz w:val="20"/>
              </w:rPr>
              <w:t>annual growth</w:t>
            </w:r>
            <w:r w:rsidR="007273BE">
              <w:rPr>
                <w:rStyle w:val="e24kjd"/>
                <w:rFonts w:asciiTheme="majorHAnsi" w:hAnsiTheme="majorHAnsi" w:cstheme="majorHAnsi"/>
                <w:sz w:val="20"/>
              </w:rPr>
              <w:t xml:space="preserve"> until now</w:t>
            </w:r>
            <w:r w:rsidR="0071110F" w:rsidRPr="00265DBE">
              <w:rPr>
                <w:rStyle w:val="e24kjd"/>
                <w:rFonts w:asciiTheme="majorHAnsi" w:hAnsiTheme="majorHAnsi" w:cstheme="majorHAnsi"/>
                <w:sz w:val="20"/>
              </w:rPr>
              <w:t xml:space="preserve">. </w:t>
            </w:r>
            <w:r w:rsidR="0071110F">
              <w:rPr>
                <w:rStyle w:val="e24kjd"/>
                <w:rFonts w:asciiTheme="majorHAnsi" w:hAnsiTheme="majorHAnsi" w:cstheme="majorHAnsi"/>
                <w:sz w:val="20"/>
              </w:rPr>
              <w:t>A</w:t>
            </w:r>
            <w:r w:rsidR="0071110F" w:rsidRPr="009009C1">
              <w:rPr>
                <w:rStyle w:val="e24kjd"/>
                <w:rFonts w:asciiTheme="majorHAnsi" w:hAnsiTheme="majorHAnsi" w:cstheme="majorHAnsi"/>
                <w:sz w:val="20"/>
              </w:rPr>
              <w:t xml:space="preserve"> l</w:t>
            </w:r>
            <w:r w:rsidR="0071110F">
              <w:rPr>
                <w:rStyle w:val="e24kjd"/>
                <w:rFonts w:asciiTheme="majorHAnsi" w:hAnsiTheme="majorHAnsi" w:cstheme="majorHAnsi"/>
                <w:sz w:val="20"/>
              </w:rPr>
              <w:t>arge-scale banking fraud in 2014</w:t>
            </w:r>
            <w:r w:rsidR="0071110F" w:rsidRPr="009009C1">
              <w:rPr>
                <w:rStyle w:val="e24kjd"/>
                <w:rFonts w:asciiTheme="majorHAnsi" w:hAnsiTheme="majorHAnsi" w:cstheme="majorHAnsi"/>
                <w:sz w:val="20"/>
              </w:rPr>
              <w:t xml:space="preserve"> has </w:t>
            </w:r>
            <w:r w:rsidR="0071110F">
              <w:rPr>
                <w:rStyle w:val="e24kjd"/>
                <w:rFonts w:asciiTheme="majorHAnsi" w:hAnsiTheme="majorHAnsi" w:cstheme="majorHAnsi"/>
                <w:sz w:val="20"/>
              </w:rPr>
              <w:t>generate</w:t>
            </w:r>
            <w:r w:rsidR="0071110F" w:rsidRPr="009009C1">
              <w:rPr>
                <w:rStyle w:val="e24kjd"/>
                <w:rFonts w:asciiTheme="majorHAnsi" w:hAnsiTheme="majorHAnsi" w:cstheme="majorHAnsi"/>
                <w:sz w:val="20"/>
              </w:rPr>
              <w:t xml:space="preserve">d political </w:t>
            </w:r>
            <w:r w:rsidR="0071110F">
              <w:rPr>
                <w:rStyle w:val="e24kjd"/>
                <w:rFonts w:asciiTheme="majorHAnsi" w:hAnsiTheme="majorHAnsi" w:cstheme="majorHAnsi"/>
                <w:sz w:val="20"/>
              </w:rPr>
              <w:t>in</w:t>
            </w:r>
            <w:r w:rsidR="0071110F" w:rsidRPr="009009C1">
              <w:rPr>
                <w:rStyle w:val="e24kjd"/>
                <w:rFonts w:asciiTheme="majorHAnsi" w:hAnsiTheme="majorHAnsi" w:cstheme="majorHAnsi"/>
                <w:sz w:val="20"/>
              </w:rPr>
              <w:t>stability</w:t>
            </w:r>
            <w:r w:rsidR="0071110F">
              <w:rPr>
                <w:rStyle w:val="e24kjd"/>
                <w:rFonts w:asciiTheme="majorHAnsi" w:hAnsiTheme="majorHAnsi" w:cstheme="majorHAnsi"/>
                <w:sz w:val="20"/>
              </w:rPr>
              <w:t xml:space="preserve"> lasting since.</w:t>
            </w:r>
            <w:r w:rsidR="0071110F" w:rsidRPr="00101B07">
              <w:rPr>
                <w:rStyle w:val="e24kjd"/>
                <w:rFonts w:asciiTheme="majorHAnsi" w:hAnsiTheme="majorHAnsi" w:cstheme="majorHAnsi"/>
                <w:sz w:val="20"/>
              </w:rPr>
              <w:t xml:space="preserve"> </w:t>
            </w:r>
            <w:r w:rsidR="0071110F" w:rsidRPr="009009C1">
              <w:rPr>
                <w:rStyle w:val="e24kjd"/>
                <w:rFonts w:asciiTheme="majorHAnsi" w:hAnsiTheme="majorHAnsi" w:cstheme="majorHAnsi"/>
                <w:sz w:val="20"/>
              </w:rPr>
              <w:t xml:space="preserve">According to the latest </w:t>
            </w:r>
            <w:r w:rsidR="0071110F">
              <w:rPr>
                <w:rStyle w:val="e24kjd"/>
                <w:rFonts w:asciiTheme="majorHAnsi" w:hAnsiTheme="majorHAnsi" w:cstheme="majorHAnsi"/>
                <w:sz w:val="20"/>
              </w:rPr>
              <w:t>Human Development Report 2019</w:t>
            </w:r>
            <w:r w:rsidR="0071110F" w:rsidRPr="009009C1">
              <w:rPr>
                <w:rStyle w:val="e24kjd"/>
                <w:rFonts w:asciiTheme="majorHAnsi" w:hAnsiTheme="majorHAnsi" w:cstheme="majorHAnsi"/>
                <w:sz w:val="20"/>
              </w:rPr>
              <w:t>,</w:t>
            </w:r>
            <w:r w:rsidR="0071110F">
              <w:rPr>
                <w:rStyle w:val="e24kjd"/>
                <w:rFonts w:asciiTheme="majorHAnsi" w:hAnsiTheme="majorHAnsi" w:cstheme="majorHAnsi"/>
                <w:sz w:val="20"/>
              </w:rPr>
              <w:t xml:space="preserve"> there is persistent inequality and stagnating human development. While absolute poverty is nearly inexistent since 2007, over half of population lives in precariat (USD 1.9-5.5/day) and 15% are relatively poor (USD 1.9-5.5/day</w:t>
            </w:r>
            <w:r>
              <w:rPr>
                <w:rStyle w:val="e24kjd"/>
                <w:rFonts w:asciiTheme="majorHAnsi" w:hAnsiTheme="majorHAnsi" w:cstheme="majorHAnsi"/>
                <w:sz w:val="20"/>
              </w:rPr>
              <w:t>) and middle class stagnated since financial crisis in 2008</w:t>
            </w:r>
            <w:r w:rsidR="0071110F">
              <w:rPr>
                <w:rStyle w:val="FootnoteReference"/>
                <w:rFonts w:asciiTheme="majorHAnsi" w:hAnsiTheme="majorHAnsi" w:cstheme="majorHAnsi"/>
                <w:sz w:val="20"/>
              </w:rPr>
              <w:footnoteReference w:id="6"/>
            </w:r>
            <w:r w:rsidR="0071110F">
              <w:rPr>
                <w:rStyle w:val="e24kjd"/>
                <w:rFonts w:asciiTheme="majorHAnsi" w:hAnsiTheme="majorHAnsi" w:cstheme="majorHAnsi"/>
                <w:sz w:val="20"/>
              </w:rPr>
              <w:t xml:space="preserve">. </w:t>
            </w:r>
            <w:hyperlink r:id="rId17" w:tooltip="Remittance" w:history="1">
              <w:r w:rsidR="0071110F" w:rsidRPr="00265DBE">
                <w:rPr>
                  <w:rStyle w:val="e24kjd"/>
                  <w:rFonts w:asciiTheme="majorHAnsi" w:hAnsiTheme="majorHAnsi" w:cstheme="majorHAnsi"/>
                  <w:sz w:val="20"/>
                </w:rPr>
                <w:t>Remittances</w:t>
              </w:r>
            </w:hyperlink>
            <w:r w:rsidR="0071110F" w:rsidRPr="00265DBE">
              <w:rPr>
                <w:rStyle w:val="e24kjd"/>
                <w:rFonts w:asciiTheme="majorHAnsi" w:hAnsiTheme="majorHAnsi" w:cstheme="majorHAnsi"/>
                <w:sz w:val="20"/>
              </w:rPr>
              <w:t xml:space="preserve"> from Moldovans abroad account for a quarter of Moldova's </w:t>
            </w:r>
            <w:hyperlink r:id="rId18" w:tooltip="GDP" w:history="1">
              <w:r w:rsidR="0071110F" w:rsidRPr="00265DBE">
                <w:rPr>
                  <w:rStyle w:val="e24kjd"/>
                  <w:rFonts w:asciiTheme="majorHAnsi" w:hAnsiTheme="majorHAnsi" w:cstheme="majorHAnsi"/>
                  <w:sz w:val="20"/>
                </w:rPr>
                <w:t>GDP</w:t>
              </w:r>
            </w:hyperlink>
            <w:r w:rsidR="0071110F">
              <w:rPr>
                <w:rStyle w:val="e24kjd"/>
                <w:rFonts w:asciiTheme="majorHAnsi" w:hAnsiTheme="majorHAnsi" w:cstheme="majorHAnsi"/>
                <w:sz w:val="20"/>
              </w:rPr>
              <w:t>.</w:t>
            </w:r>
          </w:p>
          <w:p w14:paraId="529B519A" w14:textId="77777777" w:rsidR="0071110F" w:rsidRDefault="0071110F" w:rsidP="00781834">
            <w:pPr>
              <w:spacing w:after="0" w:line="240" w:lineRule="auto"/>
              <w:rPr>
                <w:rStyle w:val="e24kjd"/>
                <w:rFonts w:asciiTheme="majorHAnsi" w:hAnsiTheme="majorHAnsi" w:cstheme="majorHAnsi"/>
                <w:sz w:val="20"/>
              </w:rPr>
            </w:pPr>
          </w:p>
          <w:p w14:paraId="2B9675C3" w14:textId="76F1F68A" w:rsidR="0071110F" w:rsidRPr="00A3449A" w:rsidRDefault="0071110F" w:rsidP="00781834">
            <w:pPr>
              <w:spacing w:after="0" w:line="240" w:lineRule="auto"/>
              <w:jc w:val="both"/>
              <w:rPr>
                <w:rStyle w:val="e24kjd"/>
                <w:rFonts w:asciiTheme="majorHAnsi" w:hAnsiTheme="majorHAnsi" w:cstheme="majorHAnsi"/>
                <w:sz w:val="20"/>
              </w:rPr>
            </w:pPr>
            <w:r w:rsidRPr="000F739F">
              <w:rPr>
                <w:rFonts w:asciiTheme="majorHAnsi" w:hAnsiTheme="majorHAnsi" w:cstheme="majorHAnsi"/>
                <w:sz w:val="20"/>
              </w:rPr>
              <w:t xml:space="preserve">Moldova has the third fastest shrinking population </w:t>
            </w:r>
            <w:r>
              <w:rPr>
                <w:rFonts w:asciiTheme="majorHAnsi" w:hAnsiTheme="majorHAnsi" w:cstheme="majorHAnsi"/>
                <w:sz w:val="20"/>
              </w:rPr>
              <w:t>in the world</w:t>
            </w:r>
            <w:r>
              <w:rPr>
                <w:rStyle w:val="e24kjd"/>
                <w:sz w:val="20"/>
              </w:rPr>
              <w:t xml:space="preserve">. </w:t>
            </w:r>
            <w:r w:rsidR="00A3449A">
              <w:rPr>
                <w:rStyle w:val="e24kjd"/>
                <w:sz w:val="20"/>
              </w:rPr>
              <w:t>In 2020</w:t>
            </w:r>
            <w:r>
              <w:rPr>
                <w:rStyle w:val="e24kjd"/>
                <w:sz w:val="20"/>
              </w:rPr>
              <w:t xml:space="preserve"> </w:t>
            </w:r>
            <w:r w:rsidR="00A3449A">
              <w:rPr>
                <w:rStyle w:val="e24kjd"/>
                <w:sz w:val="20"/>
              </w:rPr>
              <w:t>its present population is</w:t>
            </w:r>
            <w:r w:rsidRPr="002D4B43">
              <w:rPr>
                <w:rStyle w:val="e24kjd"/>
                <w:sz w:val="20"/>
              </w:rPr>
              <w:t xml:space="preserve"> 2.</w:t>
            </w:r>
            <w:r>
              <w:rPr>
                <w:rStyle w:val="e24kjd"/>
                <w:sz w:val="20"/>
              </w:rPr>
              <w:t>8</w:t>
            </w:r>
            <w:r w:rsidRPr="002D4B43">
              <w:rPr>
                <w:rStyle w:val="e24kjd"/>
                <w:sz w:val="20"/>
              </w:rPr>
              <w:t xml:space="preserve"> mln (National Bureau of Statistics </w:t>
            </w:r>
            <w:r w:rsidR="00A3449A">
              <w:rPr>
                <w:rStyle w:val="e24kjd"/>
                <w:sz w:val="20"/>
              </w:rPr>
              <w:t xml:space="preserve">NBS </w:t>
            </w:r>
            <w:r w:rsidRPr="002D4B43">
              <w:rPr>
                <w:rStyle w:val="e24kjd"/>
                <w:sz w:val="20"/>
              </w:rPr>
              <w:t>2020</w:t>
            </w:r>
            <w:r w:rsidRPr="007273BE">
              <w:rPr>
                <w:rStyle w:val="e24kjd"/>
                <w:sz w:val="20"/>
                <w:vertAlign w:val="superscript"/>
              </w:rPr>
              <w:footnoteReference w:id="7"/>
            </w:r>
            <w:r w:rsidRPr="002D4B43">
              <w:rPr>
                <w:rStyle w:val="e24kjd"/>
                <w:sz w:val="20"/>
              </w:rPr>
              <w:t xml:space="preserve">), </w:t>
            </w:r>
            <w:r>
              <w:rPr>
                <w:rStyle w:val="e24kjd"/>
                <w:sz w:val="20"/>
              </w:rPr>
              <w:t>a</w:t>
            </w:r>
            <w:r w:rsidR="004A2E91">
              <w:rPr>
                <w:rStyle w:val="e24kjd"/>
                <w:sz w:val="20"/>
              </w:rPr>
              <w:t>nd</w:t>
            </w:r>
            <w:r w:rsidR="004A2E91" w:rsidRPr="000F739F">
              <w:rPr>
                <w:rFonts w:asciiTheme="majorHAnsi" w:hAnsiTheme="majorHAnsi" w:cstheme="majorHAnsi"/>
                <w:sz w:val="20"/>
              </w:rPr>
              <w:t xml:space="preserve"> a population of </w:t>
            </w:r>
            <w:r w:rsidR="004A2E91" w:rsidRPr="0007215E">
              <w:rPr>
                <w:rFonts w:asciiTheme="majorHAnsi" w:hAnsiTheme="majorHAnsi" w:cstheme="majorHAnsi"/>
                <w:sz w:val="20"/>
              </w:rPr>
              <w:t>475,665</w:t>
            </w:r>
            <w:r w:rsidR="004A2E91">
              <w:rPr>
                <w:rStyle w:val="FootnoteReference"/>
                <w:rFonts w:asciiTheme="majorHAnsi" w:hAnsiTheme="majorHAnsi" w:cstheme="majorHAnsi"/>
                <w:sz w:val="20"/>
              </w:rPr>
              <w:footnoteReference w:id="8"/>
            </w:r>
            <w:r w:rsidR="004A2E91">
              <w:rPr>
                <w:rFonts w:asciiTheme="majorHAnsi" w:hAnsiTheme="majorHAnsi" w:cstheme="majorHAnsi"/>
                <w:sz w:val="20"/>
              </w:rPr>
              <w:t xml:space="preserve"> in </w:t>
            </w:r>
            <w:r w:rsidRPr="000F739F">
              <w:rPr>
                <w:rFonts w:asciiTheme="majorHAnsi" w:hAnsiTheme="majorHAnsi" w:cstheme="majorHAnsi"/>
                <w:sz w:val="20"/>
              </w:rPr>
              <w:t xml:space="preserve">Transnistria, </w:t>
            </w:r>
            <w:r>
              <w:rPr>
                <w:rFonts w:asciiTheme="majorHAnsi" w:hAnsiTheme="majorHAnsi" w:cstheme="majorHAnsi"/>
                <w:sz w:val="20"/>
              </w:rPr>
              <w:t xml:space="preserve">adding up to a total of </w:t>
            </w:r>
            <w:r w:rsidRPr="0007215E">
              <w:rPr>
                <w:rFonts w:asciiTheme="majorHAnsi" w:hAnsiTheme="majorHAnsi" w:cstheme="majorHAnsi"/>
                <w:sz w:val="20"/>
              </w:rPr>
              <w:t>3.3</w:t>
            </w:r>
            <w:r>
              <w:rPr>
                <w:rFonts w:asciiTheme="majorHAnsi" w:hAnsiTheme="majorHAnsi" w:cstheme="majorHAnsi"/>
                <w:sz w:val="20"/>
              </w:rPr>
              <w:t xml:space="preserve"> mln, compared to 4.2 mln in 1991. </w:t>
            </w:r>
            <w:r w:rsidRPr="000F739F">
              <w:rPr>
                <w:rFonts w:asciiTheme="majorHAnsi" w:hAnsiTheme="majorHAnsi" w:cstheme="majorHAnsi"/>
                <w:sz w:val="20"/>
              </w:rPr>
              <w:t xml:space="preserve"> </w:t>
            </w:r>
            <w:r w:rsidR="007273BE">
              <w:rPr>
                <w:rStyle w:val="e24kjd"/>
                <w:rFonts w:asciiTheme="majorHAnsi" w:hAnsiTheme="majorHAnsi" w:cstheme="majorHAnsi"/>
                <w:sz w:val="20"/>
              </w:rPr>
              <w:t>Following reanalysis of Census 2014 data</w:t>
            </w:r>
            <w:r w:rsidR="00A3449A">
              <w:rPr>
                <w:rStyle w:val="e24kjd"/>
                <w:rFonts w:asciiTheme="majorHAnsi" w:hAnsiTheme="majorHAnsi" w:cstheme="majorHAnsi"/>
                <w:sz w:val="20"/>
              </w:rPr>
              <w:t>,</w:t>
            </w:r>
            <w:r w:rsidR="007273BE">
              <w:rPr>
                <w:rStyle w:val="e24kjd"/>
                <w:rFonts w:asciiTheme="majorHAnsi" w:hAnsiTheme="majorHAnsi" w:cstheme="majorHAnsi"/>
                <w:sz w:val="20"/>
              </w:rPr>
              <w:t xml:space="preserve"> NBS will update population breakdown by districts later in 2020. </w:t>
            </w:r>
            <w:r>
              <w:rPr>
                <w:rStyle w:val="e24kjd"/>
                <w:rFonts w:asciiTheme="majorHAnsi" w:hAnsiTheme="majorHAnsi" w:cstheme="majorHAnsi"/>
                <w:sz w:val="20"/>
              </w:rPr>
              <w:t>UN projections show a total 4.0 mln population</w:t>
            </w:r>
            <w:r w:rsidR="00A3449A">
              <w:rPr>
                <w:rStyle w:val="e24kjd"/>
                <w:rFonts w:asciiTheme="majorHAnsi" w:hAnsiTheme="majorHAnsi" w:cstheme="majorHAnsi"/>
                <w:sz w:val="20"/>
              </w:rPr>
              <w:t>,</w:t>
            </w:r>
            <w:r>
              <w:rPr>
                <w:rStyle w:val="FootnoteReference"/>
                <w:rFonts w:asciiTheme="majorHAnsi" w:hAnsiTheme="majorHAnsi" w:cstheme="majorHAnsi"/>
                <w:sz w:val="20"/>
              </w:rPr>
              <w:footnoteReference w:id="9"/>
            </w:r>
            <w:r>
              <w:rPr>
                <w:rStyle w:val="e24kjd"/>
                <w:rFonts w:asciiTheme="majorHAnsi" w:hAnsiTheme="majorHAnsi" w:cstheme="majorHAnsi"/>
                <w:sz w:val="20"/>
              </w:rPr>
              <w:t xml:space="preserve"> </w:t>
            </w:r>
            <w:r w:rsidR="003F269B">
              <w:rPr>
                <w:rStyle w:val="e24kjd"/>
                <w:rFonts w:asciiTheme="majorHAnsi" w:hAnsiTheme="majorHAnsi" w:cstheme="majorHAnsi"/>
                <w:sz w:val="20"/>
              </w:rPr>
              <w:t xml:space="preserve">this </w:t>
            </w:r>
            <w:r>
              <w:rPr>
                <w:rStyle w:val="e24kjd"/>
                <w:rFonts w:asciiTheme="majorHAnsi" w:hAnsiTheme="majorHAnsi" w:cstheme="majorHAnsi"/>
                <w:sz w:val="20"/>
              </w:rPr>
              <w:t>discrepancy in population</w:t>
            </w:r>
            <w:r w:rsidR="00A3449A">
              <w:rPr>
                <w:rStyle w:val="e24kjd"/>
                <w:rFonts w:asciiTheme="majorHAnsi" w:hAnsiTheme="majorHAnsi" w:cstheme="majorHAnsi"/>
                <w:sz w:val="20"/>
              </w:rPr>
              <w:t xml:space="preserve"> leading to overestimations in targets based on estimated indicators</w:t>
            </w:r>
            <w:r>
              <w:rPr>
                <w:rStyle w:val="e24kjd"/>
                <w:rFonts w:asciiTheme="majorHAnsi" w:hAnsiTheme="majorHAnsi" w:cstheme="majorHAnsi"/>
                <w:sz w:val="20"/>
              </w:rPr>
              <w:t>.</w:t>
            </w:r>
            <w:r w:rsidR="007273BE">
              <w:rPr>
                <w:rStyle w:val="e24kjd"/>
                <w:rFonts w:asciiTheme="majorHAnsi" w:hAnsiTheme="majorHAnsi" w:cstheme="majorHAnsi"/>
                <w:sz w:val="20"/>
              </w:rPr>
              <w:t xml:space="preserve"> </w:t>
            </w:r>
            <w:r>
              <w:rPr>
                <w:rStyle w:val="e24kjd"/>
                <w:rFonts w:asciiTheme="majorHAnsi" w:hAnsiTheme="majorHAnsi" w:cstheme="majorHAnsi"/>
                <w:sz w:val="20"/>
              </w:rPr>
              <w:t>In parallel to outmigration, Moldova experienc</w:t>
            </w:r>
            <w:r w:rsidR="007273BE">
              <w:rPr>
                <w:rStyle w:val="e24kjd"/>
                <w:rFonts w:asciiTheme="majorHAnsi" w:hAnsiTheme="majorHAnsi" w:cstheme="majorHAnsi"/>
                <w:sz w:val="20"/>
              </w:rPr>
              <w:t xml:space="preserve">es a negative population growth, </w:t>
            </w:r>
            <w:r w:rsidRPr="000F739F">
              <w:rPr>
                <w:rStyle w:val="e24kjd"/>
                <w:rFonts w:asciiTheme="majorHAnsi" w:hAnsiTheme="majorHAnsi" w:cstheme="majorHAnsi"/>
                <w:sz w:val="20"/>
              </w:rPr>
              <w:t>1.2 children being born to the average woman</w:t>
            </w:r>
            <w:r>
              <w:rPr>
                <w:rStyle w:val="e24kjd"/>
                <w:rFonts w:asciiTheme="majorHAnsi" w:hAnsiTheme="majorHAnsi" w:cstheme="majorHAnsi"/>
                <w:sz w:val="20"/>
              </w:rPr>
              <w:t xml:space="preserve">, a </w:t>
            </w:r>
            <w:r w:rsidRPr="000F739F">
              <w:rPr>
                <w:rStyle w:val="e24kjd"/>
                <w:rFonts w:asciiTheme="majorHAnsi" w:hAnsiTheme="majorHAnsi" w:cstheme="majorHAnsi"/>
                <w:sz w:val="20"/>
              </w:rPr>
              <w:t>birth rate less than the worldwide average</w:t>
            </w:r>
            <w:r w:rsidRPr="00101B07">
              <w:rPr>
                <w:rStyle w:val="e24kjd"/>
                <w:rFonts w:asciiTheme="majorHAnsi" w:hAnsiTheme="majorHAnsi" w:cstheme="majorHAnsi"/>
                <w:sz w:val="20"/>
              </w:rPr>
              <w:t xml:space="preserve"> population is expected to decline to 1 mln by 2050</w:t>
            </w:r>
            <w:r>
              <w:rPr>
                <w:rStyle w:val="e24kjd"/>
                <w:rFonts w:asciiTheme="majorHAnsi" w:hAnsiTheme="majorHAnsi" w:cstheme="majorHAnsi"/>
                <w:sz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8"/>
              <w:gridCol w:w="6362"/>
            </w:tblGrid>
            <w:tr w:rsidR="0071110F" w14:paraId="0A05D287" w14:textId="77777777" w:rsidTr="00781834">
              <w:tc>
                <w:tcPr>
                  <w:tcW w:w="3821" w:type="dxa"/>
                </w:tcPr>
                <w:p w14:paraId="46307422" w14:textId="77777777" w:rsidR="0071110F" w:rsidRDefault="0071110F" w:rsidP="00781834">
                  <w:pPr>
                    <w:rPr>
                      <w:rStyle w:val="e24kjd"/>
                      <w:rFonts w:asciiTheme="majorHAnsi" w:hAnsiTheme="majorHAnsi" w:cstheme="majorHAnsi"/>
                      <w:sz w:val="20"/>
                    </w:rPr>
                  </w:pPr>
                  <w:r w:rsidRPr="000F739F">
                    <w:rPr>
                      <w:rFonts w:asciiTheme="majorHAnsi" w:hAnsiTheme="majorHAnsi" w:cstheme="majorHAnsi"/>
                      <w:noProof/>
                      <w:sz w:val="20"/>
                    </w:rPr>
                    <w:drawing>
                      <wp:inline distT="0" distB="0" distL="0" distR="0" wp14:anchorId="64B444E0" wp14:editId="72C343C7">
                        <wp:extent cx="2333625" cy="269113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43570" cy="2702599"/>
                                </a:xfrm>
                                <a:prstGeom prst="rect">
                                  <a:avLst/>
                                </a:prstGeom>
                              </pic:spPr>
                            </pic:pic>
                          </a:graphicData>
                        </a:graphic>
                      </wp:inline>
                    </w:drawing>
                  </w:r>
                </w:p>
              </w:tc>
              <w:tc>
                <w:tcPr>
                  <w:tcW w:w="6409" w:type="dxa"/>
                </w:tcPr>
                <w:p w14:paraId="4BE42254" w14:textId="77777777" w:rsidR="0071110F" w:rsidRDefault="0071110F" w:rsidP="00781834">
                  <w:pPr>
                    <w:rPr>
                      <w:rStyle w:val="e24kjd"/>
                      <w:rFonts w:asciiTheme="majorHAnsi" w:hAnsiTheme="majorHAnsi" w:cstheme="majorHAnsi"/>
                      <w:sz w:val="20"/>
                    </w:rPr>
                  </w:pPr>
                  <w:r w:rsidRPr="00F47B63">
                    <w:rPr>
                      <w:rStyle w:val="e24kjd"/>
                      <w:rFonts w:asciiTheme="majorHAnsi" w:hAnsiTheme="majorHAnsi" w:cstheme="majorHAnsi"/>
                      <w:noProof/>
                      <w:sz w:val="20"/>
                    </w:rPr>
                    <w:drawing>
                      <wp:inline distT="0" distB="0" distL="0" distR="0" wp14:anchorId="480C138B" wp14:editId="125684DB">
                        <wp:extent cx="3932555" cy="2775921"/>
                        <wp:effectExtent l="0" t="0" r="0" b="5715"/>
                        <wp:docPr id="9" name="Picture 9" descr="D:\Documents\average-real-gdp-per-capita-across-countries-and-regio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average-real-gdp-per-capita-across-countries-and-regions(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36966" cy="2779034"/>
                                </a:xfrm>
                                <a:prstGeom prst="rect">
                                  <a:avLst/>
                                </a:prstGeom>
                                <a:noFill/>
                                <a:ln>
                                  <a:noFill/>
                                </a:ln>
                              </pic:spPr>
                            </pic:pic>
                          </a:graphicData>
                        </a:graphic>
                      </wp:inline>
                    </w:drawing>
                  </w:r>
                </w:p>
              </w:tc>
            </w:tr>
            <w:tr w:rsidR="0071110F" w:rsidRPr="00C71542" w14:paraId="76D4D335" w14:textId="77777777" w:rsidTr="00781834">
              <w:tc>
                <w:tcPr>
                  <w:tcW w:w="10230" w:type="dxa"/>
                  <w:gridSpan w:val="2"/>
                </w:tcPr>
                <w:p w14:paraId="1C6A28A3" w14:textId="77777777" w:rsidR="0071110F" w:rsidRPr="00CB18D0" w:rsidRDefault="0071110F" w:rsidP="00781834">
                  <w:pPr>
                    <w:spacing w:after="0" w:line="240" w:lineRule="auto"/>
                    <w:rPr>
                      <w:rFonts w:asciiTheme="majorHAnsi" w:hAnsiTheme="majorHAnsi" w:cstheme="majorHAnsi"/>
                      <w:sz w:val="18"/>
                    </w:rPr>
                  </w:pPr>
                  <w:r w:rsidRPr="000F739F">
                    <w:rPr>
                      <w:rFonts w:asciiTheme="majorHAnsi" w:hAnsiTheme="majorHAnsi" w:cstheme="majorHAnsi"/>
                      <w:sz w:val="20"/>
                    </w:rPr>
                    <w:t>Source</w:t>
                  </w:r>
                  <w:r>
                    <w:rPr>
                      <w:rFonts w:asciiTheme="majorHAnsi" w:hAnsiTheme="majorHAnsi" w:cstheme="majorHAnsi"/>
                      <w:sz w:val="20"/>
                    </w:rPr>
                    <w:t>s</w:t>
                  </w:r>
                  <w:r w:rsidRPr="000F739F">
                    <w:rPr>
                      <w:rFonts w:asciiTheme="majorHAnsi" w:hAnsiTheme="majorHAnsi" w:cstheme="majorHAnsi"/>
                      <w:sz w:val="20"/>
                    </w:rPr>
                    <w:t xml:space="preserve">: </w:t>
                  </w:r>
                  <w:r w:rsidRPr="00CB18D0">
                    <w:rPr>
                      <w:rFonts w:asciiTheme="majorHAnsi" w:hAnsiTheme="majorHAnsi" w:cstheme="majorHAnsi"/>
                      <w:sz w:val="18"/>
                    </w:rPr>
                    <w:t xml:space="preserve">GDP per capita evolution - Madisson Project database 2018, multiple year benchmaks: </w:t>
                  </w:r>
                  <w:hyperlink r:id="rId21" w:history="1">
                    <w:r w:rsidRPr="00CB18D0">
                      <w:rPr>
                        <w:rStyle w:val="Hyperlink"/>
                        <w:rFonts w:asciiTheme="majorHAnsi" w:hAnsiTheme="majorHAnsi" w:cstheme="majorHAnsi"/>
                        <w:sz w:val="18"/>
                      </w:rPr>
                      <w:t>https://ourworldindata.org/</w:t>
                    </w:r>
                  </w:hyperlink>
                  <w:r w:rsidRPr="00CB18D0">
                    <w:rPr>
                      <w:rFonts w:asciiTheme="majorHAnsi" w:hAnsiTheme="majorHAnsi" w:cstheme="majorHAnsi"/>
                      <w:sz w:val="18"/>
                    </w:rPr>
                    <w:t xml:space="preserve"> </w:t>
                  </w:r>
                </w:p>
                <w:p w14:paraId="2FA5B368" w14:textId="77777777" w:rsidR="0071110F" w:rsidRPr="00C71542" w:rsidRDefault="0071110F" w:rsidP="00781834">
                  <w:pPr>
                    <w:spacing w:after="0" w:line="240" w:lineRule="auto"/>
                    <w:jc w:val="both"/>
                    <w:rPr>
                      <w:rStyle w:val="Hyperlink"/>
                      <w:rFonts w:asciiTheme="majorHAnsi" w:hAnsiTheme="majorHAnsi" w:cstheme="majorHAnsi"/>
                      <w:sz w:val="18"/>
                      <w:lang w:val="fr-FR"/>
                    </w:rPr>
                  </w:pPr>
                  <w:r w:rsidRPr="00C71542">
                    <w:rPr>
                      <w:rFonts w:asciiTheme="majorHAnsi" w:hAnsiTheme="majorHAnsi" w:cstheme="majorHAnsi"/>
                      <w:sz w:val="18"/>
                      <w:lang w:val="fr-FR"/>
                    </w:rPr>
                    <w:t xml:space="preserve">Population pyramid: </w:t>
                  </w:r>
                  <w:hyperlink r:id="rId22" w:history="1">
                    <w:r w:rsidRPr="00C71542">
                      <w:rPr>
                        <w:rStyle w:val="Hyperlink"/>
                        <w:rFonts w:asciiTheme="majorHAnsi" w:hAnsiTheme="majorHAnsi" w:cstheme="majorHAnsi"/>
                        <w:sz w:val="18"/>
                        <w:lang w:val="fr-FR"/>
                      </w:rPr>
                      <w:t>https://worldpopulationreview.com/countries/moldova-population/</w:t>
                    </w:r>
                  </w:hyperlink>
                </w:p>
                <w:p w14:paraId="02E06D7C" w14:textId="77777777" w:rsidR="0071110F" w:rsidRPr="00C71542" w:rsidRDefault="0071110F" w:rsidP="00781834">
                  <w:pPr>
                    <w:spacing w:after="0" w:line="240" w:lineRule="auto"/>
                    <w:jc w:val="both"/>
                    <w:rPr>
                      <w:rStyle w:val="e24kjd"/>
                      <w:rFonts w:asciiTheme="majorHAnsi" w:hAnsiTheme="majorHAnsi" w:cstheme="majorHAnsi"/>
                      <w:sz w:val="20"/>
                      <w:lang w:val="fr-FR"/>
                    </w:rPr>
                  </w:pPr>
                </w:p>
              </w:tc>
            </w:tr>
          </w:tbl>
          <w:p w14:paraId="5DB79C0E" w14:textId="42BD8E14" w:rsidR="0071110F" w:rsidRDefault="0071110F" w:rsidP="00781834">
            <w:pPr>
              <w:spacing w:after="0" w:line="240" w:lineRule="auto"/>
              <w:jc w:val="both"/>
              <w:rPr>
                <w:rFonts w:asciiTheme="minorHAnsi" w:hAnsiTheme="minorHAnsi" w:cstheme="minorHAnsi"/>
                <w:color w:val="000000"/>
              </w:rPr>
            </w:pPr>
            <w:r w:rsidRPr="002D4B43">
              <w:rPr>
                <w:rStyle w:val="e24kjd"/>
                <w:rFonts w:asciiTheme="majorHAnsi" w:hAnsiTheme="majorHAnsi" w:cstheme="majorHAnsi"/>
                <w:sz w:val="20"/>
              </w:rPr>
              <w:lastRenderedPageBreak/>
              <w:t>Moldova faces a tight macro-economic environment</w:t>
            </w:r>
            <w:r w:rsidR="008376E7">
              <w:rPr>
                <w:rStyle w:val="e24kjd"/>
                <w:rFonts w:asciiTheme="majorHAnsi" w:hAnsiTheme="majorHAnsi" w:cstheme="majorHAnsi"/>
                <w:sz w:val="20"/>
              </w:rPr>
              <w:t xml:space="preserve"> in 2020</w:t>
            </w:r>
            <w:r w:rsidRPr="002D4B43">
              <w:rPr>
                <w:rStyle w:val="e24kjd"/>
                <w:rFonts w:asciiTheme="majorHAnsi" w:hAnsiTheme="majorHAnsi" w:cstheme="majorHAnsi"/>
                <w:sz w:val="20"/>
              </w:rPr>
              <w:t>. Even before the COVID-19</w:t>
            </w:r>
            <w:r>
              <w:rPr>
                <w:rStyle w:val="e24kjd"/>
                <w:rFonts w:asciiTheme="majorHAnsi" w:hAnsiTheme="majorHAnsi" w:cstheme="majorHAnsi"/>
                <w:sz w:val="20"/>
              </w:rPr>
              <w:t xml:space="preserve"> crisis</w:t>
            </w:r>
            <w:r w:rsidRPr="002D4B43">
              <w:rPr>
                <w:rStyle w:val="e24kjd"/>
                <w:rFonts w:asciiTheme="majorHAnsi" w:hAnsiTheme="majorHAnsi" w:cstheme="majorHAnsi"/>
                <w:sz w:val="20"/>
              </w:rPr>
              <w:t xml:space="preserve">, the economy </w:t>
            </w:r>
            <w:r>
              <w:rPr>
                <w:rStyle w:val="e24kjd"/>
                <w:rFonts w:asciiTheme="majorHAnsi" w:hAnsiTheme="majorHAnsi" w:cstheme="majorHAnsi"/>
                <w:sz w:val="20"/>
              </w:rPr>
              <w:t xml:space="preserve">growth </w:t>
            </w:r>
            <w:r w:rsidRPr="002D4B43">
              <w:rPr>
                <w:rStyle w:val="e24kjd"/>
                <w:rFonts w:asciiTheme="majorHAnsi" w:hAnsiTheme="majorHAnsi" w:cstheme="majorHAnsi"/>
                <w:sz w:val="20"/>
              </w:rPr>
              <w:t xml:space="preserve">declined sharply to 0.2 percent in the last quarter of 2019, as agriculture and electricity production plunged, with a slowdown in exports and investments. </w:t>
            </w:r>
            <w:r>
              <w:rPr>
                <w:rStyle w:val="e24kjd"/>
                <w:rFonts w:asciiTheme="majorHAnsi" w:hAnsiTheme="majorHAnsi" w:cstheme="majorHAnsi"/>
                <w:sz w:val="20"/>
              </w:rPr>
              <w:t>A</w:t>
            </w:r>
            <w:r w:rsidRPr="002D4B43">
              <w:rPr>
                <w:rStyle w:val="e24kjd"/>
                <w:rFonts w:asciiTheme="majorHAnsi" w:hAnsiTheme="majorHAnsi" w:cstheme="majorHAnsi"/>
                <w:sz w:val="20"/>
              </w:rPr>
              <w:t xml:space="preserve"> World Bank analysis shows that the COVID epidemic has set off an economic </w:t>
            </w:r>
            <w:r>
              <w:rPr>
                <w:rStyle w:val="e24kjd"/>
                <w:rFonts w:asciiTheme="majorHAnsi" w:hAnsiTheme="majorHAnsi" w:cstheme="majorHAnsi"/>
                <w:sz w:val="20"/>
              </w:rPr>
              <w:t>crisi</w:t>
            </w:r>
            <w:r w:rsidRPr="002D4B43">
              <w:rPr>
                <w:rStyle w:val="e24kjd"/>
                <w:rFonts w:asciiTheme="majorHAnsi" w:hAnsiTheme="majorHAnsi" w:cstheme="majorHAnsi"/>
                <w:sz w:val="20"/>
              </w:rPr>
              <w:t>s. The unfolding economic crisis will lead to a contraction of Moldova's economy in 2020 and the real GDP growth for 2020 is set at -3.1%</w:t>
            </w:r>
            <w:r>
              <w:rPr>
                <w:rStyle w:val="e24kjd"/>
                <w:rFonts w:asciiTheme="majorHAnsi" w:hAnsiTheme="majorHAnsi" w:cstheme="majorHAnsi"/>
                <w:sz w:val="20"/>
              </w:rPr>
              <w:t xml:space="preserve"> as baseline and -5.2</w:t>
            </w:r>
            <w:r w:rsidR="003F269B">
              <w:rPr>
                <w:rStyle w:val="e24kjd"/>
                <w:rFonts w:asciiTheme="majorHAnsi" w:hAnsiTheme="majorHAnsi" w:cstheme="majorHAnsi"/>
                <w:sz w:val="20"/>
              </w:rPr>
              <w:t>%</w:t>
            </w:r>
            <w:r>
              <w:rPr>
                <w:rStyle w:val="e24kjd"/>
                <w:rFonts w:asciiTheme="majorHAnsi" w:hAnsiTheme="majorHAnsi" w:cstheme="majorHAnsi"/>
                <w:sz w:val="20"/>
              </w:rPr>
              <w:t xml:space="preserve"> as downside</w:t>
            </w:r>
            <w:r w:rsidRPr="002D4B43">
              <w:rPr>
                <w:rStyle w:val="e24kjd"/>
                <w:rFonts w:asciiTheme="majorHAnsi" w:hAnsiTheme="majorHAnsi" w:cstheme="majorHAnsi"/>
                <w:sz w:val="20"/>
              </w:rPr>
              <w:t>. E</w:t>
            </w:r>
            <w:r>
              <w:rPr>
                <w:rStyle w:val="e24kjd"/>
                <w:rFonts w:asciiTheme="majorHAnsi" w:hAnsiTheme="majorHAnsi" w:cstheme="majorHAnsi"/>
                <w:sz w:val="20"/>
              </w:rPr>
              <w:t>conomic lockdown,</w:t>
            </w:r>
            <w:r w:rsidRPr="002D4B43">
              <w:rPr>
                <w:rStyle w:val="e24kjd"/>
                <w:rFonts w:asciiTheme="majorHAnsi" w:hAnsiTheme="majorHAnsi" w:cstheme="majorHAnsi"/>
                <w:sz w:val="20"/>
              </w:rPr>
              <w:t xml:space="preserve"> travel restrictions </w:t>
            </w:r>
            <w:r>
              <w:rPr>
                <w:rStyle w:val="e24kjd"/>
                <w:rFonts w:asciiTheme="majorHAnsi" w:hAnsiTheme="majorHAnsi" w:cstheme="majorHAnsi"/>
                <w:sz w:val="20"/>
              </w:rPr>
              <w:t>and a</w:t>
            </w:r>
            <w:r w:rsidRPr="002D4B43">
              <w:rPr>
                <w:rStyle w:val="e24kjd"/>
                <w:rFonts w:asciiTheme="majorHAnsi" w:hAnsiTheme="majorHAnsi" w:cstheme="majorHAnsi"/>
                <w:sz w:val="20"/>
              </w:rPr>
              <w:t xml:space="preserve"> fall in remittances will lead to a sharp deterioration in activity</w:t>
            </w:r>
            <w:r w:rsidR="003F269B">
              <w:rPr>
                <w:rStyle w:val="e24kjd"/>
                <w:rFonts w:asciiTheme="majorHAnsi" w:hAnsiTheme="majorHAnsi" w:cstheme="majorHAnsi"/>
                <w:sz w:val="20"/>
              </w:rPr>
              <w:t>,</w:t>
            </w:r>
            <w:r w:rsidRPr="002D4B43">
              <w:rPr>
                <w:rStyle w:val="e24kjd"/>
                <w:rFonts w:asciiTheme="majorHAnsi" w:hAnsiTheme="majorHAnsi" w:cstheme="majorHAnsi"/>
                <w:sz w:val="20"/>
              </w:rPr>
              <w:t xml:space="preserve"> and a s</w:t>
            </w:r>
            <w:r>
              <w:rPr>
                <w:rStyle w:val="e24kjd"/>
                <w:rFonts w:asciiTheme="majorHAnsi" w:hAnsiTheme="majorHAnsi" w:cstheme="majorHAnsi"/>
                <w:sz w:val="20"/>
              </w:rPr>
              <w:t>evere drop in disposable income</w:t>
            </w:r>
            <w:r w:rsidRPr="002D4B43">
              <w:rPr>
                <w:rStyle w:val="e24kjd"/>
                <w:rFonts w:asciiTheme="majorHAnsi" w:hAnsiTheme="majorHAnsi" w:cstheme="majorHAnsi"/>
                <w:sz w:val="20"/>
              </w:rPr>
              <w:t xml:space="preserve"> will further depress private consumption.</w:t>
            </w:r>
            <w:r>
              <w:rPr>
                <w:rStyle w:val="FootnoteReference"/>
                <w:rFonts w:asciiTheme="majorHAnsi" w:hAnsiTheme="majorHAnsi" w:cstheme="majorHAnsi"/>
                <w:sz w:val="20"/>
              </w:rPr>
              <w:footnoteReference w:id="10"/>
            </w:r>
            <w:r w:rsidRPr="002D4B43">
              <w:rPr>
                <w:rStyle w:val="e24kjd"/>
                <w:rFonts w:asciiTheme="majorHAnsi" w:hAnsiTheme="majorHAnsi" w:cstheme="majorHAnsi"/>
                <w:sz w:val="20"/>
              </w:rPr>
              <w:t xml:space="preserve"> </w:t>
            </w:r>
          </w:p>
          <w:p w14:paraId="67EAA2F8" w14:textId="77777777" w:rsidR="0071110F" w:rsidRDefault="0071110F" w:rsidP="00781834">
            <w:pPr>
              <w:spacing w:after="0"/>
              <w:jc w:val="both"/>
              <w:rPr>
                <w:rStyle w:val="e24kjd"/>
                <w:rFonts w:asciiTheme="majorHAnsi" w:hAnsiTheme="majorHAnsi" w:cstheme="majorHAnsi"/>
                <w:sz w:val="20"/>
              </w:rPr>
            </w:pPr>
          </w:p>
          <w:p w14:paraId="60236A00" w14:textId="1A98ADC7" w:rsidR="003D67DA" w:rsidRPr="003D67DA" w:rsidRDefault="0071110F" w:rsidP="003D67DA">
            <w:pPr>
              <w:spacing w:after="0"/>
              <w:jc w:val="both"/>
              <w:rPr>
                <w:szCs w:val="20"/>
              </w:rPr>
            </w:pPr>
            <w:r>
              <w:rPr>
                <w:rStyle w:val="e24kjd"/>
                <w:rFonts w:asciiTheme="majorHAnsi" w:hAnsiTheme="majorHAnsi" w:cstheme="majorHAnsi"/>
                <w:sz w:val="20"/>
              </w:rPr>
              <w:t xml:space="preserve">Poverty and </w:t>
            </w:r>
            <w:r w:rsidRPr="00101B07">
              <w:rPr>
                <w:rStyle w:val="e24kjd"/>
                <w:rFonts w:asciiTheme="majorHAnsi" w:hAnsiTheme="majorHAnsi" w:cstheme="majorHAnsi"/>
                <w:sz w:val="20"/>
              </w:rPr>
              <w:t xml:space="preserve">related migration of large segments of the population are central development issues in Moldova. </w:t>
            </w:r>
            <w:r w:rsidR="008376E7" w:rsidRPr="00101B07">
              <w:rPr>
                <w:rStyle w:val="e24kjd"/>
                <w:rFonts w:asciiTheme="majorHAnsi" w:hAnsiTheme="majorHAnsi" w:cstheme="majorHAnsi"/>
                <w:sz w:val="20"/>
              </w:rPr>
              <w:t>Labor</w:t>
            </w:r>
            <w:r w:rsidRPr="00101B07">
              <w:rPr>
                <w:rStyle w:val="e24kjd"/>
                <w:rFonts w:asciiTheme="majorHAnsi" w:hAnsiTheme="majorHAnsi" w:cstheme="majorHAnsi"/>
                <w:sz w:val="20"/>
              </w:rPr>
              <w:t xml:space="preserve"> migration affects access to health services, including doctors and </w:t>
            </w:r>
            <w:r>
              <w:rPr>
                <w:rStyle w:val="e24kjd"/>
                <w:rFonts w:asciiTheme="majorHAnsi" w:hAnsiTheme="majorHAnsi" w:cstheme="majorHAnsi"/>
                <w:sz w:val="20"/>
              </w:rPr>
              <w:t>nurses</w:t>
            </w:r>
            <w:r w:rsidRPr="00101B07">
              <w:rPr>
                <w:rStyle w:val="e24kjd"/>
                <w:rFonts w:asciiTheme="majorHAnsi" w:hAnsiTheme="majorHAnsi" w:cstheme="majorHAnsi"/>
                <w:sz w:val="20"/>
              </w:rPr>
              <w:t xml:space="preserve"> </w:t>
            </w:r>
            <w:r w:rsidR="004A2E91">
              <w:rPr>
                <w:rStyle w:val="e24kjd"/>
                <w:rFonts w:asciiTheme="majorHAnsi" w:hAnsiTheme="majorHAnsi" w:cstheme="majorHAnsi"/>
                <w:sz w:val="20"/>
              </w:rPr>
              <w:t>leaving</w:t>
            </w:r>
            <w:r w:rsidRPr="00101B07">
              <w:rPr>
                <w:rStyle w:val="e24kjd"/>
                <w:rFonts w:asciiTheme="majorHAnsi" w:hAnsiTheme="majorHAnsi" w:cstheme="majorHAnsi"/>
                <w:sz w:val="20"/>
              </w:rPr>
              <w:t xml:space="preserve"> Moldova </w:t>
            </w:r>
            <w:r>
              <w:rPr>
                <w:rStyle w:val="e24kjd"/>
                <w:rFonts w:asciiTheme="majorHAnsi" w:hAnsiTheme="majorHAnsi" w:cstheme="majorHAnsi"/>
                <w:sz w:val="20"/>
              </w:rPr>
              <w:t>to</w:t>
            </w:r>
            <w:r w:rsidRPr="00101B07">
              <w:rPr>
                <w:rStyle w:val="e24kjd"/>
                <w:rFonts w:asciiTheme="majorHAnsi" w:hAnsiTheme="majorHAnsi" w:cstheme="majorHAnsi"/>
                <w:sz w:val="20"/>
              </w:rPr>
              <w:t xml:space="preserve"> work </w:t>
            </w:r>
            <w:r>
              <w:rPr>
                <w:rStyle w:val="e24kjd"/>
                <w:rFonts w:asciiTheme="majorHAnsi" w:hAnsiTheme="majorHAnsi" w:cstheme="majorHAnsi"/>
                <w:sz w:val="20"/>
              </w:rPr>
              <w:t xml:space="preserve">in </w:t>
            </w:r>
            <w:r w:rsidRPr="00101B07">
              <w:rPr>
                <w:rStyle w:val="e24kjd"/>
                <w:rFonts w:asciiTheme="majorHAnsi" w:hAnsiTheme="majorHAnsi" w:cstheme="majorHAnsi"/>
                <w:sz w:val="20"/>
              </w:rPr>
              <w:t xml:space="preserve">other countries. </w:t>
            </w:r>
            <w:r w:rsidR="004A2E91" w:rsidRPr="004A2E91">
              <w:rPr>
                <w:rStyle w:val="e24kjd"/>
                <w:rFonts w:asciiTheme="majorHAnsi" w:hAnsiTheme="majorHAnsi" w:cstheme="majorHAnsi"/>
                <w:sz w:val="20"/>
              </w:rPr>
              <w:t xml:space="preserve">Covid-19 epidemic </w:t>
            </w:r>
            <w:r w:rsidR="004A2E91">
              <w:rPr>
                <w:rStyle w:val="e24kjd"/>
                <w:rFonts w:asciiTheme="majorHAnsi" w:hAnsiTheme="majorHAnsi" w:cstheme="majorHAnsi"/>
                <w:sz w:val="20"/>
              </w:rPr>
              <w:t>puts a</w:t>
            </w:r>
            <w:r w:rsidR="004A2E91" w:rsidRPr="004A2E91">
              <w:rPr>
                <w:rStyle w:val="e24kjd"/>
                <w:rFonts w:asciiTheme="majorHAnsi" w:hAnsiTheme="majorHAnsi" w:cstheme="majorHAnsi"/>
                <w:sz w:val="20"/>
              </w:rPr>
              <w:t xml:space="preserve"> particular</w:t>
            </w:r>
            <w:r w:rsidR="004A2E91">
              <w:rPr>
                <w:rStyle w:val="e24kjd"/>
                <w:rFonts w:asciiTheme="majorHAnsi" w:hAnsiTheme="majorHAnsi" w:cstheme="majorHAnsi"/>
                <w:sz w:val="20"/>
              </w:rPr>
              <w:t>ly high burden on</w:t>
            </w:r>
            <w:r w:rsidR="004A2E91" w:rsidRPr="004A2E91">
              <w:rPr>
                <w:rStyle w:val="e24kjd"/>
                <w:rFonts w:asciiTheme="majorHAnsi" w:hAnsiTheme="majorHAnsi" w:cstheme="majorHAnsi"/>
                <w:sz w:val="20"/>
              </w:rPr>
              <w:t xml:space="preserve"> health workforce, as approximately 25% of all cases have been diagnosed among health workers.</w:t>
            </w:r>
            <w:r w:rsidR="00500EA7">
              <w:rPr>
                <w:rStyle w:val="e24kjd"/>
                <w:rFonts w:asciiTheme="majorHAnsi" w:hAnsiTheme="majorHAnsi" w:cstheme="majorHAnsi"/>
                <w:sz w:val="20"/>
              </w:rPr>
              <w:t xml:space="preserve"> </w:t>
            </w:r>
            <w:r w:rsidRPr="00101B07">
              <w:rPr>
                <w:rStyle w:val="e24kjd"/>
                <w:rFonts w:asciiTheme="majorHAnsi" w:hAnsiTheme="majorHAnsi" w:cstheme="majorHAnsi"/>
                <w:sz w:val="20"/>
              </w:rPr>
              <w:t xml:space="preserve">Moldova has a double epidemiological burden as </w:t>
            </w:r>
            <w:r>
              <w:rPr>
                <w:rStyle w:val="e24kjd"/>
                <w:rFonts w:asciiTheme="majorHAnsi" w:hAnsiTheme="majorHAnsi" w:cstheme="majorHAnsi"/>
                <w:sz w:val="20"/>
              </w:rPr>
              <w:t xml:space="preserve">both </w:t>
            </w:r>
            <w:r w:rsidRPr="00101B07">
              <w:rPr>
                <w:rStyle w:val="e24kjd"/>
                <w:rFonts w:asciiTheme="majorHAnsi" w:hAnsiTheme="majorHAnsi" w:cstheme="majorHAnsi"/>
                <w:sz w:val="20"/>
              </w:rPr>
              <w:t>rates of communicable diseases</w:t>
            </w:r>
            <w:r>
              <w:rPr>
                <w:rStyle w:val="e24kjd"/>
                <w:rFonts w:asciiTheme="majorHAnsi" w:hAnsiTheme="majorHAnsi" w:cstheme="majorHAnsi"/>
                <w:sz w:val="20"/>
              </w:rPr>
              <w:t>, like HIV and TB</w:t>
            </w:r>
            <w:r w:rsidRPr="00101B07">
              <w:rPr>
                <w:rStyle w:val="e24kjd"/>
                <w:rFonts w:asciiTheme="majorHAnsi" w:hAnsiTheme="majorHAnsi" w:cstheme="majorHAnsi"/>
                <w:sz w:val="20"/>
              </w:rPr>
              <w:t xml:space="preserve"> hav</w:t>
            </w:r>
            <w:r>
              <w:rPr>
                <w:rStyle w:val="e24kjd"/>
                <w:rFonts w:asciiTheme="majorHAnsi" w:hAnsiTheme="majorHAnsi" w:cstheme="majorHAnsi"/>
                <w:sz w:val="20"/>
              </w:rPr>
              <w:t>e increased since independence</w:t>
            </w:r>
            <w:r w:rsidR="008F1EFB">
              <w:rPr>
                <w:rStyle w:val="e24kjd"/>
                <w:rFonts w:asciiTheme="majorHAnsi" w:hAnsiTheme="majorHAnsi" w:cstheme="majorHAnsi"/>
                <w:sz w:val="20"/>
              </w:rPr>
              <w:t xml:space="preserve">. </w:t>
            </w:r>
            <w:r w:rsidR="008F1EFB" w:rsidRPr="00101B07">
              <w:rPr>
                <w:rStyle w:val="e24kjd"/>
                <w:rFonts w:asciiTheme="majorHAnsi" w:hAnsiTheme="majorHAnsi" w:cstheme="majorHAnsi"/>
                <w:sz w:val="20"/>
              </w:rPr>
              <w:t>Heart disease and stroke, cancers and digestive diseases (mostly liver-related) predominate as the main causes of mortality in the Republic of Moldova for both men and women.</w:t>
            </w:r>
            <w:r w:rsidR="008F1EFB">
              <w:rPr>
                <w:rStyle w:val="e24kjd"/>
                <w:rFonts w:asciiTheme="majorHAnsi" w:hAnsiTheme="majorHAnsi" w:cstheme="majorHAnsi"/>
                <w:sz w:val="20"/>
              </w:rPr>
              <w:t xml:space="preserve"> NCDs are the main </w:t>
            </w:r>
            <w:r w:rsidRPr="00101B07">
              <w:rPr>
                <w:rStyle w:val="e24kjd"/>
                <w:rFonts w:asciiTheme="majorHAnsi" w:hAnsiTheme="majorHAnsi" w:cstheme="majorHAnsi"/>
                <w:sz w:val="20"/>
              </w:rPr>
              <w:t>cause of premature mortality and</w:t>
            </w:r>
            <w:r>
              <w:rPr>
                <w:rStyle w:val="e24kjd"/>
                <w:rFonts w:asciiTheme="majorHAnsi" w:hAnsiTheme="majorHAnsi" w:cstheme="majorHAnsi"/>
                <w:sz w:val="20"/>
              </w:rPr>
              <w:t xml:space="preserve"> have been</w:t>
            </w:r>
            <w:r w:rsidRPr="00101B07">
              <w:rPr>
                <w:rStyle w:val="e24kjd"/>
                <w:rFonts w:asciiTheme="majorHAnsi" w:hAnsiTheme="majorHAnsi" w:cstheme="majorHAnsi"/>
                <w:sz w:val="20"/>
              </w:rPr>
              <w:t xml:space="preserve"> linked to social distress</w:t>
            </w:r>
            <w:r w:rsidR="008F1EFB">
              <w:rPr>
                <w:rStyle w:val="e24kjd"/>
                <w:rFonts w:asciiTheme="majorHAnsi" w:hAnsiTheme="majorHAnsi" w:cstheme="majorHAnsi"/>
                <w:sz w:val="20"/>
              </w:rPr>
              <w:t xml:space="preserve"> and increased risk factors</w:t>
            </w:r>
            <w:r w:rsidRPr="00101B07">
              <w:rPr>
                <w:rStyle w:val="e24kjd"/>
                <w:rFonts w:asciiTheme="majorHAnsi" w:hAnsiTheme="majorHAnsi" w:cstheme="majorHAnsi"/>
                <w:sz w:val="20"/>
              </w:rPr>
              <w:t>.</w:t>
            </w:r>
            <w:r>
              <w:rPr>
                <w:rStyle w:val="e24kjd"/>
                <w:rFonts w:asciiTheme="majorHAnsi" w:hAnsiTheme="majorHAnsi" w:cstheme="majorHAnsi"/>
                <w:sz w:val="20"/>
              </w:rPr>
              <w:t xml:space="preserve"> </w:t>
            </w:r>
            <w:r w:rsidR="008F1EFB" w:rsidRPr="00101B07">
              <w:rPr>
                <w:rStyle w:val="e24kjd"/>
                <w:rFonts w:asciiTheme="majorHAnsi" w:hAnsiTheme="majorHAnsi" w:cstheme="majorHAnsi"/>
                <w:sz w:val="20"/>
              </w:rPr>
              <w:t xml:space="preserve">Poverty, </w:t>
            </w:r>
            <w:r w:rsidR="008F1EFB">
              <w:rPr>
                <w:rStyle w:val="e24kjd"/>
                <w:rFonts w:asciiTheme="majorHAnsi" w:hAnsiTheme="majorHAnsi" w:cstheme="majorHAnsi"/>
                <w:sz w:val="20"/>
              </w:rPr>
              <w:t xml:space="preserve">high level of </w:t>
            </w:r>
            <w:r w:rsidR="008F1EFB" w:rsidRPr="00101B07">
              <w:rPr>
                <w:rStyle w:val="e24kjd"/>
                <w:rFonts w:asciiTheme="majorHAnsi" w:hAnsiTheme="majorHAnsi" w:cstheme="majorHAnsi"/>
                <w:sz w:val="20"/>
              </w:rPr>
              <w:t>alcohol and tobacco</w:t>
            </w:r>
            <w:r w:rsidR="008F1EFB">
              <w:rPr>
                <w:rStyle w:val="e24kjd"/>
                <w:rFonts w:asciiTheme="majorHAnsi" w:hAnsiTheme="majorHAnsi" w:cstheme="majorHAnsi"/>
                <w:sz w:val="20"/>
              </w:rPr>
              <w:t xml:space="preserve"> use (45% of men smoke, a high alcohol per capita)</w:t>
            </w:r>
            <w:r w:rsidR="008F1EFB" w:rsidRPr="00101B07">
              <w:rPr>
                <w:rStyle w:val="e24kjd"/>
                <w:rFonts w:asciiTheme="majorHAnsi" w:hAnsiTheme="majorHAnsi" w:cstheme="majorHAnsi"/>
                <w:sz w:val="20"/>
              </w:rPr>
              <w:t xml:space="preserve"> are the key health determinants for most Moldovans and mortality and morbidity from these factors account for a sizeable burden on societ</w:t>
            </w:r>
            <w:r w:rsidR="008F1EFB">
              <w:rPr>
                <w:rStyle w:val="e24kjd"/>
                <w:rFonts w:asciiTheme="majorHAnsi" w:hAnsiTheme="majorHAnsi" w:cstheme="majorHAnsi"/>
                <w:sz w:val="20"/>
              </w:rPr>
              <w:t xml:space="preserve">y. </w:t>
            </w:r>
            <w:r>
              <w:rPr>
                <w:rStyle w:val="e24kjd"/>
                <w:rFonts w:asciiTheme="majorHAnsi" w:hAnsiTheme="majorHAnsi" w:cstheme="majorHAnsi"/>
                <w:sz w:val="20"/>
              </w:rPr>
              <w:t xml:space="preserve">Life expectancy in 2018 was 72 (women 76, men 68). </w:t>
            </w:r>
            <w:r w:rsidRPr="00101B07">
              <w:rPr>
                <w:rStyle w:val="e24kjd"/>
                <w:rFonts w:asciiTheme="majorHAnsi" w:hAnsiTheme="majorHAnsi" w:cstheme="majorHAnsi"/>
                <w:sz w:val="20"/>
              </w:rPr>
              <w:t xml:space="preserve"> Higher mortality rates for the top causes registered and increasing in rural compared to </w:t>
            </w:r>
            <w:r w:rsidR="008F1EFB">
              <w:rPr>
                <w:rStyle w:val="e24kjd"/>
                <w:rFonts w:asciiTheme="majorHAnsi" w:hAnsiTheme="majorHAnsi" w:cstheme="majorHAnsi"/>
                <w:sz w:val="20"/>
              </w:rPr>
              <w:t>urban areas and a difference in life expectancy</w:t>
            </w:r>
            <w:r w:rsidRPr="00101B07">
              <w:rPr>
                <w:rStyle w:val="e24kjd"/>
                <w:rFonts w:asciiTheme="majorHAnsi" w:hAnsiTheme="majorHAnsi" w:cstheme="majorHAnsi"/>
                <w:sz w:val="20"/>
              </w:rPr>
              <w:t xml:space="preserve"> </w:t>
            </w:r>
            <w:r>
              <w:rPr>
                <w:rStyle w:val="e24kjd"/>
                <w:rFonts w:asciiTheme="majorHAnsi" w:hAnsiTheme="majorHAnsi" w:cstheme="majorHAnsi"/>
                <w:sz w:val="20"/>
              </w:rPr>
              <w:t>almost 4</w:t>
            </w:r>
            <w:r w:rsidRPr="00101B07">
              <w:rPr>
                <w:rStyle w:val="e24kjd"/>
                <w:rFonts w:asciiTheme="majorHAnsi" w:hAnsiTheme="majorHAnsi" w:cstheme="majorHAnsi"/>
                <w:sz w:val="20"/>
              </w:rPr>
              <w:t xml:space="preserve"> years higher in </w:t>
            </w:r>
            <w:r>
              <w:rPr>
                <w:rStyle w:val="e24kjd"/>
                <w:rFonts w:asciiTheme="majorHAnsi" w:hAnsiTheme="majorHAnsi" w:cstheme="majorHAnsi"/>
                <w:sz w:val="20"/>
              </w:rPr>
              <w:t xml:space="preserve">urban versus </w:t>
            </w:r>
            <w:r w:rsidRPr="00101B07">
              <w:rPr>
                <w:rStyle w:val="e24kjd"/>
                <w:rFonts w:asciiTheme="majorHAnsi" w:hAnsiTheme="majorHAnsi" w:cstheme="majorHAnsi"/>
                <w:sz w:val="20"/>
              </w:rPr>
              <w:t>rural areas</w:t>
            </w:r>
            <w:r>
              <w:rPr>
                <w:rFonts w:ascii="Cambria" w:hAnsi="Cambria"/>
                <w:sz w:val="23"/>
                <w:szCs w:val="23"/>
              </w:rPr>
              <w:t>.</w:t>
            </w:r>
            <w:r w:rsidR="003D67DA">
              <w:rPr>
                <w:rFonts w:ascii="Cambria" w:hAnsi="Cambria"/>
                <w:sz w:val="23"/>
                <w:szCs w:val="23"/>
              </w:rPr>
              <w:t xml:space="preserve"> </w:t>
            </w:r>
          </w:p>
          <w:p w14:paraId="1B0DA40E" w14:textId="77777777" w:rsidR="0071110F" w:rsidRDefault="0071110F" w:rsidP="00781834">
            <w:pPr>
              <w:autoSpaceDE w:val="0"/>
              <w:autoSpaceDN w:val="0"/>
              <w:adjustRightInd w:val="0"/>
              <w:spacing w:after="0" w:line="240" w:lineRule="auto"/>
              <w:jc w:val="both"/>
              <w:rPr>
                <w:rStyle w:val="e24kjd"/>
                <w:rFonts w:asciiTheme="majorHAnsi" w:hAnsiTheme="majorHAnsi" w:cstheme="majorHAnsi"/>
                <w:b/>
                <w:sz w:val="20"/>
              </w:rPr>
            </w:pPr>
          </w:p>
          <w:p w14:paraId="755B692D" w14:textId="77777777" w:rsidR="0071110F" w:rsidRPr="00814C4B" w:rsidRDefault="0071110F" w:rsidP="00781834">
            <w:pPr>
              <w:autoSpaceDE w:val="0"/>
              <w:autoSpaceDN w:val="0"/>
              <w:adjustRightInd w:val="0"/>
              <w:spacing w:after="0" w:line="240" w:lineRule="auto"/>
              <w:jc w:val="both"/>
              <w:rPr>
                <w:rStyle w:val="e24kjd"/>
                <w:rFonts w:asciiTheme="majorHAnsi" w:hAnsiTheme="majorHAnsi" w:cstheme="majorHAnsi"/>
                <w:b/>
                <w:sz w:val="20"/>
                <w:szCs w:val="20"/>
              </w:rPr>
            </w:pPr>
            <w:r w:rsidRPr="00814C4B">
              <w:rPr>
                <w:rStyle w:val="e24kjd"/>
                <w:rFonts w:asciiTheme="majorHAnsi" w:hAnsiTheme="majorHAnsi" w:cstheme="majorHAnsi"/>
                <w:b/>
                <w:sz w:val="20"/>
                <w:szCs w:val="20"/>
              </w:rPr>
              <w:t>TB context</w:t>
            </w:r>
          </w:p>
          <w:p w14:paraId="4EDED71C" w14:textId="2FAD62D8" w:rsidR="0071110F" w:rsidRPr="00814C4B" w:rsidRDefault="0071110F" w:rsidP="00781834">
            <w:pPr>
              <w:autoSpaceDE w:val="0"/>
              <w:autoSpaceDN w:val="0"/>
              <w:adjustRightInd w:val="0"/>
              <w:spacing w:before="240" w:line="240" w:lineRule="auto"/>
              <w:jc w:val="both"/>
              <w:rPr>
                <w:rFonts w:eastAsia="Times New Roman" w:cstheme="minorHAnsi"/>
                <w:sz w:val="20"/>
                <w:szCs w:val="20"/>
                <w:lang w:val="en-GB"/>
              </w:rPr>
            </w:pPr>
            <w:r w:rsidRPr="00814C4B">
              <w:rPr>
                <w:rFonts w:eastAsia="Times New Roman" w:cstheme="minorHAnsi"/>
                <w:sz w:val="20"/>
                <w:szCs w:val="20"/>
                <w:lang w:val="en-GB"/>
              </w:rPr>
              <w:t>Moldova is among the WHO European Region’s 18 high-priority countries for tuberculosis (TB) control and among the world’s 27 high multidrug-resistant (MDR) TB burden countries (WHO, 2007; 2011a)</w:t>
            </w:r>
            <w:r>
              <w:rPr>
                <w:rFonts w:eastAsia="Times New Roman" w:cstheme="minorHAnsi"/>
                <w:sz w:val="20"/>
                <w:szCs w:val="20"/>
                <w:lang w:val="en-GB"/>
              </w:rPr>
              <w:t xml:space="preserve"> and TB a top public health priority in the country</w:t>
            </w:r>
            <w:r w:rsidRPr="00814C4B">
              <w:rPr>
                <w:rFonts w:eastAsia="Times New Roman" w:cstheme="minorHAnsi"/>
                <w:sz w:val="20"/>
                <w:szCs w:val="20"/>
                <w:lang w:val="en-GB"/>
              </w:rPr>
              <w:t xml:space="preserve">. Estimated TB incidence and mortality </w:t>
            </w:r>
            <w:r w:rsidRPr="000E7E34">
              <w:rPr>
                <w:rFonts w:eastAsia="Times New Roman" w:cstheme="minorHAnsi"/>
                <w:sz w:val="20"/>
                <w:szCs w:val="20"/>
                <w:lang w:val="en-GB"/>
              </w:rPr>
              <w:t>in 2017 were 95 (the second in the region) and 6.1 per 100 000 population respecti</w:t>
            </w:r>
            <w:r w:rsidRPr="00814C4B">
              <w:rPr>
                <w:rFonts w:eastAsia="Times New Roman" w:cstheme="minorHAnsi"/>
                <w:sz w:val="20"/>
                <w:szCs w:val="20"/>
                <w:lang w:val="en-GB"/>
              </w:rPr>
              <w:t>vely</w:t>
            </w:r>
            <w:r w:rsidR="008F1EFB">
              <w:rPr>
                <w:rFonts w:eastAsia="Times New Roman" w:cstheme="minorHAnsi"/>
                <w:sz w:val="20"/>
                <w:szCs w:val="20"/>
                <w:lang w:val="en-GB"/>
              </w:rPr>
              <w:t>,</w:t>
            </w:r>
            <w:r w:rsidRPr="00814C4B">
              <w:rPr>
                <w:rStyle w:val="FootnoteReference"/>
                <w:rFonts w:eastAsia="Times New Roman" w:cstheme="minorHAnsi"/>
                <w:sz w:val="20"/>
                <w:szCs w:val="20"/>
                <w:lang w:val="en-GB"/>
              </w:rPr>
              <w:footnoteReference w:id="11"/>
            </w:r>
            <w:r w:rsidRPr="00814C4B">
              <w:rPr>
                <w:rFonts w:eastAsia="Times New Roman" w:cstheme="minorHAnsi"/>
                <w:sz w:val="20"/>
                <w:szCs w:val="20"/>
                <w:lang w:val="en-GB"/>
              </w:rPr>
              <w:t xml:space="preserve"> </w:t>
            </w:r>
            <w:r>
              <w:rPr>
                <w:rFonts w:eastAsia="Times New Roman" w:cstheme="minorHAnsi"/>
                <w:sz w:val="20"/>
                <w:szCs w:val="20"/>
                <w:lang w:val="en-GB"/>
              </w:rPr>
              <w:t>both on a decreasing trend since mid-2000s. According to the national reporting</w:t>
            </w:r>
            <w:r w:rsidR="008F1EFB">
              <w:rPr>
                <w:rFonts w:eastAsia="Times New Roman" w:cstheme="minorHAnsi"/>
                <w:sz w:val="20"/>
                <w:szCs w:val="20"/>
                <w:lang w:val="en-GB"/>
              </w:rPr>
              <w:t xml:space="preserve"> system (electronic system SIME TB)</w:t>
            </w:r>
            <w:r>
              <w:rPr>
                <w:rFonts w:eastAsia="Times New Roman" w:cstheme="minorHAnsi"/>
                <w:sz w:val="20"/>
                <w:szCs w:val="20"/>
                <w:lang w:val="en-GB"/>
              </w:rPr>
              <w:t xml:space="preserve">, 2,879 new and relapse cases were registered, a global incidence of 71.7 per 100,000, a 5% reduction compared to 2018, and a 20% reduction compared to 2015. </w:t>
            </w:r>
            <w:r w:rsidRPr="00814C4B">
              <w:rPr>
                <w:rFonts w:eastAsia="Times New Roman" w:cstheme="minorHAnsi"/>
                <w:sz w:val="20"/>
                <w:szCs w:val="20"/>
                <w:lang w:val="en-GB"/>
              </w:rPr>
              <w:t>MDR-TB resistance was 2</w:t>
            </w:r>
            <w:r>
              <w:rPr>
                <w:rFonts w:eastAsia="Times New Roman" w:cstheme="minorHAnsi"/>
                <w:sz w:val="20"/>
                <w:szCs w:val="20"/>
                <w:lang w:val="en-GB"/>
              </w:rPr>
              <w:t>7</w:t>
            </w:r>
            <w:r w:rsidRPr="00814C4B">
              <w:rPr>
                <w:rFonts w:eastAsia="Times New Roman" w:cstheme="minorHAnsi"/>
                <w:sz w:val="20"/>
                <w:szCs w:val="20"/>
                <w:lang w:val="en-GB"/>
              </w:rPr>
              <w:t xml:space="preserve">% </w:t>
            </w:r>
            <w:r w:rsidR="008F1EFB">
              <w:rPr>
                <w:rFonts w:eastAsia="Times New Roman" w:cstheme="minorHAnsi"/>
                <w:sz w:val="20"/>
                <w:szCs w:val="20"/>
                <w:lang w:val="en-GB"/>
              </w:rPr>
              <w:t>in</w:t>
            </w:r>
            <w:r w:rsidRPr="00814C4B">
              <w:rPr>
                <w:rFonts w:eastAsia="Times New Roman" w:cstheme="minorHAnsi"/>
                <w:sz w:val="20"/>
                <w:szCs w:val="20"/>
                <w:lang w:val="en-GB"/>
              </w:rPr>
              <w:t xml:space="preserve"> newly diagnosed and 5</w:t>
            </w:r>
            <w:r>
              <w:rPr>
                <w:rFonts w:eastAsia="Times New Roman" w:cstheme="minorHAnsi"/>
                <w:sz w:val="20"/>
                <w:szCs w:val="20"/>
                <w:lang w:val="en-GB"/>
              </w:rPr>
              <w:t>6</w:t>
            </w:r>
            <w:r w:rsidRPr="00814C4B">
              <w:rPr>
                <w:rFonts w:eastAsia="Times New Roman" w:cstheme="minorHAnsi"/>
                <w:sz w:val="20"/>
                <w:szCs w:val="20"/>
                <w:lang w:val="en-GB"/>
              </w:rPr>
              <w:t xml:space="preserve">% </w:t>
            </w:r>
            <w:r w:rsidR="008F1EFB">
              <w:rPr>
                <w:rFonts w:eastAsia="Times New Roman" w:cstheme="minorHAnsi"/>
                <w:sz w:val="20"/>
                <w:szCs w:val="20"/>
                <w:lang w:val="en-GB"/>
              </w:rPr>
              <w:t>in</w:t>
            </w:r>
            <w:r w:rsidRPr="00814C4B">
              <w:rPr>
                <w:rFonts w:eastAsia="Times New Roman" w:cstheme="minorHAnsi"/>
                <w:sz w:val="20"/>
                <w:szCs w:val="20"/>
                <w:lang w:val="en-GB"/>
              </w:rPr>
              <w:t xml:space="preserve"> previously treated TB patients</w:t>
            </w:r>
            <w:r>
              <w:rPr>
                <w:rFonts w:eastAsia="Times New Roman" w:cstheme="minorHAnsi"/>
                <w:sz w:val="20"/>
                <w:szCs w:val="20"/>
                <w:lang w:val="en-GB"/>
              </w:rPr>
              <w:t xml:space="preserve"> in 2019. There is geographic variation, incidence reaching 105.5 on the Left Bank compared to 67.2 on the Right Bank. There is also significant variation by districts. In the absence of updated population distribution by district data (expected to be released by NBS later in 2020), rates and estimated indicators </w:t>
            </w:r>
            <w:r w:rsidR="008F1EFB">
              <w:rPr>
                <w:rFonts w:eastAsia="Times New Roman" w:cstheme="minorHAnsi"/>
                <w:sz w:val="20"/>
                <w:szCs w:val="20"/>
                <w:lang w:val="en-GB"/>
              </w:rPr>
              <w:t>will be updated later in 2020</w:t>
            </w:r>
            <w:r>
              <w:rPr>
                <w:rFonts w:eastAsia="Times New Roman" w:cstheme="minorHAnsi"/>
                <w:sz w:val="20"/>
                <w:szCs w:val="20"/>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5405"/>
            </w:tblGrid>
            <w:tr w:rsidR="0071110F" w:rsidRPr="00797E28" w14:paraId="764F3D95" w14:textId="77777777" w:rsidTr="00781834">
              <w:tc>
                <w:tcPr>
                  <w:tcW w:w="4825" w:type="dxa"/>
                </w:tcPr>
                <w:p w14:paraId="55EF3F70" w14:textId="4BDD7456" w:rsidR="0071110F" w:rsidRPr="00797E28" w:rsidRDefault="0071110F" w:rsidP="008912E9">
                  <w:pPr>
                    <w:spacing w:after="0" w:line="240" w:lineRule="auto"/>
                    <w:jc w:val="center"/>
                    <w:rPr>
                      <w:rStyle w:val="e24kjd"/>
                      <w:rFonts w:asciiTheme="majorHAnsi" w:hAnsiTheme="majorHAnsi" w:cstheme="majorHAnsi"/>
                      <w:sz w:val="18"/>
                    </w:rPr>
                  </w:pPr>
                  <w:r>
                    <w:rPr>
                      <w:rStyle w:val="e24kjd"/>
                      <w:rFonts w:asciiTheme="majorHAnsi" w:hAnsiTheme="majorHAnsi" w:cstheme="majorHAnsi"/>
                      <w:b/>
                      <w:sz w:val="18"/>
                    </w:rPr>
                    <w:t xml:space="preserve">New cases notified (all forms), absolute number </w:t>
                  </w:r>
                  <w:r w:rsidR="008F1EFB">
                    <w:rPr>
                      <w:rStyle w:val="e24kjd"/>
                      <w:rFonts w:asciiTheme="majorHAnsi" w:hAnsiTheme="majorHAnsi" w:cstheme="majorHAnsi"/>
                      <w:b/>
                      <w:sz w:val="18"/>
                    </w:rPr>
                    <w:t xml:space="preserve">and </w:t>
                  </w:r>
                  <w:r w:rsidRPr="00797E28">
                    <w:rPr>
                      <w:rStyle w:val="e24kjd"/>
                      <w:rFonts w:asciiTheme="majorHAnsi" w:hAnsiTheme="majorHAnsi" w:cstheme="majorHAnsi"/>
                      <w:b/>
                      <w:sz w:val="18"/>
                    </w:rPr>
                    <w:t xml:space="preserve"> </w:t>
                  </w:r>
                  <w:r>
                    <w:rPr>
                      <w:rStyle w:val="e24kjd"/>
                      <w:rFonts w:asciiTheme="majorHAnsi" w:hAnsiTheme="majorHAnsi" w:cstheme="majorHAnsi"/>
                      <w:b/>
                      <w:sz w:val="18"/>
                    </w:rPr>
                    <w:t xml:space="preserve">density </w:t>
                  </w:r>
                  <w:r w:rsidR="008912E9">
                    <w:rPr>
                      <w:rStyle w:val="e24kjd"/>
                      <w:rFonts w:asciiTheme="majorHAnsi" w:hAnsiTheme="majorHAnsi" w:cstheme="majorHAnsi"/>
                      <w:b/>
                      <w:sz w:val="18"/>
                    </w:rPr>
                    <w:t>map</w:t>
                  </w:r>
                  <w:r>
                    <w:rPr>
                      <w:rStyle w:val="e24kjd"/>
                      <w:rFonts w:asciiTheme="majorHAnsi" w:hAnsiTheme="majorHAnsi" w:cstheme="majorHAnsi"/>
                      <w:b/>
                      <w:sz w:val="18"/>
                    </w:rPr>
                    <w:t xml:space="preserve"> </w:t>
                  </w:r>
                  <w:r w:rsidR="008912E9">
                    <w:rPr>
                      <w:rStyle w:val="e24kjd"/>
                      <w:rFonts w:asciiTheme="majorHAnsi" w:hAnsiTheme="majorHAnsi" w:cstheme="majorHAnsi"/>
                      <w:b/>
                      <w:sz w:val="18"/>
                    </w:rPr>
                    <w:t>(</w:t>
                  </w:r>
                  <w:r w:rsidRPr="00797E28">
                    <w:rPr>
                      <w:rStyle w:val="e24kjd"/>
                      <w:rFonts w:asciiTheme="majorHAnsi" w:hAnsiTheme="majorHAnsi" w:cstheme="majorHAnsi"/>
                      <w:b/>
                      <w:sz w:val="18"/>
                    </w:rPr>
                    <w:t>per 100,000</w:t>
                  </w:r>
                  <w:r w:rsidR="008912E9">
                    <w:rPr>
                      <w:rStyle w:val="e24kjd"/>
                      <w:rFonts w:asciiTheme="majorHAnsi" w:hAnsiTheme="majorHAnsi" w:cstheme="majorHAnsi"/>
                      <w:b/>
                      <w:sz w:val="18"/>
                    </w:rPr>
                    <w:t>)</w:t>
                  </w:r>
                  <w:r w:rsidRPr="00797E28">
                    <w:rPr>
                      <w:rStyle w:val="e24kjd"/>
                      <w:rFonts w:asciiTheme="majorHAnsi" w:hAnsiTheme="majorHAnsi" w:cstheme="majorHAnsi"/>
                      <w:b/>
                      <w:sz w:val="18"/>
                    </w:rPr>
                    <w:t xml:space="preserve">, </w:t>
                  </w:r>
                  <w:r>
                    <w:rPr>
                      <w:rStyle w:val="e24kjd"/>
                      <w:rFonts w:asciiTheme="majorHAnsi" w:hAnsiTheme="majorHAnsi" w:cstheme="majorHAnsi"/>
                      <w:b/>
                      <w:sz w:val="18"/>
                    </w:rPr>
                    <w:t xml:space="preserve">by district </w:t>
                  </w:r>
                  <w:r w:rsidRPr="00797E28">
                    <w:rPr>
                      <w:rStyle w:val="e24kjd"/>
                      <w:rFonts w:asciiTheme="majorHAnsi" w:hAnsiTheme="majorHAnsi" w:cstheme="majorHAnsi"/>
                      <w:b/>
                      <w:sz w:val="18"/>
                    </w:rPr>
                    <w:t>2019</w:t>
                  </w:r>
                </w:p>
              </w:tc>
              <w:tc>
                <w:tcPr>
                  <w:tcW w:w="5405" w:type="dxa"/>
                </w:tcPr>
                <w:p w14:paraId="5661859A" w14:textId="76A41A2A" w:rsidR="0071110F" w:rsidRPr="00797E28" w:rsidRDefault="008912E9" w:rsidP="008912E9">
                  <w:pPr>
                    <w:spacing w:after="0" w:line="240" w:lineRule="auto"/>
                    <w:jc w:val="center"/>
                    <w:rPr>
                      <w:rStyle w:val="e24kjd"/>
                      <w:rFonts w:asciiTheme="majorHAnsi" w:hAnsiTheme="majorHAnsi" w:cstheme="majorHAnsi"/>
                      <w:sz w:val="18"/>
                    </w:rPr>
                  </w:pPr>
                  <w:r>
                    <w:rPr>
                      <w:rStyle w:val="e24kjd"/>
                      <w:rFonts w:asciiTheme="majorHAnsi" w:hAnsiTheme="majorHAnsi" w:cstheme="majorHAnsi"/>
                      <w:b/>
                      <w:sz w:val="18"/>
                    </w:rPr>
                    <w:t>MDR-TB Prevalence, in</w:t>
                  </w:r>
                  <w:r w:rsidR="0071110F">
                    <w:rPr>
                      <w:rStyle w:val="e24kjd"/>
                      <w:rFonts w:asciiTheme="majorHAnsi" w:hAnsiTheme="majorHAnsi" w:cstheme="majorHAnsi"/>
                      <w:b/>
                      <w:sz w:val="18"/>
                    </w:rPr>
                    <w:t xml:space="preserve"> absolute number</w:t>
                  </w:r>
                  <w:r>
                    <w:rPr>
                      <w:rStyle w:val="e24kjd"/>
                      <w:rFonts w:asciiTheme="majorHAnsi" w:hAnsiTheme="majorHAnsi" w:cstheme="majorHAnsi"/>
                      <w:b/>
                      <w:sz w:val="18"/>
                    </w:rPr>
                    <w:t>s</w:t>
                  </w:r>
                  <w:r w:rsidR="0071110F">
                    <w:rPr>
                      <w:rStyle w:val="e24kjd"/>
                      <w:rFonts w:asciiTheme="majorHAnsi" w:hAnsiTheme="majorHAnsi" w:cstheme="majorHAnsi"/>
                      <w:b/>
                      <w:sz w:val="18"/>
                    </w:rPr>
                    <w:t xml:space="preserve"> and density </w:t>
                  </w:r>
                  <w:r>
                    <w:rPr>
                      <w:rStyle w:val="e24kjd"/>
                      <w:rFonts w:asciiTheme="majorHAnsi" w:hAnsiTheme="majorHAnsi" w:cstheme="majorHAnsi"/>
                      <w:b/>
                      <w:sz w:val="18"/>
                    </w:rPr>
                    <w:t>map</w:t>
                  </w:r>
                  <w:r w:rsidR="0071110F">
                    <w:rPr>
                      <w:rStyle w:val="e24kjd"/>
                      <w:rFonts w:asciiTheme="majorHAnsi" w:hAnsiTheme="majorHAnsi" w:cstheme="majorHAnsi"/>
                      <w:b/>
                      <w:sz w:val="18"/>
                    </w:rPr>
                    <w:t xml:space="preserve"> </w:t>
                  </w:r>
                  <w:r>
                    <w:rPr>
                      <w:rStyle w:val="e24kjd"/>
                      <w:rFonts w:asciiTheme="majorHAnsi" w:hAnsiTheme="majorHAnsi" w:cstheme="majorHAnsi"/>
                      <w:b/>
                      <w:sz w:val="18"/>
                    </w:rPr>
                    <w:t>(</w:t>
                  </w:r>
                  <w:r w:rsidR="0071110F">
                    <w:rPr>
                      <w:rStyle w:val="e24kjd"/>
                      <w:rFonts w:asciiTheme="majorHAnsi" w:hAnsiTheme="majorHAnsi" w:cstheme="majorHAnsi"/>
                      <w:b/>
                      <w:sz w:val="18"/>
                    </w:rPr>
                    <w:t>per 100,000</w:t>
                  </w:r>
                  <w:r>
                    <w:rPr>
                      <w:rStyle w:val="e24kjd"/>
                      <w:rFonts w:asciiTheme="majorHAnsi" w:hAnsiTheme="majorHAnsi" w:cstheme="majorHAnsi"/>
                      <w:b/>
                      <w:sz w:val="18"/>
                    </w:rPr>
                    <w:t>)</w:t>
                  </w:r>
                  <w:r w:rsidR="0071110F">
                    <w:rPr>
                      <w:rStyle w:val="e24kjd"/>
                      <w:rFonts w:asciiTheme="majorHAnsi" w:hAnsiTheme="majorHAnsi" w:cstheme="majorHAnsi"/>
                      <w:b/>
                      <w:sz w:val="18"/>
                    </w:rPr>
                    <w:t>, by district</w:t>
                  </w:r>
                  <w:r w:rsidR="0071110F" w:rsidRPr="00797E28">
                    <w:rPr>
                      <w:rStyle w:val="e24kjd"/>
                      <w:rFonts w:asciiTheme="majorHAnsi" w:hAnsiTheme="majorHAnsi" w:cstheme="majorHAnsi"/>
                      <w:b/>
                      <w:sz w:val="18"/>
                    </w:rPr>
                    <w:t>, 2019</w:t>
                  </w:r>
                </w:p>
              </w:tc>
            </w:tr>
            <w:tr w:rsidR="0071110F" w14:paraId="05B23A07" w14:textId="77777777" w:rsidTr="00781834">
              <w:tc>
                <w:tcPr>
                  <w:tcW w:w="4825" w:type="dxa"/>
                </w:tcPr>
                <w:p w14:paraId="58FA78C2" w14:textId="77777777" w:rsidR="0071110F" w:rsidRDefault="0071110F" w:rsidP="00781834">
                  <w:pPr>
                    <w:spacing w:after="0" w:line="240" w:lineRule="auto"/>
                    <w:jc w:val="center"/>
                    <w:rPr>
                      <w:rStyle w:val="e24kjd"/>
                      <w:rFonts w:asciiTheme="majorHAnsi" w:hAnsiTheme="majorHAnsi" w:cstheme="majorHAnsi"/>
                      <w:sz w:val="20"/>
                    </w:rPr>
                  </w:pPr>
                  <w:r w:rsidRPr="004B7D67">
                    <w:rPr>
                      <w:rStyle w:val="e24kjd"/>
                      <w:rFonts w:asciiTheme="majorHAnsi" w:hAnsiTheme="majorHAnsi" w:cstheme="majorHAnsi"/>
                      <w:noProof/>
                      <w:sz w:val="20"/>
                    </w:rPr>
                    <w:drawing>
                      <wp:inline distT="0" distB="0" distL="0" distR="0" wp14:anchorId="1C33725E" wp14:editId="7CB74B73">
                        <wp:extent cx="2639683" cy="3403860"/>
                        <wp:effectExtent l="0" t="0" r="8890" b="6350"/>
                        <wp:docPr id="19" name="Picture 19" descr="C:\Users\Stela Bivol\AppData\Local\Microsoft\Windows\INetCache\Content.Outlook\837HB3RO\TBR TB Incidenta RM_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la Bivol\AppData\Local\Microsoft\Windows\INetCache\Content.Outlook\837HB3RO\TBR TB Incidenta RM_2-0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5937" cy="3424819"/>
                                </a:xfrm>
                                <a:prstGeom prst="rect">
                                  <a:avLst/>
                                </a:prstGeom>
                                <a:noFill/>
                                <a:ln>
                                  <a:noFill/>
                                </a:ln>
                              </pic:spPr>
                            </pic:pic>
                          </a:graphicData>
                        </a:graphic>
                      </wp:inline>
                    </w:drawing>
                  </w:r>
                </w:p>
              </w:tc>
              <w:tc>
                <w:tcPr>
                  <w:tcW w:w="5405" w:type="dxa"/>
                </w:tcPr>
                <w:p w14:paraId="1BF79F98" w14:textId="77777777" w:rsidR="0071110F" w:rsidRDefault="0071110F" w:rsidP="00781834">
                  <w:pPr>
                    <w:spacing w:after="0" w:line="240" w:lineRule="auto"/>
                    <w:jc w:val="center"/>
                    <w:rPr>
                      <w:rStyle w:val="e24kjd"/>
                      <w:rFonts w:asciiTheme="majorHAnsi" w:hAnsiTheme="majorHAnsi" w:cstheme="majorHAnsi"/>
                      <w:sz w:val="20"/>
                    </w:rPr>
                  </w:pPr>
                  <w:r w:rsidRPr="004B7D67">
                    <w:rPr>
                      <w:rStyle w:val="e24kjd"/>
                      <w:rFonts w:asciiTheme="majorHAnsi" w:hAnsiTheme="majorHAnsi" w:cstheme="majorHAnsi"/>
                      <w:noProof/>
                      <w:sz w:val="20"/>
                    </w:rPr>
                    <w:drawing>
                      <wp:inline distT="0" distB="0" distL="0" distR="0" wp14:anchorId="1ED669AC" wp14:editId="22A0BEBB">
                        <wp:extent cx="2712913" cy="3498290"/>
                        <wp:effectExtent l="0" t="0" r="0" b="6985"/>
                        <wp:docPr id="20" name="Picture 20" descr="C:\Users\Stela Bivol\AppData\Local\Microsoft\Windows\INetCache\Content.Outlook\837HB3RO\TBR TB Prevalenta RM_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la Bivol\AppData\Local\Microsoft\Windows\INetCache\Content.Outlook\837HB3RO\TBR TB Prevalenta RM_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9961" cy="3507378"/>
                                </a:xfrm>
                                <a:prstGeom prst="rect">
                                  <a:avLst/>
                                </a:prstGeom>
                                <a:noFill/>
                                <a:ln>
                                  <a:noFill/>
                                </a:ln>
                              </pic:spPr>
                            </pic:pic>
                          </a:graphicData>
                        </a:graphic>
                      </wp:inline>
                    </w:drawing>
                  </w:r>
                </w:p>
              </w:tc>
            </w:tr>
          </w:tbl>
          <w:p w14:paraId="2168CDAD" w14:textId="3BBFC56A" w:rsidR="0071110F" w:rsidRPr="00C4673D" w:rsidRDefault="0071110F" w:rsidP="00781834">
            <w:pPr>
              <w:spacing w:after="0" w:line="240" w:lineRule="auto"/>
              <w:jc w:val="both"/>
              <w:rPr>
                <w:rStyle w:val="e24kjd"/>
                <w:rFonts w:asciiTheme="majorHAnsi" w:hAnsiTheme="majorHAnsi" w:cstheme="majorHAnsi"/>
                <w:sz w:val="16"/>
              </w:rPr>
            </w:pPr>
            <w:r>
              <w:rPr>
                <w:rStyle w:val="e24kjd"/>
                <w:rFonts w:asciiTheme="majorHAnsi" w:hAnsiTheme="majorHAnsi" w:cstheme="majorHAnsi"/>
                <w:sz w:val="16"/>
              </w:rPr>
              <w:t xml:space="preserve">Source: National TB Program Coordination Unit. Statistics data for 2019 </w:t>
            </w:r>
            <w:r w:rsidR="003D67DA">
              <w:rPr>
                <w:rStyle w:val="e24kjd"/>
                <w:rFonts w:asciiTheme="majorHAnsi" w:hAnsiTheme="majorHAnsi" w:cstheme="majorHAnsi"/>
                <w:sz w:val="16"/>
              </w:rPr>
              <w:t>extracted from SIME TB</w:t>
            </w:r>
          </w:p>
          <w:p w14:paraId="4CA722FD" w14:textId="77777777" w:rsidR="0071110F" w:rsidRDefault="0071110F" w:rsidP="00781834">
            <w:pPr>
              <w:spacing w:after="0" w:line="240" w:lineRule="auto"/>
              <w:jc w:val="both"/>
              <w:rPr>
                <w:rStyle w:val="e24kjd"/>
                <w:rFonts w:asciiTheme="majorHAnsi" w:hAnsiTheme="majorHAnsi" w:cstheme="majorHAnsi"/>
                <w:sz w:val="20"/>
                <w:highlight w:val="yellow"/>
              </w:rPr>
            </w:pPr>
          </w:p>
          <w:p w14:paraId="68B11A1A" w14:textId="18AB64B0" w:rsidR="008912E9" w:rsidRPr="004B7D67" w:rsidRDefault="008912E9" w:rsidP="008912E9">
            <w:pPr>
              <w:jc w:val="both"/>
              <w:rPr>
                <w:rFonts w:asciiTheme="majorHAnsi" w:hAnsiTheme="majorHAnsi" w:cstheme="majorHAnsi"/>
                <w:sz w:val="20"/>
                <w:szCs w:val="20"/>
              </w:rPr>
            </w:pPr>
            <w:r w:rsidRPr="004B7D67">
              <w:rPr>
                <w:rFonts w:asciiTheme="majorHAnsi" w:hAnsiTheme="majorHAnsi" w:cstheme="majorHAnsi"/>
                <w:sz w:val="20"/>
                <w:szCs w:val="20"/>
              </w:rPr>
              <w:lastRenderedPageBreak/>
              <w:t xml:space="preserve">Moldova’s TB epidemic is characterized with most notifications from people aged 18-64 years with specific risk groups including prisoners, migrants and TB-HIV co-infected persons. While most infections within the general population are being identified as drug sensitive TB cases, MDR-TB has been steadily increasing from 2005 to 2012, where it appears to have stabilized; except for within prison populations. Despite a steadily improving epidemiologic situation, Moldova remains among the world’s 30 high MDR-TB burden countries Data suggests that cases of latent TB may have decreased over time amongst the general population, but are high amongst prisoners, migrants and PLHIV. </w:t>
            </w:r>
            <w:r w:rsidRPr="00DD5AD7">
              <w:rPr>
                <w:rFonts w:asciiTheme="majorHAnsi" w:hAnsiTheme="majorHAnsi" w:cstheme="majorHAnsi"/>
                <w:sz w:val="20"/>
                <w:szCs w:val="20"/>
              </w:rPr>
              <w:t>(Annex</w:t>
            </w:r>
            <w:r w:rsidR="00DD5AD7" w:rsidRPr="00DD5AD7">
              <w:rPr>
                <w:rFonts w:asciiTheme="majorHAnsi" w:hAnsiTheme="majorHAnsi" w:cstheme="majorHAnsi"/>
                <w:sz w:val="20"/>
                <w:szCs w:val="20"/>
              </w:rPr>
              <w:t xml:space="preserve"> 7</w:t>
            </w:r>
            <w:r w:rsidRPr="00DD5AD7">
              <w:rPr>
                <w:rFonts w:asciiTheme="majorHAnsi" w:hAnsiTheme="majorHAnsi" w:cstheme="majorHAnsi"/>
                <w:sz w:val="20"/>
                <w:szCs w:val="20"/>
              </w:rPr>
              <w:t xml:space="preserve"> Optima TB 2018)</w:t>
            </w:r>
          </w:p>
          <w:p w14:paraId="42F62624" w14:textId="7CE7108A" w:rsidR="0071110F" w:rsidRDefault="0071110F" w:rsidP="00781834">
            <w:pPr>
              <w:pStyle w:val="Default"/>
              <w:rPr>
                <w:rFonts w:eastAsia="Times New Roman" w:cstheme="minorHAnsi"/>
                <w:sz w:val="20"/>
                <w:szCs w:val="20"/>
                <w:lang w:val="en-GB"/>
              </w:rPr>
            </w:pPr>
            <w:r>
              <w:rPr>
                <w:rFonts w:eastAsia="Times New Roman" w:cstheme="minorHAnsi"/>
                <w:sz w:val="20"/>
                <w:szCs w:val="20"/>
                <w:lang w:val="en-GB"/>
              </w:rPr>
              <w:t xml:space="preserve">As elsewhere, in Moldova </w:t>
            </w:r>
            <w:r w:rsidR="008F1EFB">
              <w:rPr>
                <w:rFonts w:eastAsia="Times New Roman" w:cstheme="minorHAnsi"/>
                <w:sz w:val="20"/>
                <w:szCs w:val="20"/>
                <w:lang w:val="en-GB"/>
              </w:rPr>
              <w:t xml:space="preserve">TB affects mostly men, 74% men and </w:t>
            </w:r>
            <w:r>
              <w:rPr>
                <w:rFonts w:eastAsia="Times New Roman" w:cstheme="minorHAnsi"/>
                <w:sz w:val="20"/>
                <w:szCs w:val="20"/>
                <w:lang w:val="en-GB"/>
              </w:rPr>
              <w:t>26% women in 2019.  The number of new TB cases notified in children (0-18 years) in 2019 was 136, 4.7% out of total number. Incidence of new cases for 2019 was 17 per 100,000, a 13% reduction compared to 2015. (Annex NSP 2016-2020)</w:t>
            </w:r>
          </w:p>
          <w:p w14:paraId="782211EF" w14:textId="77777777" w:rsidR="0071110F" w:rsidRDefault="0071110F" w:rsidP="00781834">
            <w:pPr>
              <w:pStyle w:val="Default"/>
              <w:jc w:val="center"/>
              <w:rPr>
                <w:rFonts w:eastAsia="Times New Roman" w:cstheme="minorHAnsi"/>
                <w:sz w:val="20"/>
                <w:szCs w:val="20"/>
                <w:lang w:val="en-GB"/>
              </w:rPr>
            </w:pPr>
          </w:p>
          <w:p w14:paraId="4E16FC61" w14:textId="77777777" w:rsidR="0071110F" w:rsidRPr="00A13F9A" w:rsidRDefault="0071110F" w:rsidP="00781834">
            <w:pPr>
              <w:spacing w:after="0" w:line="240" w:lineRule="auto"/>
              <w:jc w:val="both"/>
              <w:rPr>
                <w:rFonts w:asciiTheme="minorHAnsi" w:hAnsiTheme="minorHAnsi" w:cstheme="minorHAnsi"/>
                <w:b/>
                <w:sz w:val="20"/>
                <w:szCs w:val="20"/>
              </w:rPr>
            </w:pPr>
            <w:r w:rsidRPr="00A13F9A">
              <w:rPr>
                <w:rStyle w:val="e24kjd"/>
                <w:rFonts w:asciiTheme="majorHAnsi" w:hAnsiTheme="majorHAnsi" w:cstheme="majorHAnsi"/>
                <w:b/>
                <w:sz w:val="18"/>
              </w:rPr>
              <w:t>Proportion of incident TB cases by age group</w:t>
            </w:r>
            <w:r>
              <w:rPr>
                <w:rStyle w:val="e24kjd"/>
                <w:rFonts w:asciiTheme="majorHAnsi" w:hAnsiTheme="majorHAnsi" w:cstheme="majorHAnsi"/>
                <w:b/>
                <w:sz w:val="18"/>
              </w:rPr>
              <w:t xml:space="preserve"> and sex (absolute numbers),</w:t>
            </w:r>
            <w:r w:rsidRPr="00A13F9A">
              <w:rPr>
                <w:rStyle w:val="e24kjd"/>
                <w:rFonts w:asciiTheme="majorHAnsi" w:hAnsiTheme="majorHAnsi" w:cstheme="majorHAnsi"/>
                <w:b/>
                <w:sz w:val="18"/>
              </w:rPr>
              <w:t xml:space="preserve"> 2019</w:t>
            </w:r>
          </w:p>
          <w:tbl>
            <w:tblPr>
              <w:tblW w:w="8792" w:type="dxa"/>
              <w:jc w:val="center"/>
              <w:tblLook w:val="04A0" w:firstRow="1" w:lastRow="0" w:firstColumn="1" w:lastColumn="0" w:noHBand="0" w:noVBand="1"/>
            </w:tblPr>
            <w:tblGrid>
              <w:gridCol w:w="8792"/>
            </w:tblGrid>
            <w:tr w:rsidR="0071110F" w:rsidRPr="002F76D0" w14:paraId="4F9BF1A5" w14:textId="77777777" w:rsidTr="00781834">
              <w:trPr>
                <w:jc w:val="center"/>
              </w:trPr>
              <w:tc>
                <w:tcPr>
                  <w:tcW w:w="8792" w:type="dxa"/>
                  <w:shd w:val="clear" w:color="auto" w:fill="auto"/>
                  <w:tcMar>
                    <w:left w:w="28" w:type="dxa"/>
                    <w:right w:w="28" w:type="dxa"/>
                  </w:tcMar>
                </w:tcPr>
                <w:p w14:paraId="62DCE722" w14:textId="77777777" w:rsidR="0071110F" w:rsidRPr="002F76D0" w:rsidRDefault="0071110F" w:rsidP="00781834">
                  <w:pPr>
                    <w:spacing w:after="0" w:line="240" w:lineRule="auto"/>
                    <w:jc w:val="center"/>
                    <w:rPr>
                      <w:rFonts w:asciiTheme="minorHAnsi" w:hAnsiTheme="minorHAnsi" w:cstheme="minorHAnsi"/>
                      <w:b/>
                      <w:sz w:val="20"/>
                      <w:szCs w:val="20"/>
                    </w:rPr>
                  </w:pPr>
                </w:p>
              </w:tc>
            </w:tr>
          </w:tbl>
          <w:p w14:paraId="2C922F2B" w14:textId="77777777" w:rsidR="0071110F" w:rsidRPr="00814C4B" w:rsidRDefault="0071110F" w:rsidP="00781834">
            <w:pPr>
              <w:pStyle w:val="Default"/>
              <w:rPr>
                <w:lang w:val="en-GB"/>
              </w:rPr>
            </w:pPr>
            <w:r>
              <w:rPr>
                <w:noProof/>
              </w:rPr>
              <w:drawing>
                <wp:inline distT="0" distB="0" distL="0" distR="0" wp14:anchorId="0BC1DE35" wp14:editId="2B618B86">
                  <wp:extent cx="6496050" cy="1647825"/>
                  <wp:effectExtent l="0" t="0" r="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AF49935" w14:textId="77777777" w:rsidR="003B54E4" w:rsidRPr="00C4673D" w:rsidRDefault="003B54E4" w:rsidP="003B54E4">
            <w:pPr>
              <w:spacing w:after="0" w:line="240" w:lineRule="auto"/>
              <w:jc w:val="both"/>
              <w:rPr>
                <w:rStyle w:val="e24kjd"/>
                <w:rFonts w:asciiTheme="majorHAnsi" w:hAnsiTheme="majorHAnsi" w:cstheme="majorHAnsi"/>
                <w:sz w:val="16"/>
              </w:rPr>
            </w:pPr>
            <w:r>
              <w:rPr>
                <w:rStyle w:val="e24kjd"/>
                <w:rFonts w:asciiTheme="majorHAnsi" w:hAnsiTheme="majorHAnsi" w:cstheme="majorHAnsi"/>
                <w:sz w:val="16"/>
              </w:rPr>
              <w:t xml:space="preserve">Source: National TB Program Coordination Unit. Statistics data for 2019 </w:t>
            </w:r>
          </w:p>
          <w:p w14:paraId="7F28517E" w14:textId="181B5EE5" w:rsidR="0071110F" w:rsidRDefault="0071110F" w:rsidP="00781834">
            <w:pPr>
              <w:autoSpaceDE w:val="0"/>
              <w:autoSpaceDN w:val="0"/>
              <w:adjustRightInd w:val="0"/>
              <w:spacing w:before="240" w:line="240" w:lineRule="auto"/>
              <w:jc w:val="both"/>
              <w:rPr>
                <w:rFonts w:eastAsia="Times New Roman" w:cstheme="minorHAnsi"/>
                <w:sz w:val="20"/>
                <w:szCs w:val="20"/>
                <w:lang w:val="en-GB"/>
              </w:rPr>
            </w:pPr>
            <w:r w:rsidRPr="00C84D92">
              <w:rPr>
                <w:rFonts w:eastAsia="Times New Roman" w:cstheme="minorHAnsi"/>
                <w:sz w:val="20"/>
                <w:szCs w:val="20"/>
                <w:lang w:val="en-GB"/>
              </w:rPr>
              <w:t xml:space="preserve">Over the last fifteen years, both TB incidence and mortality have </w:t>
            </w:r>
            <w:r w:rsidR="003B54E4" w:rsidRPr="00C84D92">
              <w:rPr>
                <w:rFonts w:eastAsia="Times New Roman" w:cstheme="minorHAnsi"/>
                <w:sz w:val="20"/>
                <w:szCs w:val="20"/>
                <w:lang w:val="en-GB"/>
              </w:rPr>
              <w:t xml:space="preserve">significantly </w:t>
            </w:r>
            <w:r w:rsidR="003B54E4">
              <w:rPr>
                <w:rFonts w:eastAsia="Times New Roman" w:cstheme="minorHAnsi"/>
                <w:sz w:val="20"/>
                <w:szCs w:val="20"/>
                <w:lang w:val="en-GB"/>
              </w:rPr>
              <w:t>decreased.</w:t>
            </w:r>
          </w:p>
          <w:p w14:paraId="48CB5CEA" w14:textId="77777777" w:rsidR="0071110F" w:rsidRPr="00473186" w:rsidRDefault="0071110F" w:rsidP="00781834">
            <w:pPr>
              <w:autoSpaceDE w:val="0"/>
              <w:autoSpaceDN w:val="0"/>
              <w:adjustRightInd w:val="0"/>
              <w:spacing w:before="240" w:line="240" w:lineRule="auto"/>
              <w:jc w:val="both"/>
              <w:rPr>
                <w:rFonts w:eastAsia="Times New Roman" w:cstheme="minorHAnsi"/>
                <w:b/>
                <w:sz w:val="20"/>
                <w:szCs w:val="20"/>
                <w:lang w:val="en-GB"/>
              </w:rPr>
            </w:pPr>
            <w:r w:rsidRPr="00473186">
              <w:rPr>
                <w:rFonts w:eastAsia="Times New Roman" w:cstheme="minorHAnsi"/>
                <w:b/>
                <w:sz w:val="20"/>
                <w:szCs w:val="20"/>
                <w:lang w:val="en-GB"/>
              </w:rPr>
              <w:t>Annual number of notified TB cases in Moldova and mortality rate (1990-2019)</w:t>
            </w:r>
          </w:p>
          <w:p w14:paraId="0475F0B3" w14:textId="77777777" w:rsidR="0071110F" w:rsidRDefault="0071110F" w:rsidP="00781834">
            <w:pPr>
              <w:autoSpaceDE w:val="0"/>
              <w:autoSpaceDN w:val="0"/>
              <w:adjustRightInd w:val="0"/>
              <w:spacing w:after="0" w:line="240" w:lineRule="auto"/>
              <w:jc w:val="both"/>
              <w:rPr>
                <w:rFonts w:asciiTheme="minorHAnsi" w:hAnsiTheme="minorHAnsi" w:cstheme="minorHAnsi"/>
              </w:rPr>
            </w:pPr>
            <w:r w:rsidRPr="00E954F8">
              <w:rPr>
                <w:rFonts w:asciiTheme="minorHAnsi" w:hAnsiTheme="minorHAnsi" w:cstheme="minorHAnsi"/>
                <w:noProof/>
              </w:rPr>
              <w:drawing>
                <wp:inline distT="0" distB="0" distL="0" distR="0" wp14:anchorId="02A75C62" wp14:editId="0A8C19A3">
                  <wp:extent cx="6467475" cy="3019425"/>
                  <wp:effectExtent l="0" t="0" r="0" b="0"/>
                  <wp:docPr id="14" name="Chart 14">
                    <a:extLst xmlns:a="http://schemas.openxmlformats.org/drawingml/2006/main">
                      <a:ext uri="{FF2B5EF4-FFF2-40B4-BE49-F238E27FC236}">
                        <a16:creationId xmlns:a16="http://schemas.microsoft.com/office/drawing/2014/main" id="{41F796EF-EB5E-4FD3-AA60-CD6B74D089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9FC617" w14:textId="32C85FC5" w:rsidR="0071110F" w:rsidRPr="00C4673D" w:rsidRDefault="0071110F" w:rsidP="00781834">
            <w:pPr>
              <w:spacing w:after="0" w:line="240" w:lineRule="auto"/>
              <w:jc w:val="both"/>
              <w:rPr>
                <w:rStyle w:val="e24kjd"/>
                <w:rFonts w:asciiTheme="majorHAnsi" w:hAnsiTheme="majorHAnsi" w:cstheme="majorHAnsi"/>
                <w:sz w:val="16"/>
              </w:rPr>
            </w:pPr>
            <w:r w:rsidRPr="003D67DA">
              <w:rPr>
                <w:rStyle w:val="e24kjd"/>
                <w:rFonts w:asciiTheme="majorHAnsi" w:hAnsiTheme="majorHAnsi" w:cstheme="majorHAnsi"/>
                <w:sz w:val="16"/>
              </w:rPr>
              <w:t>Source: National</w:t>
            </w:r>
            <w:r>
              <w:rPr>
                <w:rStyle w:val="e24kjd"/>
                <w:rFonts w:asciiTheme="majorHAnsi" w:hAnsiTheme="majorHAnsi" w:cstheme="majorHAnsi"/>
                <w:sz w:val="16"/>
              </w:rPr>
              <w:t xml:space="preserve"> TB Program Coordination Unit. </w:t>
            </w:r>
            <w:r w:rsidR="007273BE">
              <w:rPr>
                <w:rStyle w:val="e24kjd"/>
                <w:rFonts w:asciiTheme="majorHAnsi" w:hAnsiTheme="majorHAnsi" w:cstheme="majorHAnsi"/>
                <w:sz w:val="16"/>
              </w:rPr>
              <w:t>A</w:t>
            </w:r>
            <w:r w:rsidR="003D67DA">
              <w:rPr>
                <w:rStyle w:val="e24kjd"/>
                <w:rFonts w:asciiTheme="majorHAnsi" w:hAnsiTheme="majorHAnsi" w:cstheme="majorHAnsi"/>
                <w:sz w:val="16"/>
              </w:rPr>
              <w:t>nnual</w:t>
            </w:r>
            <w:r w:rsidR="007273BE">
              <w:rPr>
                <w:rStyle w:val="e24kjd"/>
                <w:rFonts w:asciiTheme="majorHAnsi" w:hAnsiTheme="majorHAnsi" w:cstheme="majorHAnsi"/>
                <w:sz w:val="16"/>
              </w:rPr>
              <w:t xml:space="preserve"> report</w:t>
            </w:r>
          </w:p>
          <w:p w14:paraId="7B7F29A2" w14:textId="77777777" w:rsidR="0071110F" w:rsidRDefault="0071110F" w:rsidP="00781834">
            <w:pPr>
              <w:spacing w:after="0" w:line="240" w:lineRule="auto"/>
              <w:jc w:val="both"/>
              <w:rPr>
                <w:rStyle w:val="e24kjd"/>
                <w:rFonts w:asciiTheme="majorHAnsi" w:hAnsiTheme="majorHAnsi" w:cstheme="majorHAnsi"/>
                <w:sz w:val="20"/>
                <w:highlight w:val="yellow"/>
              </w:rPr>
            </w:pPr>
          </w:p>
          <w:p w14:paraId="23CEA0FF" w14:textId="65F5A7C4" w:rsidR="0011450F" w:rsidRPr="00C579E0" w:rsidRDefault="0011450F" w:rsidP="0011450F">
            <w:pPr>
              <w:spacing w:after="0" w:line="240" w:lineRule="auto"/>
              <w:jc w:val="both"/>
              <w:rPr>
                <w:rFonts w:cs="Arial"/>
                <w:sz w:val="20"/>
                <w:szCs w:val="20"/>
              </w:rPr>
            </w:pPr>
            <w:r w:rsidRPr="00C579E0">
              <w:rPr>
                <w:sz w:val="20"/>
                <w:szCs w:val="20"/>
              </w:rPr>
              <w:t xml:space="preserve">TB case notifications provide good proxy indication of TB incidence, however like in many other countries, in Moldova adjustments are made by a standard factor to account for under-reporting/-diagnosis. </w:t>
            </w:r>
            <w:r w:rsidRPr="00C579E0">
              <w:rPr>
                <w:rFonts w:cstheme="minorHAnsi"/>
                <w:sz w:val="20"/>
                <w:szCs w:val="20"/>
              </w:rPr>
              <w:t>Also the estimated general population size used by WHO (4.1 million in 2014-2018) much higher than the current figure by the National Bureau of Statistics (2.7 million in 2019),</w:t>
            </w:r>
            <w:r w:rsidRPr="00C579E0">
              <w:rPr>
                <w:rStyle w:val="FootnoteReference"/>
                <w:rFonts w:cstheme="minorHAnsi"/>
                <w:sz w:val="20"/>
                <w:szCs w:val="20"/>
              </w:rPr>
              <w:footnoteReference w:id="12"/>
            </w:r>
            <w:r w:rsidRPr="00C579E0">
              <w:rPr>
                <w:rFonts w:cstheme="minorHAnsi"/>
                <w:sz w:val="20"/>
                <w:szCs w:val="20"/>
              </w:rPr>
              <w:t xml:space="preserve"> i.e., application of a standard factor to significantly smaller population may result in lower incidence estimates/targets. </w:t>
            </w:r>
            <w:r w:rsidRPr="00C579E0">
              <w:rPr>
                <w:rStyle w:val="e24kjd"/>
                <w:rFonts w:asciiTheme="majorHAnsi" w:hAnsiTheme="majorHAnsi" w:cstheme="majorHAnsi"/>
                <w:sz w:val="20"/>
                <w:szCs w:val="20"/>
              </w:rPr>
              <w:t xml:space="preserve">Given the country's increased active case-finding strategies and universal coverage with Xpert, it is likely that </w:t>
            </w:r>
            <w:r>
              <w:rPr>
                <w:rStyle w:val="e24kjd"/>
                <w:rFonts w:asciiTheme="majorHAnsi" w:hAnsiTheme="majorHAnsi" w:cstheme="majorHAnsi"/>
                <w:sz w:val="20"/>
                <w:szCs w:val="20"/>
              </w:rPr>
              <w:t xml:space="preserve">UNHLM </w:t>
            </w:r>
            <w:r w:rsidRPr="00C579E0">
              <w:rPr>
                <w:rFonts w:cstheme="minorHAnsi"/>
                <w:sz w:val="20"/>
                <w:szCs w:val="20"/>
              </w:rPr>
              <w:t xml:space="preserve">targets </w:t>
            </w:r>
            <w:r>
              <w:rPr>
                <w:rFonts w:cstheme="minorHAnsi"/>
                <w:sz w:val="20"/>
                <w:szCs w:val="20"/>
              </w:rPr>
              <w:t xml:space="preserve">are an </w:t>
            </w:r>
            <w:r w:rsidRPr="00C579E0">
              <w:rPr>
                <w:rStyle w:val="e24kjd"/>
                <w:rFonts w:asciiTheme="majorHAnsi" w:hAnsiTheme="majorHAnsi" w:cstheme="majorHAnsi"/>
                <w:sz w:val="20"/>
                <w:szCs w:val="20"/>
              </w:rPr>
              <w:t>overestimation</w:t>
            </w:r>
            <w:r w:rsidRPr="00C579E0">
              <w:rPr>
                <w:rFonts w:cstheme="minorHAnsi"/>
                <w:sz w:val="20"/>
                <w:szCs w:val="20"/>
              </w:rPr>
              <w:t xml:space="preserve"> </w:t>
            </w:r>
            <w:r>
              <w:rPr>
                <w:rFonts w:cstheme="minorHAnsi"/>
                <w:sz w:val="20"/>
                <w:szCs w:val="20"/>
              </w:rPr>
              <w:t>and</w:t>
            </w:r>
            <w:r w:rsidRPr="00C579E0">
              <w:rPr>
                <w:rFonts w:cstheme="minorHAnsi"/>
                <w:sz w:val="20"/>
                <w:szCs w:val="20"/>
              </w:rPr>
              <w:t xml:space="preserve"> may need to be revised</w:t>
            </w:r>
            <w:r w:rsidRPr="00C579E0">
              <w:rPr>
                <w:rStyle w:val="e24kjd"/>
                <w:rFonts w:asciiTheme="majorHAnsi" w:hAnsiTheme="majorHAnsi" w:cstheme="majorHAnsi"/>
                <w:sz w:val="20"/>
                <w:szCs w:val="20"/>
              </w:rPr>
              <w:t>.</w:t>
            </w:r>
            <w:r>
              <w:rPr>
                <w:rStyle w:val="e24kjd"/>
                <w:rFonts w:asciiTheme="majorHAnsi" w:hAnsiTheme="majorHAnsi" w:cstheme="majorHAnsi"/>
                <w:sz w:val="20"/>
                <w:szCs w:val="20"/>
              </w:rPr>
              <w:t xml:space="preserve"> </w:t>
            </w:r>
            <w:r w:rsidR="0071110F" w:rsidRPr="00A13F9A">
              <w:rPr>
                <w:sz w:val="20"/>
                <w:szCs w:val="20"/>
              </w:rPr>
              <w:t xml:space="preserve">The annual notified cases are on decline, </w:t>
            </w:r>
            <w:r w:rsidR="008F1EFB">
              <w:rPr>
                <w:sz w:val="20"/>
                <w:szCs w:val="20"/>
              </w:rPr>
              <w:t xml:space="preserve">and </w:t>
            </w:r>
            <w:r w:rsidR="0071110F" w:rsidRPr="00A13F9A">
              <w:rPr>
                <w:sz w:val="20"/>
                <w:szCs w:val="20"/>
              </w:rPr>
              <w:t xml:space="preserve">bacteriologic confirmation increased form 58% in 2014 to 67% in 2018. Reasons </w:t>
            </w:r>
            <w:r w:rsidR="0071110F">
              <w:rPr>
                <w:sz w:val="20"/>
                <w:szCs w:val="20"/>
              </w:rPr>
              <w:t xml:space="preserve">behind low bacteriologic confirmation </w:t>
            </w:r>
            <w:r w:rsidR="0071110F" w:rsidRPr="00DD5AD7">
              <w:rPr>
                <w:sz w:val="20"/>
                <w:szCs w:val="20"/>
              </w:rPr>
              <w:t>are administrative and related to informational system (no automatic import and no automatic validation between the informational modules</w:t>
            </w:r>
            <w:r w:rsidR="0071110F" w:rsidRPr="00A13F9A">
              <w:rPr>
                <w:sz w:val="20"/>
                <w:szCs w:val="20"/>
              </w:rPr>
              <w:t>)</w:t>
            </w:r>
            <w:r w:rsidR="0071110F" w:rsidRPr="00A13F9A">
              <w:rPr>
                <w:rStyle w:val="FootnoteReference"/>
                <w:rFonts w:asciiTheme="majorHAnsi" w:hAnsiTheme="majorHAnsi" w:cstheme="majorHAnsi"/>
                <w:sz w:val="18"/>
              </w:rPr>
              <w:footnoteReference w:id="13"/>
            </w:r>
            <w:r w:rsidRPr="00C579E0">
              <w:rPr>
                <w:sz w:val="20"/>
                <w:szCs w:val="20"/>
              </w:rPr>
              <w:t xml:space="preserve"> </w:t>
            </w:r>
          </w:p>
          <w:p w14:paraId="6D34BE5E" w14:textId="77777777" w:rsidR="0071110F" w:rsidRPr="00A13F9A" w:rsidRDefault="0071110F" w:rsidP="00781834">
            <w:pPr>
              <w:spacing w:after="0" w:line="240" w:lineRule="auto"/>
              <w:jc w:val="both"/>
              <w:rPr>
                <w:rStyle w:val="e24kjd"/>
                <w:rFonts w:asciiTheme="majorHAnsi" w:hAnsiTheme="majorHAnsi" w:cstheme="majorHAnsi"/>
                <w:sz w:val="18"/>
                <w:highlight w:val="yellow"/>
              </w:rPr>
            </w:pPr>
          </w:p>
          <w:p w14:paraId="1B7811A3" w14:textId="77777777" w:rsidR="0071110F" w:rsidRPr="002F76D0" w:rsidRDefault="0071110F" w:rsidP="00781834">
            <w:pPr>
              <w:spacing w:after="0" w:line="240" w:lineRule="auto"/>
              <w:jc w:val="both"/>
              <w:rPr>
                <w:rFonts w:asciiTheme="minorHAnsi" w:hAnsiTheme="minorHAnsi" w:cstheme="minorHAnsi"/>
                <w:b/>
                <w:sz w:val="20"/>
                <w:szCs w:val="20"/>
              </w:rPr>
            </w:pPr>
            <w:r w:rsidRPr="002F76D0">
              <w:rPr>
                <w:rFonts w:asciiTheme="minorHAnsi" w:hAnsiTheme="minorHAnsi" w:cstheme="minorHAnsi"/>
                <w:b/>
                <w:sz w:val="20"/>
                <w:szCs w:val="20"/>
              </w:rPr>
              <w:lastRenderedPageBreak/>
              <w:t>Annual number of notified TB cases by category, 2015-2019</w:t>
            </w:r>
          </w:p>
          <w:tbl>
            <w:tblPr>
              <w:tblStyle w:val="ListTable3-Accent5"/>
              <w:tblW w:w="8844" w:type="dxa"/>
              <w:tblLook w:val="04A0" w:firstRow="1" w:lastRow="0" w:firstColumn="1" w:lastColumn="0" w:noHBand="0" w:noVBand="1"/>
            </w:tblPr>
            <w:tblGrid>
              <w:gridCol w:w="4533"/>
              <w:gridCol w:w="1077"/>
              <w:gridCol w:w="1078"/>
              <w:gridCol w:w="1078"/>
              <w:gridCol w:w="1078"/>
            </w:tblGrid>
            <w:tr w:rsidR="0071110F" w:rsidRPr="00494D85" w14:paraId="23C196F3" w14:textId="77777777" w:rsidTr="008376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3" w:type="dxa"/>
                  <w:shd w:val="clear" w:color="auto" w:fill="0070C0"/>
                </w:tcPr>
                <w:p w14:paraId="68496CDC" w14:textId="77777777" w:rsidR="0071110F" w:rsidRPr="00473186" w:rsidRDefault="0071110F" w:rsidP="00781834">
                  <w:pPr>
                    <w:spacing w:after="0" w:line="240" w:lineRule="auto"/>
                    <w:rPr>
                      <w:rFonts w:asciiTheme="minorHAnsi" w:hAnsiTheme="minorHAnsi" w:cstheme="minorHAnsi"/>
                      <w:sz w:val="20"/>
                    </w:rPr>
                  </w:pPr>
                </w:p>
              </w:tc>
              <w:tc>
                <w:tcPr>
                  <w:tcW w:w="1077" w:type="dxa"/>
                  <w:shd w:val="clear" w:color="auto" w:fill="0070C0"/>
                </w:tcPr>
                <w:p w14:paraId="63E21B2C" w14:textId="77777777" w:rsidR="0071110F" w:rsidRPr="003B54E4"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3B54E4">
                    <w:rPr>
                      <w:rFonts w:asciiTheme="minorHAnsi" w:hAnsiTheme="minorHAnsi" w:cstheme="minorHAnsi"/>
                      <w:sz w:val="20"/>
                    </w:rPr>
                    <w:t>2015</w:t>
                  </w:r>
                </w:p>
              </w:tc>
              <w:tc>
                <w:tcPr>
                  <w:tcW w:w="1078" w:type="dxa"/>
                  <w:shd w:val="clear" w:color="auto" w:fill="0070C0"/>
                </w:tcPr>
                <w:p w14:paraId="74394C5C" w14:textId="77777777" w:rsidR="0071110F" w:rsidRPr="003B54E4"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3B54E4">
                    <w:rPr>
                      <w:rFonts w:asciiTheme="minorHAnsi" w:hAnsiTheme="minorHAnsi" w:cstheme="minorHAnsi"/>
                      <w:sz w:val="20"/>
                    </w:rPr>
                    <w:t>2016</w:t>
                  </w:r>
                </w:p>
              </w:tc>
              <w:tc>
                <w:tcPr>
                  <w:tcW w:w="1078" w:type="dxa"/>
                  <w:shd w:val="clear" w:color="auto" w:fill="0070C0"/>
                </w:tcPr>
                <w:p w14:paraId="55335C68" w14:textId="77777777" w:rsidR="0071110F" w:rsidRPr="003B54E4"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3B54E4">
                    <w:rPr>
                      <w:rFonts w:asciiTheme="minorHAnsi" w:hAnsiTheme="minorHAnsi" w:cstheme="minorHAnsi"/>
                      <w:sz w:val="20"/>
                    </w:rPr>
                    <w:t>2017</w:t>
                  </w:r>
                </w:p>
              </w:tc>
              <w:tc>
                <w:tcPr>
                  <w:tcW w:w="1078" w:type="dxa"/>
                  <w:shd w:val="clear" w:color="auto" w:fill="0070C0"/>
                </w:tcPr>
                <w:p w14:paraId="2E6CECB5" w14:textId="77777777" w:rsidR="0071110F" w:rsidRPr="003B54E4"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3B54E4">
                    <w:rPr>
                      <w:rFonts w:asciiTheme="minorHAnsi" w:hAnsiTheme="minorHAnsi" w:cstheme="minorHAnsi"/>
                      <w:sz w:val="20"/>
                    </w:rPr>
                    <w:t>2018</w:t>
                  </w:r>
                </w:p>
              </w:tc>
            </w:tr>
            <w:tr w:rsidR="0071110F" w:rsidRPr="00494D85" w14:paraId="611A44EA" w14:textId="77777777" w:rsidTr="003B54E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533" w:type="dxa"/>
                </w:tcPr>
                <w:p w14:paraId="54C8AEC9" w14:textId="77777777" w:rsidR="0071110F" w:rsidRPr="003B54E4" w:rsidRDefault="0071110F" w:rsidP="00781834">
                  <w:pPr>
                    <w:spacing w:after="0" w:line="240" w:lineRule="auto"/>
                    <w:rPr>
                      <w:rFonts w:asciiTheme="minorHAnsi" w:hAnsiTheme="minorHAnsi" w:cstheme="minorHAnsi"/>
                      <w:sz w:val="18"/>
                    </w:rPr>
                  </w:pPr>
                  <w:r w:rsidRPr="003B54E4">
                    <w:rPr>
                      <w:rFonts w:asciiTheme="minorHAnsi" w:hAnsiTheme="minorHAnsi" w:cstheme="minorHAnsi"/>
                      <w:sz w:val="18"/>
                    </w:rPr>
                    <w:t>New cases total</w:t>
                  </w:r>
                </w:p>
              </w:tc>
              <w:tc>
                <w:tcPr>
                  <w:tcW w:w="1077" w:type="dxa"/>
                </w:tcPr>
                <w:p w14:paraId="31E62BF0"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rPr>
                  </w:pPr>
                  <w:r w:rsidRPr="003B54E4">
                    <w:rPr>
                      <w:rFonts w:asciiTheme="minorHAnsi" w:hAnsiTheme="minorHAnsi" w:cstheme="minorHAnsi"/>
                      <w:b/>
                      <w:sz w:val="18"/>
                    </w:rPr>
                    <w:t>2860</w:t>
                  </w:r>
                </w:p>
              </w:tc>
              <w:tc>
                <w:tcPr>
                  <w:tcW w:w="1078" w:type="dxa"/>
                </w:tcPr>
                <w:p w14:paraId="663064A3"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rPr>
                  </w:pPr>
                  <w:r w:rsidRPr="003B54E4">
                    <w:rPr>
                      <w:rFonts w:asciiTheme="minorHAnsi" w:hAnsiTheme="minorHAnsi" w:cstheme="minorHAnsi"/>
                      <w:b/>
                      <w:sz w:val="18"/>
                    </w:rPr>
                    <w:t>2844</w:t>
                  </w:r>
                </w:p>
              </w:tc>
              <w:tc>
                <w:tcPr>
                  <w:tcW w:w="1078" w:type="dxa"/>
                </w:tcPr>
                <w:p w14:paraId="6991A1DF"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rPr>
                  </w:pPr>
                  <w:r w:rsidRPr="003B54E4">
                    <w:rPr>
                      <w:rFonts w:asciiTheme="minorHAnsi" w:hAnsiTheme="minorHAnsi" w:cstheme="minorHAnsi"/>
                      <w:b/>
                      <w:sz w:val="18"/>
                    </w:rPr>
                    <w:t>2686</w:t>
                  </w:r>
                </w:p>
              </w:tc>
              <w:tc>
                <w:tcPr>
                  <w:tcW w:w="1078" w:type="dxa"/>
                </w:tcPr>
                <w:p w14:paraId="12FBCDFE"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rPr>
                  </w:pPr>
                  <w:r w:rsidRPr="003B54E4">
                    <w:rPr>
                      <w:rFonts w:asciiTheme="minorHAnsi" w:hAnsiTheme="minorHAnsi" w:cstheme="minorHAnsi"/>
                      <w:b/>
                      <w:sz w:val="18"/>
                    </w:rPr>
                    <w:t>2456</w:t>
                  </w:r>
                </w:p>
              </w:tc>
            </w:tr>
            <w:tr w:rsidR="0071110F" w:rsidRPr="00494D85" w14:paraId="5E9B31B8" w14:textId="77777777" w:rsidTr="003B54E4">
              <w:tc>
                <w:tcPr>
                  <w:cnfStyle w:val="001000000000" w:firstRow="0" w:lastRow="0" w:firstColumn="1" w:lastColumn="0" w:oddVBand="0" w:evenVBand="0" w:oddHBand="0" w:evenHBand="0" w:firstRowFirstColumn="0" w:firstRowLastColumn="0" w:lastRowFirstColumn="0" w:lastRowLastColumn="0"/>
                  <w:tcW w:w="4533" w:type="dxa"/>
                </w:tcPr>
                <w:p w14:paraId="47D2B553" w14:textId="77777777" w:rsidR="0071110F" w:rsidRPr="003B54E4" w:rsidRDefault="0071110F" w:rsidP="00781834">
                  <w:pPr>
                    <w:spacing w:after="0" w:line="240" w:lineRule="auto"/>
                    <w:rPr>
                      <w:rFonts w:asciiTheme="minorHAnsi" w:hAnsiTheme="minorHAnsi" w:cstheme="minorHAnsi"/>
                      <w:b w:val="0"/>
                      <w:sz w:val="18"/>
                    </w:rPr>
                  </w:pPr>
                  <w:r w:rsidRPr="003B54E4">
                    <w:rPr>
                      <w:rFonts w:asciiTheme="minorHAnsi" w:hAnsiTheme="minorHAnsi" w:cstheme="minorHAnsi"/>
                      <w:b w:val="0"/>
                      <w:sz w:val="18"/>
                    </w:rPr>
                    <w:t>New pulmonary bacteriologically confirmed</w:t>
                  </w:r>
                </w:p>
              </w:tc>
              <w:tc>
                <w:tcPr>
                  <w:tcW w:w="1077" w:type="dxa"/>
                </w:tcPr>
                <w:p w14:paraId="798315B4" w14:textId="77777777" w:rsidR="0071110F" w:rsidRPr="003B54E4"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1620</w:t>
                  </w:r>
                </w:p>
              </w:tc>
              <w:tc>
                <w:tcPr>
                  <w:tcW w:w="1078" w:type="dxa"/>
                </w:tcPr>
                <w:p w14:paraId="34E49174" w14:textId="77777777" w:rsidR="0071110F" w:rsidRPr="003B54E4"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1596</w:t>
                  </w:r>
                </w:p>
              </w:tc>
              <w:tc>
                <w:tcPr>
                  <w:tcW w:w="1078" w:type="dxa"/>
                </w:tcPr>
                <w:p w14:paraId="3FACDABE" w14:textId="77777777" w:rsidR="0071110F" w:rsidRPr="003B54E4"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1492</w:t>
                  </w:r>
                </w:p>
              </w:tc>
              <w:tc>
                <w:tcPr>
                  <w:tcW w:w="1078" w:type="dxa"/>
                </w:tcPr>
                <w:p w14:paraId="65508F6D" w14:textId="77777777" w:rsidR="0071110F" w:rsidRPr="003B54E4"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1417</w:t>
                  </w:r>
                </w:p>
              </w:tc>
            </w:tr>
            <w:tr w:rsidR="0071110F" w:rsidRPr="00494D85" w14:paraId="6C1E8120" w14:textId="77777777" w:rsidTr="003B5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02CF59FB" w14:textId="77777777" w:rsidR="0071110F" w:rsidRPr="003B54E4" w:rsidRDefault="0071110F" w:rsidP="00781834">
                  <w:pPr>
                    <w:spacing w:after="0" w:line="240" w:lineRule="auto"/>
                    <w:rPr>
                      <w:rFonts w:asciiTheme="minorHAnsi" w:hAnsiTheme="minorHAnsi" w:cstheme="minorHAnsi"/>
                      <w:b w:val="0"/>
                      <w:sz w:val="18"/>
                    </w:rPr>
                  </w:pPr>
                  <w:r w:rsidRPr="003B54E4">
                    <w:rPr>
                      <w:rFonts w:asciiTheme="minorHAnsi" w:hAnsiTheme="minorHAnsi" w:cstheme="minorHAnsi"/>
                      <w:b w:val="0"/>
                      <w:sz w:val="18"/>
                    </w:rPr>
                    <w:t>New pulmonary clinically diagnosed</w:t>
                  </w:r>
                </w:p>
              </w:tc>
              <w:tc>
                <w:tcPr>
                  <w:tcW w:w="1077" w:type="dxa"/>
                </w:tcPr>
                <w:p w14:paraId="67BBA881"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929</w:t>
                  </w:r>
                </w:p>
              </w:tc>
              <w:tc>
                <w:tcPr>
                  <w:tcW w:w="1078" w:type="dxa"/>
                </w:tcPr>
                <w:p w14:paraId="253C5128"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942</w:t>
                  </w:r>
                </w:p>
              </w:tc>
              <w:tc>
                <w:tcPr>
                  <w:tcW w:w="1078" w:type="dxa"/>
                </w:tcPr>
                <w:p w14:paraId="1602326B"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888</w:t>
                  </w:r>
                </w:p>
              </w:tc>
              <w:tc>
                <w:tcPr>
                  <w:tcW w:w="1078" w:type="dxa"/>
                </w:tcPr>
                <w:p w14:paraId="6D54DFE7"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770</w:t>
                  </w:r>
                </w:p>
              </w:tc>
            </w:tr>
            <w:tr w:rsidR="0071110F" w:rsidRPr="00494D85" w14:paraId="41D949B0" w14:textId="77777777" w:rsidTr="003B54E4">
              <w:tc>
                <w:tcPr>
                  <w:cnfStyle w:val="001000000000" w:firstRow="0" w:lastRow="0" w:firstColumn="1" w:lastColumn="0" w:oddVBand="0" w:evenVBand="0" w:oddHBand="0" w:evenHBand="0" w:firstRowFirstColumn="0" w:firstRowLastColumn="0" w:lastRowFirstColumn="0" w:lastRowLastColumn="0"/>
                  <w:tcW w:w="4533" w:type="dxa"/>
                </w:tcPr>
                <w:p w14:paraId="694C8B27" w14:textId="77777777" w:rsidR="0071110F" w:rsidRPr="003B54E4" w:rsidRDefault="0071110F" w:rsidP="00781834">
                  <w:pPr>
                    <w:spacing w:after="0" w:line="240" w:lineRule="auto"/>
                    <w:rPr>
                      <w:rFonts w:asciiTheme="minorHAnsi" w:hAnsiTheme="minorHAnsi" w:cstheme="minorHAnsi"/>
                      <w:b w:val="0"/>
                      <w:sz w:val="18"/>
                    </w:rPr>
                  </w:pPr>
                  <w:r w:rsidRPr="003B54E4">
                    <w:rPr>
                      <w:rFonts w:asciiTheme="minorHAnsi" w:hAnsiTheme="minorHAnsi" w:cstheme="minorHAnsi"/>
                      <w:b w:val="0"/>
                      <w:sz w:val="18"/>
                    </w:rPr>
                    <w:t>New extrapulmonary</w:t>
                  </w:r>
                </w:p>
              </w:tc>
              <w:tc>
                <w:tcPr>
                  <w:tcW w:w="1077" w:type="dxa"/>
                </w:tcPr>
                <w:p w14:paraId="388351FA" w14:textId="77777777" w:rsidR="0071110F" w:rsidRPr="003B54E4"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306</w:t>
                  </w:r>
                </w:p>
              </w:tc>
              <w:tc>
                <w:tcPr>
                  <w:tcW w:w="1078" w:type="dxa"/>
                </w:tcPr>
                <w:p w14:paraId="20ECB27F" w14:textId="77777777" w:rsidR="0071110F" w:rsidRPr="003B54E4"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306</w:t>
                  </w:r>
                </w:p>
              </w:tc>
              <w:tc>
                <w:tcPr>
                  <w:tcW w:w="1078" w:type="dxa"/>
                </w:tcPr>
                <w:p w14:paraId="33888156" w14:textId="77777777" w:rsidR="0071110F" w:rsidRPr="003B54E4"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306</w:t>
                  </w:r>
                </w:p>
              </w:tc>
              <w:tc>
                <w:tcPr>
                  <w:tcW w:w="1078" w:type="dxa"/>
                </w:tcPr>
                <w:p w14:paraId="16D699DC" w14:textId="77777777" w:rsidR="0071110F" w:rsidRPr="003B54E4"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266</w:t>
                  </w:r>
                </w:p>
              </w:tc>
            </w:tr>
            <w:tr w:rsidR="0071110F" w:rsidRPr="00494D85" w14:paraId="7968455B" w14:textId="77777777" w:rsidTr="003B5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47ECCAB1" w14:textId="77777777" w:rsidR="0071110F" w:rsidRPr="003B54E4" w:rsidRDefault="0071110F" w:rsidP="00781834">
                  <w:pPr>
                    <w:spacing w:after="0" w:line="240" w:lineRule="auto"/>
                    <w:rPr>
                      <w:rFonts w:asciiTheme="minorHAnsi" w:hAnsiTheme="minorHAnsi" w:cstheme="minorHAnsi"/>
                      <w:sz w:val="18"/>
                    </w:rPr>
                  </w:pPr>
                  <w:r w:rsidRPr="003B54E4">
                    <w:rPr>
                      <w:rFonts w:asciiTheme="minorHAnsi" w:hAnsiTheme="minorHAnsi" w:cstheme="minorHAnsi"/>
                      <w:sz w:val="18"/>
                    </w:rPr>
                    <w:t>Previously treated cases total</w:t>
                  </w:r>
                </w:p>
              </w:tc>
              <w:tc>
                <w:tcPr>
                  <w:tcW w:w="1077" w:type="dxa"/>
                </w:tcPr>
                <w:p w14:paraId="6228B566"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rPr>
                  </w:pPr>
                  <w:r w:rsidRPr="003B54E4">
                    <w:rPr>
                      <w:rFonts w:asciiTheme="minorHAnsi" w:hAnsiTheme="minorHAnsi" w:cstheme="minorHAnsi"/>
                      <w:b/>
                      <w:sz w:val="18"/>
                    </w:rPr>
                    <w:t>1330</w:t>
                  </w:r>
                </w:p>
              </w:tc>
              <w:tc>
                <w:tcPr>
                  <w:tcW w:w="1078" w:type="dxa"/>
                </w:tcPr>
                <w:p w14:paraId="4EC406BC"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rPr>
                  </w:pPr>
                  <w:r w:rsidRPr="003B54E4">
                    <w:rPr>
                      <w:rFonts w:asciiTheme="minorHAnsi" w:hAnsiTheme="minorHAnsi" w:cstheme="minorHAnsi"/>
                      <w:b/>
                      <w:sz w:val="18"/>
                    </w:rPr>
                    <w:t>1258</w:t>
                  </w:r>
                </w:p>
              </w:tc>
              <w:tc>
                <w:tcPr>
                  <w:tcW w:w="1078" w:type="dxa"/>
                </w:tcPr>
                <w:p w14:paraId="51433DBA"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rPr>
                  </w:pPr>
                  <w:r w:rsidRPr="003B54E4">
                    <w:rPr>
                      <w:rFonts w:asciiTheme="minorHAnsi" w:hAnsiTheme="minorHAnsi" w:cstheme="minorHAnsi"/>
                      <w:b/>
                      <w:sz w:val="18"/>
                    </w:rPr>
                    <w:t>1146</w:t>
                  </w:r>
                </w:p>
              </w:tc>
              <w:tc>
                <w:tcPr>
                  <w:tcW w:w="1078" w:type="dxa"/>
                </w:tcPr>
                <w:p w14:paraId="1BA3E3D6"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rPr>
                  </w:pPr>
                  <w:r w:rsidRPr="003B54E4">
                    <w:rPr>
                      <w:rFonts w:asciiTheme="minorHAnsi" w:hAnsiTheme="minorHAnsi" w:cstheme="minorHAnsi"/>
                      <w:b/>
                      <w:sz w:val="18"/>
                    </w:rPr>
                    <w:t>984</w:t>
                  </w:r>
                </w:p>
              </w:tc>
            </w:tr>
            <w:tr w:rsidR="0071110F" w:rsidRPr="00494D85" w14:paraId="48ECDC6E" w14:textId="77777777" w:rsidTr="003B54E4">
              <w:tc>
                <w:tcPr>
                  <w:cnfStyle w:val="001000000000" w:firstRow="0" w:lastRow="0" w:firstColumn="1" w:lastColumn="0" w:oddVBand="0" w:evenVBand="0" w:oddHBand="0" w:evenHBand="0" w:firstRowFirstColumn="0" w:firstRowLastColumn="0" w:lastRowFirstColumn="0" w:lastRowLastColumn="0"/>
                  <w:tcW w:w="4533" w:type="dxa"/>
                </w:tcPr>
                <w:p w14:paraId="3039B23D" w14:textId="77777777" w:rsidR="0071110F" w:rsidRPr="003B54E4" w:rsidRDefault="0071110F" w:rsidP="00781834">
                  <w:pPr>
                    <w:spacing w:after="0" w:line="240" w:lineRule="auto"/>
                    <w:rPr>
                      <w:rFonts w:asciiTheme="minorHAnsi" w:hAnsiTheme="minorHAnsi" w:cstheme="minorHAnsi"/>
                      <w:b w:val="0"/>
                      <w:sz w:val="18"/>
                    </w:rPr>
                  </w:pPr>
                  <w:r w:rsidRPr="003B54E4">
                    <w:rPr>
                      <w:rFonts w:asciiTheme="minorHAnsi" w:hAnsiTheme="minorHAnsi" w:cstheme="minorHAnsi"/>
                      <w:b w:val="0"/>
                      <w:sz w:val="18"/>
                    </w:rPr>
                    <w:t>Relapses pulmonary bacteriologically confirmed</w:t>
                  </w:r>
                </w:p>
              </w:tc>
              <w:tc>
                <w:tcPr>
                  <w:tcW w:w="1077" w:type="dxa"/>
                </w:tcPr>
                <w:p w14:paraId="3077A381" w14:textId="77777777" w:rsidR="0071110F" w:rsidRPr="003B54E4"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477</w:t>
                  </w:r>
                </w:p>
              </w:tc>
              <w:tc>
                <w:tcPr>
                  <w:tcW w:w="1078" w:type="dxa"/>
                </w:tcPr>
                <w:p w14:paraId="78C8616E" w14:textId="77777777" w:rsidR="0071110F" w:rsidRPr="003B54E4"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428</w:t>
                  </w:r>
                </w:p>
              </w:tc>
              <w:tc>
                <w:tcPr>
                  <w:tcW w:w="1078" w:type="dxa"/>
                </w:tcPr>
                <w:p w14:paraId="3A4EA36F" w14:textId="77777777" w:rsidR="0071110F" w:rsidRPr="003B54E4"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386</w:t>
                  </w:r>
                </w:p>
              </w:tc>
              <w:tc>
                <w:tcPr>
                  <w:tcW w:w="1078" w:type="dxa"/>
                </w:tcPr>
                <w:p w14:paraId="75E0B782" w14:textId="77777777" w:rsidR="0071110F" w:rsidRPr="003B54E4"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378</w:t>
                  </w:r>
                </w:p>
              </w:tc>
            </w:tr>
            <w:tr w:rsidR="0071110F" w:rsidRPr="00494D85" w14:paraId="2D360365" w14:textId="77777777" w:rsidTr="003B5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41D13882" w14:textId="77777777" w:rsidR="0071110F" w:rsidRPr="003B54E4" w:rsidRDefault="0071110F" w:rsidP="00781834">
                  <w:pPr>
                    <w:spacing w:after="0" w:line="240" w:lineRule="auto"/>
                    <w:rPr>
                      <w:rFonts w:asciiTheme="minorHAnsi" w:hAnsiTheme="minorHAnsi" w:cstheme="minorHAnsi"/>
                      <w:b w:val="0"/>
                      <w:sz w:val="18"/>
                    </w:rPr>
                  </w:pPr>
                  <w:r w:rsidRPr="003B54E4">
                    <w:rPr>
                      <w:rFonts w:asciiTheme="minorHAnsi" w:hAnsiTheme="minorHAnsi" w:cstheme="minorHAnsi"/>
                      <w:b w:val="0"/>
                      <w:sz w:val="18"/>
                    </w:rPr>
                    <w:t>Relapses pulmonary clinically diagnosed</w:t>
                  </w:r>
                </w:p>
              </w:tc>
              <w:tc>
                <w:tcPr>
                  <w:tcW w:w="1077" w:type="dxa"/>
                </w:tcPr>
                <w:p w14:paraId="1271B72F"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274</w:t>
                  </w:r>
                </w:p>
              </w:tc>
              <w:tc>
                <w:tcPr>
                  <w:tcW w:w="1078" w:type="dxa"/>
                </w:tcPr>
                <w:p w14:paraId="2F8D4564"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269</w:t>
                  </w:r>
                </w:p>
              </w:tc>
              <w:tc>
                <w:tcPr>
                  <w:tcW w:w="1078" w:type="dxa"/>
                </w:tcPr>
                <w:p w14:paraId="59ABD376"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246</w:t>
                  </w:r>
                </w:p>
              </w:tc>
              <w:tc>
                <w:tcPr>
                  <w:tcW w:w="1078" w:type="dxa"/>
                </w:tcPr>
                <w:p w14:paraId="2FDC304F"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167</w:t>
                  </w:r>
                </w:p>
              </w:tc>
            </w:tr>
            <w:tr w:rsidR="0071110F" w:rsidRPr="00494D85" w14:paraId="69B659A3" w14:textId="77777777" w:rsidTr="003B54E4">
              <w:tc>
                <w:tcPr>
                  <w:cnfStyle w:val="001000000000" w:firstRow="0" w:lastRow="0" w:firstColumn="1" w:lastColumn="0" w:oddVBand="0" w:evenVBand="0" w:oddHBand="0" w:evenHBand="0" w:firstRowFirstColumn="0" w:firstRowLastColumn="0" w:lastRowFirstColumn="0" w:lastRowLastColumn="0"/>
                  <w:tcW w:w="4533" w:type="dxa"/>
                </w:tcPr>
                <w:p w14:paraId="0C2CF21E" w14:textId="77777777" w:rsidR="0071110F" w:rsidRPr="003B54E4" w:rsidRDefault="0071110F" w:rsidP="00781834">
                  <w:pPr>
                    <w:spacing w:after="0" w:line="240" w:lineRule="auto"/>
                    <w:rPr>
                      <w:rFonts w:asciiTheme="minorHAnsi" w:hAnsiTheme="minorHAnsi" w:cstheme="minorHAnsi"/>
                      <w:b w:val="0"/>
                      <w:sz w:val="18"/>
                    </w:rPr>
                  </w:pPr>
                  <w:r w:rsidRPr="003B54E4">
                    <w:rPr>
                      <w:rFonts w:asciiTheme="minorHAnsi" w:hAnsiTheme="minorHAnsi" w:cstheme="minorHAnsi"/>
                      <w:b w:val="0"/>
                      <w:sz w:val="18"/>
                    </w:rPr>
                    <w:t>Relapses extrapulmonary</w:t>
                  </w:r>
                </w:p>
              </w:tc>
              <w:tc>
                <w:tcPr>
                  <w:tcW w:w="1077" w:type="dxa"/>
                </w:tcPr>
                <w:p w14:paraId="335113C2" w14:textId="77777777" w:rsidR="0071110F" w:rsidRPr="003B54E4"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29</w:t>
                  </w:r>
                </w:p>
              </w:tc>
              <w:tc>
                <w:tcPr>
                  <w:tcW w:w="1078" w:type="dxa"/>
                </w:tcPr>
                <w:p w14:paraId="486FCF6B" w14:textId="77777777" w:rsidR="0071110F" w:rsidRPr="003B54E4"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29</w:t>
                  </w:r>
                </w:p>
              </w:tc>
              <w:tc>
                <w:tcPr>
                  <w:tcW w:w="1078" w:type="dxa"/>
                </w:tcPr>
                <w:p w14:paraId="047522D4" w14:textId="77777777" w:rsidR="0071110F" w:rsidRPr="003B54E4"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36</w:t>
                  </w:r>
                </w:p>
              </w:tc>
              <w:tc>
                <w:tcPr>
                  <w:tcW w:w="1078" w:type="dxa"/>
                </w:tcPr>
                <w:p w14:paraId="1CC5C229" w14:textId="77777777" w:rsidR="0071110F" w:rsidRPr="003B54E4"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21</w:t>
                  </w:r>
                </w:p>
              </w:tc>
            </w:tr>
            <w:tr w:rsidR="0071110F" w:rsidRPr="00494D85" w14:paraId="43C61281" w14:textId="77777777" w:rsidTr="003B5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1399ABA4" w14:textId="77777777" w:rsidR="0071110F" w:rsidRPr="003B54E4" w:rsidRDefault="0071110F" w:rsidP="00781834">
                  <w:pPr>
                    <w:spacing w:after="0" w:line="240" w:lineRule="auto"/>
                    <w:rPr>
                      <w:rFonts w:asciiTheme="minorHAnsi" w:hAnsiTheme="minorHAnsi" w:cstheme="minorHAnsi"/>
                      <w:b w:val="0"/>
                      <w:sz w:val="18"/>
                    </w:rPr>
                  </w:pPr>
                  <w:r w:rsidRPr="003B54E4">
                    <w:rPr>
                      <w:rFonts w:asciiTheme="minorHAnsi" w:hAnsiTheme="minorHAnsi" w:cstheme="minorHAnsi"/>
                      <w:b w:val="0"/>
                      <w:sz w:val="18"/>
                    </w:rPr>
                    <w:t>Other previously treated</w:t>
                  </w:r>
                </w:p>
              </w:tc>
              <w:tc>
                <w:tcPr>
                  <w:tcW w:w="1077" w:type="dxa"/>
                </w:tcPr>
                <w:p w14:paraId="095A7BDD"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550</w:t>
                  </w:r>
                </w:p>
              </w:tc>
              <w:tc>
                <w:tcPr>
                  <w:tcW w:w="1078" w:type="dxa"/>
                </w:tcPr>
                <w:p w14:paraId="6F4E731F"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532</w:t>
                  </w:r>
                </w:p>
              </w:tc>
              <w:tc>
                <w:tcPr>
                  <w:tcW w:w="1078" w:type="dxa"/>
                </w:tcPr>
                <w:p w14:paraId="2FA3620D"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478</w:t>
                  </w:r>
                </w:p>
              </w:tc>
              <w:tc>
                <w:tcPr>
                  <w:tcW w:w="1078" w:type="dxa"/>
                </w:tcPr>
                <w:p w14:paraId="29F554E1"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3B54E4">
                    <w:rPr>
                      <w:rFonts w:asciiTheme="minorHAnsi" w:hAnsiTheme="minorHAnsi" w:cstheme="minorHAnsi"/>
                      <w:sz w:val="18"/>
                    </w:rPr>
                    <w:t>418</w:t>
                  </w:r>
                </w:p>
              </w:tc>
            </w:tr>
            <w:tr w:rsidR="0071110F" w:rsidRPr="00494D85" w14:paraId="2B449D71" w14:textId="77777777" w:rsidTr="003B54E4">
              <w:tc>
                <w:tcPr>
                  <w:cnfStyle w:val="001000000000" w:firstRow="0" w:lastRow="0" w:firstColumn="1" w:lastColumn="0" w:oddVBand="0" w:evenVBand="0" w:oddHBand="0" w:evenHBand="0" w:firstRowFirstColumn="0" w:firstRowLastColumn="0" w:lastRowFirstColumn="0" w:lastRowLastColumn="0"/>
                  <w:tcW w:w="4533" w:type="dxa"/>
                </w:tcPr>
                <w:p w14:paraId="20C0C5BE" w14:textId="77777777" w:rsidR="0071110F" w:rsidRPr="003B54E4" w:rsidRDefault="0071110F" w:rsidP="00781834">
                  <w:pPr>
                    <w:spacing w:after="0" w:line="240" w:lineRule="auto"/>
                    <w:rPr>
                      <w:rFonts w:asciiTheme="minorHAnsi" w:hAnsiTheme="minorHAnsi" w:cstheme="minorHAnsi"/>
                      <w:sz w:val="18"/>
                    </w:rPr>
                  </w:pPr>
                  <w:r w:rsidRPr="003B54E4">
                    <w:rPr>
                      <w:rFonts w:asciiTheme="minorHAnsi" w:hAnsiTheme="minorHAnsi" w:cstheme="minorHAnsi"/>
                      <w:b w:val="0"/>
                      <w:sz w:val="18"/>
                    </w:rPr>
                    <w:t>Other cases</w:t>
                  </w:r>
                </w:p>
              </w:tc>
              <w:tc>
                <w:tcPr>
                  <w:tcW w:w="1077" w:type="dxa"/>
                </w:tcPr>
                <w:p w14:paraId="1E6ECC90" w14:textId="77777777" w:rsidR="0071110F" w:rsidRPr="003B54E4"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3B54E4">
                    <w:rPr>
                      <w:rFonts w:asciiTheme="minorHAnsi" w:hAnsiTheme="minorHAnsi" w:cstheme="minorHAnsi"/>
                      <w:b/>
                      <w:sz w:val="18"/>
                    </w:rPr>
                    <w:t>33</w:t>
                  </w:r>
                </w:p>
              </w:tc>
              <w:tc>
                <w:tcPr>
                  <w:tcW w:w="1078" w:type="dxa"/>
                </w:tcPr>
                <w:p w14:paraId="1BAA6F2E" w14:textId="77777777" w:rsidR="0071110F" w:rsidRPr="003B54E4"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3B54E4">
                    <w:rPr>
                      <w:rFonts w:asciiTheme="minorHAnsi" w:hAnsiTheme="minorHAnsi" w:cstheme="minorHAnsi"/>
                      <w:b/>
                      <w:sz w:val="18"/>
                    </w:rPr>
                    <w:t>30</w:t>
                  </w:r>
                </w:p>
              </w:tc>
              <w:tc>
                <w:tcPr>
                  <w:tcW w:w="1078" w:type="dxa"/>
                </w:tcPr>
                <w:p w14:paraId="7477FA65" w14:textId="77777777" w:rsidR="0071110F" w:rsidRPr="003B54E4"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3B54E4">
                    <w:rPr>
                      <w:rFonts w:asciiTheme="minorHAnsi" w:hAnsiTheme="minorHAnsi" w:cstheme="minorHAnsi"/>
                      <w:b/>
                      <w:sz w:val="18"/>
                    </w:rPr>
                    <w:t>22</w:t>
                  </w:r>
                </w:p>
              </w:tc>
              <w:tc>
                <w:tcPr>
                  <w:tcW w:w="1078" w:type="dxa"/>
                </w:tcPr>
                <w:p w14:paraId="39CDE7DB" w14:textId="77777777" w:rsidR="0071110F" w:rsidRPr="003B54E4"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rPr>
                  </w:pPr>
                  <w:r w:rsidRPr="003B54E4">
                    <w:rPr>
                      <w:rFonts w:asciiTheme="minorHAnsi" w:hAnsiTheme="minorHAnsi" w:cstheme="minorHAnsi"/>
                      <w:b/>
                      <w:sz w:val="18"/>
                    </w:rPr>
                    <w:t>26</w:t>
                  </w:r>
                </w:p>
              </w:tc>
            </w:tr>
            <w:tr w:rsidR="0071110F" w:rsidRPr="00494D85" w14:paraId="7AC62328" w14:textId="77777777" w:rsidTr="003B5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0258CC93" w14:textId="77777777" w:rsidR="0071110F" w:rsidRPr="003B54E4" w:rsidRDefault="0071110F" w:rsidP="00781834">
                  <w:pPr>
                    <w:spacing w:after="0" w:line="240" w:lineRule="auto"/>
                    <w:rPr>
                      <w:rFonts w:asciiTheme="minorHAnsi" w:hAnsiTheme="minorHAnsi" w:cstheme="minorHAnsi"/>
                      <w:sz w:val="18"/>
                    </w:rPr>
                  </w:pPr>
                  <w:r w:rsidRPr="003B54E4">
                    <w:rPr>
                      <w:rFonts w:asciiTheme="minorHAnsi" w:hAnsiTheme="minorHAnsi" w:cstheme="minorHAnsi"/>
                      <w:sz w:val="18"/>
                    </w:rPr>
                    <w:t>All TB cases</w:t>
                  </w:r>
                </w:p>
              </w:tc>
              <w:tc>
                <w:tcPr>
                  <w:tcW w:w="1077" w:type="dxa"/>
                </w:tcPr>
                <w:p w14:paraId="23ACD2AF"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rPr>
                  </w:pPr>
                  <w:r w:rsidRPr="003B54E4">
                    <w:rPr>
                      <w:rFonts w:asciiTheme="minorHAnsi" w:hAnsiTheme="minorHAnsi" w:cstheme="minorHAnsi"/>
                      <w:b/>
                      <w:sz w:val="18"/>
                    </w:rPr>
                    <w:t>4637</w:t>
                  </w:r>
                </w:p>
              </w:tc>
              <w:tc>
                <w:tcPr>
                  <w:tcW w:w="1078" w:type="dxa"/>
                </w:tcPr>
                <w:p w14:paraId="381B4EA8"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rPr>
                  </w:pPr>
                  <w:r w:rsidRPr="003B54E4">
                    <w:rPr>
                      <w:rFonts w:asciiTheme="minorHAnsi" w:hAnsiTheme="minorHAnsi" w:cstheme="minorHAnsi"/>
                      <w:b/>
                      <w:sz w:val="18"/>
                    </w:rPr>
                    <w:t>4132</w:t>
                  </w:r>
                </w:p>
              </w:tc>
              <w:tc>
                <w:tcPr>
                  <w:tcW w:w="1078" w:type="dxa"/>
                </w:tcPr>
                <w:p w14:paraId="0AA54DAA"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rPr>
                  </w:pPr>
                  <w:r w:rsidRPr="003B54E4">
                    <w:rPr>
                      <w:rFonts w:asciiTheme="minorHAnsi" w:hAnsiTheme="minorHAnsi" w:cstheme="minorHAnsi"/>
                      <w:b/>
                      <w:sz w:val="18"/>
                    </w:rPr>
                    <w:t>3854</w:t>
                  </w:r>
                </w:p>
              </w:tc>
              <w:tc>
                <w:tcPr>
                  <w:tcW w:w="1078" w:type="dxa"/>
                </w:tcPr>
                <w:p w14:paraId="02A122F1" w14:textId="77777777" w:rsidR="0071110F" w:rsidRPr="003B54E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rPr>
                  </w:pPr>
                  <w:r w:rsidRPr="003B54E4">
                    <w:rPr>
                      <w:rFonts w:asciiTheme="minorHAnsi" w:hAnsiTheme="minorHAnsi" w:cstheme="minorHAnsi"/>
                      <w:b/>
                      <w:sz w:val="18"/>
                    </w:rPr>
                    <w:t>3463</w:t>
                  </w:r>
                </w:p>
              </w:tc>
            </w:tr>
          </w:tbl>
          <w:p w14:paraId="1E3FAACC" w14:textId="77777777" w:rsidR="0071110F" w:rsidRPr="00494D85" w:rsidRDefault="0071110F" w:rsidP="00781834">
            <w:pPr>
              <w:spacing w:after="0" w:line="240" w:lineRule="auto"/>
              <w:jc w:val="both"/>
              <w:rPr>
                <w:rFonts w:asciiTheme="minorHAnsi" w:hAnsiTheme="minorHAnsi" w:cstheme="minorHAnsi"/>
                <w:sz w:val="16"/>
                <w:szCs w:val="16"/>
              </w:rPr>
            </w:pPr>
            <w:r w:rsidRPr="003D67DA">
              <w:rPr>
                <w:rFonts w:asciiTheme="minorHAnsi" w:hAnsiTheme="minorHAnsi" w:cstheme="minorHAnsi"/>
                <w:sz w:val="16"/>
                <w:szCs w:val="16"/>
              </w:rPr>
              <w:t>Source: GLC</w:t>
            </w:r>
            <w:r>
              <w:rPr>
                <w:rFonts w:asciiTheme="minorHAnsi" w:hAnsiTheme="minorHAnsi" w:cstheme="minorHAnsi"/>
                <w:sz w:val="16"/>
                <w:szCs w:val="16"/>
              </w:rPr>
              <w:t xml:space="preserve"> mission report 2019</w:t>
            </w:r>
            <w:r w:rsidRPr="00494D85">
              <w:rPr>
                <w:rStyle w:val="Hyperlink"/>
                <w:rFonts w:asciiTheme="minorHAnsi" w:hAnsiTheme="minorHAnsi" w:cstheme="minorHAnsi"/>
                <w:sz w:val="16"/>
                <w:szCs w:val="16"/>
              </w:rPr>
              <w:t xml:space="preserve"> </w:t>
            </w:r>
          </w:p>
          <w:p w14:paraId="0B8828DB" w14:textId="77777777" w:rsidR="0071110F" w:rsidRDefault="0071110F" w:rsidP="00781834">
            <w:pPr>
              <w:spacing w:after="0" w:line="240" w:lineRule="auto"/>
              <w:jc w:val="both"/>
              <w:rPr>
                <w:rStyle w:val="e24kjd"/>
                <w:rFonts w:asciiTheme="majorHAnsi" w:hAnsiTheme="majorHAnsi" w:cstheme="majorHAnsi"/>
                <w:b/>
                <w:sz w:val="20"/>
              </w:rPr>
            </w:pPr>
          </w:p>
          <w:p w14:paraId="01941DBF" w14:textId="3B0017A0" w:rsidR="0071110F" w:rsidRDefault="0071110F" w:rsidP="00781834">
            <w:pPr>
              <w:spacing w:after="0" w:line="240" w:lineRule="auto"/>
              <w:jc w:val="both"/>
              <w:rPr>
                <w:rStyle w:val="e24kjd"/>
                <w:rFonts w:asciiTheme="majorHAnsi" w:hAnsiTheme="majorHAnsi" w:cstheme="majorHAnsi"/>
                <w:sz w:val="20"/>
                <w:szCs w:val="20"/>
              </w:rPr>
            </w:pPr>
            <w:r w:rsidRPr="0015032C">
              <w:rPr>
                <w:rStyle w:val="e24kjd"/>
                <w:rFonts w:asciiTheme="majorHAnsi" w:hAnsiTheme="majorHAnsi" w:cstheme="majorHAnsi"/>
                <w:b/>
                <w:sz w:val="20"/>
              </w:rPr>
              <w:t>MDR TB:</w:t>
            </w:r>
            <w:r w:rsidRPr="0015032C">
              <w:rPr>
                <w:rStyle w:val="e24kjd"/>
                <w:rFonts w:asciiTheme="majorHAnsi" w:hAnsiTheme="majorHAnsi" w:cstheme="majorHAnsi"/>
                <w:sz w:val="20"/>
              </w:rPr>
              <w:t xml:space="preserve"> </w:t>
            </w:r>
            <w:r w:rsidRPr="00C579E0">
              <w:rPr>
                <w:rFonts w:cs="Arial"/>
                <w:sz w:val="20"/>
                <w:szCs w:val="20"/>
              </w:rPr>
              <w:t>The European Region has the highest rates of drug-resistant TB (DR-TB) in the world. Moldova has the same pattern, 27% of new TB cases and 56% of previously treated cases had rifampi</w:t>
            </w:r>
            <w:r w:rsidR="003D67DA">
              <w:rPr>
                <w:rFonts w:cs="Arial"/>
                <w:sz w:val="20"/>
                <w:szCs w:val="20"/>
              </w:rPr>
              <w:t>cin-resistant TB (RR-TB) in 201 (national reporting)</w:t>
            </w:r>
            <w:r w:rsidRPr="00C579E0">
              <w:rPr>
                <w:rFonts w:cs="Arial"/>
                <w:sz w:val="20"/>
                <w:szCs w:val="20"/>
              </w:rPr>
              <w:t xml:space="preserve">, compared to global figures of 4.1% and 19%. Resistance to anti-TB drugs is the largest challenge and the main obstacle to effectively addressing the TB epidemic in Moldova. </w:t>
            </w:r>
            <w:r w:rsidRPr="00C579E0">
              <w:rPr>
                <w:rStyle w:val="e24kjd"/>
                <w:rFonts w:asciiTheme="majorHAnsi" w:hAnsiTheme="majorHAnsi" w:cstheme="majorHAnsi"/>
                <w:sz w:val="20"/>
                <w:szCs w:val="20"/>
              </w:rPr>
              <w:t xml:space="preserve">In 2019, 631 drug resistant TB patients (RR-TB an MDR-TB), bacteriologically confirmed, were notified, compared to the target 1,023 estimated cases. </w:t>
            </w:r>
          </w:p>
          <w:p w14:paraId="0D971C4F" w14:textId="77777777" w:rsidR="001B4FE2" w:rsidRPr="00C579E0" w:rsidRDefault="001B4FE2" w:rsidP="00781834">
            <w:pPr>
              <w:spacing w:after="0" w:line="240" w:lineRule="auto"/>
              <w:jc w:val="both"/>
              <w:rPr>
                <w:rFonts w:cs="Arial"/>
                <w:sz w:val="20"/>
                <w:szCs w:val="20"/>
              </w:rPr>
            </w:pPr>
          </w:p>
          <w:p w14:paraId="2A45E71A" w14:textId="77777777" w:rsidR="0071110F" w:rsidRPr="00F90100" w:rsidRDefault="0071110F" w:rsidP="001B4FE2">
            <w:pPr>
              <w:autoSpaceDE w:val="0"/>
              <w:autoSpaceDN w:val="0"/>
              <w:adjustRightInd w:val="0"/>
              <w:spacing w:after="0" w:line="240" w:lineRule="auto"/>
              <w:jc w:val="both"/>
              <w:rPr>
                <w:rFonts w:eastAsia="Times New Roman" w:cstheme="minorHAnsi"/>
                <w:b/>
                <w:sz w:val="20"/>
                <w:szCs w:val="20"/>
                <w:lang w:val="en-GB"/>
              </w:rPr>
            </w:pPr>
            <w:r w:rsidRPr="00F90100">
              <w:rPr>
                <w:rFonts w:eastAsia="Times New Roman" w:cstheme="minorHAnsi"/>
                <w:b/>
                <w:sz w:val="20"/>
                <w:szCs w:val="20"/>
                <w:lang w:val="en-GB"/>
              </w:rPr>
              <w:t>Percent of MDR among total TB cases notified (new and retreatment)</w:t>
            </w:r>
          </w:p>
          <w:p w14:paraId="56BFAB8F" w14:textId="77777777" w:rsidR="0071110F" w:rsidRPr="000D79C2" w:rsidRDefault="0071110F" w:rsidP="00781834">
            <w:pPr>
              <w:spacing w:after="0" w:line="240" w:lineRule="auto"/>
              <w:jc w:val="both"/>
              <w:rPr>
                <w:rStyle w:val="e24kjd"/>
                <w:rFonts w:asciiTheme="majorHAnsi" w:hAnsiTheme="majorHAnsi" w:cstheme="majorHAnsi"/>
                <w:sz w:val="20"/>
                <w:highlight w:val="yellow"/>
              </w:rPr>
            </w:pPr>
            <w:r>
              <w:rPr>
                <w:noProof/>
              </w:rPr>
              <w:drawing>
                <wp:inline distT="0" distB="0" distL="0" distR="0" wp14:anchorId="4B5E9714" wp14:editId="4F918839">
                  <wp:extent cx="5791200" cy="16192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E66985" w14:textId="6566DE03" w:rsidR="0071110F" w:rsidRDefault="0071110F" w:rsidP="00781834">
            <w:pPr>
              <w:spacing w:after="0" w:line="240" w:lineRule="auto"/>
              <w:jc w:val="both"/>
              <w:rPr>
                <w:rStyle w:val="e24kjd"/>
                <w:rFonts w:asciiTheme="majorHAnsi" w:hAnsiTheme="majorHAnsi" w:cstheme="majorHAnsi"/>
                <w:b/>
                <w:sz w:val="20"/>
              </w:rPr>
            </w:pPr>
            <w:r w:rsidRPr="003D67DA">
              <w:rPr>
                <w:rFonts w:asciiTheme="minorHAnsi" w:hAnsiTheme="minorHAnsi" w:cstheme="minorHAnsi"/>
                <w:sz w:val="16"/>
                <w:szCs w:val="16"/>
              </w:rPr>
              <w:t>Source</w:t>
            </w:r>
            <w:r w:rsidRPr="00494D85">
              <w:rPr>
                <w:rFonts w:asciiTheme="minorHAnsi" w:hAnsiTheme="minorHAnsi" w:cstheme="minorHAnsi"/>
                <w:sz w:val="16"/>
                <w:szCs w:val="16"/>
              </w:rPr>
              <w:t xml:space="preserve">: </w:t>
            </w:r>
            <w:r w:rsidR="003D67DA" w:rsidRPr="003D67DA">
              <w:rPr>
                <w:rStyle w:val="e24kjd"/>
                <w:rFonts w:asciiTheme="majorHAnsi" w:hAnsiTheme="majorHAnsi" w:cstheme="majorHAnsi"/>
                <w:sz w:val="16"/>
              </w:rPr>
              <w:t>National</w:t>
            </w:r>
            <w:r w:rsidR="003D67DA">
              <w:rPr>
                <w:rStyle w:val="e24kjd"/>
                <w:rFonts w:asciiTheme="majorHAnsi" w:hAnsiTheme="majorHAnsi" w:cstheme="majorHAnsi"/>
                <w:sz w:val="16"/>
              </w:rPr>
              <w:t xml:space="preserve"> TB Program Coordination Unit. Annual report</w:t>
            </w:r>
            <w:r w:rsidR="003D67DA">
              <w:rPr>
                <w:rStyle w:val="e24kjd"/>
                <w:rFonts w:asciiTheme="majorHAnsi" w:hAnsiTheme="majorHAnsi" w:cstheme="majorHAnsi"/>
                <w:b/>
                <w:sz w:val="20"/>
              </w:rPr>
              <w:t xml:space="preserve"> </w:t>
            </w:r>
          </w:p>
          <w:p w14:paraId="365FF4BA" w14:textId="77777777" w:rsidR="003D67DA" w:rsidRDefault="003D67DA" w:rsidP="00FD7E0E">
            <w:pPr>
              <w:spacing w:after="0" w:line="240" w:lineRule="auto"/>
              <w:jc w:val="both"/>
              <w:rPr>
                <w:rStyle w:val="e24kjd"/>
                <w:rFonts w:asciiTheme="majorHAnsi" w:hAnsiTheme="majorHAnsi" w:cstheme="majorHAnsi"/>
                <w:b/>
                <w:sz w:val="20"/>
              </w:rPr>
            </w:pPr>
          </w:p>
          <w:p w14:paraId="345F3F1C" w14:textId="77777777" w:rsidR="00011D45" w:rsidRDefault="00011D45" w:rsidP="00FD7E0E">
            <w:pPr>
              <w:spacing w:after="0" w:line="240" w:lineRule="auto"/>
              <w:rPr>
                <w:rStyle w:val="e24kjd"/>
                <w:rFonts w:asciiTheme="minorHAnsi" w:hAnsiTheme="minorHAnsi" w:cstheme="minorHAnsi"/>
                <w:b/>
                <w:sz w:val="20"/>
                <w:szCs w:val="20"/>
              </w:rPr>
            </w:pPr>
            <w:bookmarkStart w:id="1" w:name="_Toc13756252"/>
            <w:r>
              <w:rPr>
                <w:rStyle w:val="e24kjd"/>
                <w:rFonts w:asciiTheme="minorHAnsi" w:hAnsiTheme="minorHAnsi" w:cstheme="minorHAnsi"/>
                <w:b/>
                <w:sz w:val="20"/>
                <w:szCs w:val="20"/>
              </w:rPr>
              <w:t xml:space="preserve">Key and/or vulnerable populations for TB </w:t>
            </w:r>
          </w:p>
          <w:p w14:paraId="4ABCA7F6" w14:textId="53E4A91F" w:rsidR="008912E9" w:rsidRDefault="00011D45" w:rsidP="00FD7E0E">
            <w:pPr>
              <w:spacing w:after="0" w:line="240" w:lineRule="auto"/>
              <w:jc w:val="both"/>
              <w:rPr>
                <w:rFonts w:asciiTheme="majorHAnsi" w:hAnsiTheme="majorHAnsi" w:cstheme="majorHAnsi"/>
                <w:sz w:val="20"/>
                <w:szCs w:val="20"/>
              </w:rPr>
            </w:pPr>
            <w:r>
              <w:rPr>
                <w:rStyle w:val="e24kjd"/>
                <w:rFonts w:asciiTheme="minorHAnsi" w:hAnsiTheme="minorHAnsi" w:cstheme="minorHAnsi"/>
                <w:sz w:val="20"/>
                <w:szCs w:val="20"/>
              </w:rPr>
              <w:t>Currently, key and vulnerable populations in Moldova are prioritized according to the National Clinic</w:t>
            </w:r>
            <w:r w:rsidR="008912E9">
              <w:rPr>
                <w:rStyle w:val="e24kjd"/>
                <w:rFonts w:asciiTheme="minorHAnsi" w:hAnsiTheme="minorHAnsi" w:cstheme="minorHAnsi"/>
                <w:sz w:val="20"/>
                <w:szCs w:val="20"/>
              </w:rPr>
              <w:t>al TB P</w:t>
            </w:r>
            <w:r>
              <w:rPr>
                <w:rStyle w:val="e24kjd"/>
                <w:rFonts w:asciiTheme="minorHAnsi" w:hAnsiTheme="minorHAnsi" w:cstheme="minorHAnsi"/>
                <w:sz w:val="20"/>
                <w:szCs w:val="20"/>
              </w:rPr>
              <w:t>rotocol</w:t>
            </w:r>
            <w:r w:rsidR="00F06DC0">
              <w:rPr>
                <w:rStyle w:val="e24kjd"/>
                <w:rFonts w:asciiTheme="minorHAnsi" w:hAnsiTheme="minorHAnsi" w:cstheme="minorHAnsi"/>
                <w:sz w:val="20"/>
                <w:szCs w:val="20"/>
              </w:rPr>
              <w:t xml:space="preserve"> in three categories</w:t>
            </w:r>
            <w:r>
              <w:rPr>
                <w:rStyle w:val="e24kjd"/>
                <w:rFonts w:asciiTheme="minorHAnsi" w:hAnsiTheme="minorHAnsi" w:cstheme="minorHAnsi"/>
                <w:sz w:val="20"/>
                <w:szCs w:val="20"/>
              </w:rPr>
              <w:t xml:space="preserve">. </w:t>
            </w:r>
            <w:r w:rsidR="00FD7E0E" w:rsidRPr="00693E24">
              <w:rPr>
                <w:rFonts w:asciiTheme="majorHAnsi" w:hAnsiTheme="majorHAnsi" w:cstheme="majorHAnsi"/>
                <w:sz w:val="20"/>
                <w:szCs w:val="20"/>
              </w:rPr>
              <w:t>The protocol defines population groups at risk for TB el</w:t>
            </w:r>
            <w:r w:rsidR="00FD7E0E">
              <w:rPr>
                <w:rFonts w:asciiTheme="majorHAnsi" w:hAnsiTheme="majorHAnsi" w:cstheme="majorHAnsi"/>
                <w:sz w:val="20"/>
                <w:szCs w:val="20"/>
              </w:rPr>
              <w:t xml:space="preserve">igible for active case finding (ACF). </w:t>
            </w:r>
            <w:r w:rsidR="00FD7E0E" w:rsidRPr="00693E24">
              <w:rPr>
                <w:rFonts w:asciiTheme="majorHAnsi" w:hAnsiTheme="majorHAnsi" w:cstheme="majorHAnsi"/>
                <w:sz w:val="20"/>
                <w:szCs w:val="20"/>
              </w:rPr>
              <w:t xml:space="preserve">However, except for contacts and certain KPs targeted by the NGOs, data on ACF are not reported per key population and groups at risk. The yield of ACF is not known in the various risk groups, which does not allow assessment of the ACF effectiveness and decision making on its contribution to TB control. </w:t>
            </w:r>
          </w:p>
          <w:p w14:paraId="0638DAAA" w14:textId="77777777" w:rsidR="00FD7E0E" w:rsidRDefault="00FD7E0E" w:rsidP="00FD7E0E">
            <w:pPr>
              <w:spacing w:after="0" w:line="240" w:lineRule="auto"/>
              <w:jc w:val="both"/>
              <w:rPr>
                <w:rFonts w:eastAsia="Times New Roman"/>
                <w:b/>
                <w:sz w:val="20"/>
                <w:lang w:val="en-GB"/>
              </w:rPr>
            </w:pPr>
          </w:p>
          <w:p w14:paraId="37B1BB51" w14:textId="1FBC3182" w:rsidR="001B4FE2" w:rsidRPr="001B4FE2" w:rsidRDefault="001B4FE2" w:rsidP="001B4FE2">
            <w:pPr>
              <w:autoSpaceDE w:val="0"/>
              <w:autoSpaceDN w:val="0"/>
              <w:adjustRightInd w:val="0"/>
              <w:spacing w:after="0" w:line="240" w:lineRule="auto"/>
              <w:jc w:val="both"/>
              <w:rPr>
                <w:rFonts w:eastAsia="Times New Roman"/>
                <w:b/>
                <w:sz w:val="20"/>
                <w:lang w:val="en-GB"/>
              </w:rPr>
            </w:pPr>
            <w:r w:rsidRPr="001B4FE2">
              <w:rPr>
                <w:rFonts w:eastAsia="Times New Roman"/>
                <w:b/>
                <w:sz w:val="20"/>
                <w:lang w:val="en-GB"/>
              </w:rPr>
              <w:t>Key and priority groups for TB systematic screening</w:t>
            </w:r>
            <w:r w:rsidR="008912E9">
              <w:rPr>
                <w:rFonts w:eastAsia="Times New Roman"/>
                <w:b/>
                <w:sz w:val="20"/>
                <w:lang w:val="en-GB"/>
              </w:rPr>
              <w:t xml:space="preserve"> </w:t>
            </w:r>
            <w:r w:rsidR="008912E9" w:rsidRPr="008912E9">
              <w:rPr>
                <w:rFonts w:eastAsia="Times New Roman"/>
                <w:b/>
                <w:sz w:val="20"/>
                <w:szCs w:val="20"/>
                <w:lang w:val="en-GB"/>
              </w:rPr>
              <w:t>(as per National Clinical TB Protocol 2020)</w:t>
            </w:r>
          </w:p>
          <w:tbl>
            <w:tblPr>
              <w:tblStyle w:val="ListTable3-Accent5"/>
              <w:tblW w:w="0" w:type="auto"/>
              <w:tblLook w:val="04A0" w:firstRow="1" w:lastRow="0" w:firstColumn="1" w:lastColumn="0" w:noHBand="0" w:noVBand="1"/>
            </w:tblPr>
            <w:tblGrid>
              <w:gridCol w:w="3235"/>
              <w:gridCol w:w="6810"/>
            </w:tblGrid>
            <w:tr w:rsidR="00F06DC0" w:rsidRPr="00F06DC0" w14:paraId="3A91CE95" w14:textId="77777777" w:rsidTr="008376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5" w:type="dxa"/>
                  <w:shd w:val="clear" w:color="auto" w:fill="0070C0"/>
                </w:tcPr>
                <w:p w14:paraId="09684651" w14:textId="77777777" w:rsidR="00F06DC0" w:rsidRPr="00F06DC0" w:rsidRDefault="00F06DC0" w:rsidP="00F06DC0">
                  <w:pPr>
                    <w:spacing w:after="0" w:line="240" w:lineRule="auto"/>
                    <w:rPr>
                      <w:sz w:val="18"/>
                    </w:rPr>
                  </w:pPr>
                </w:p>
              </w:tc>
              <w:tc>
                <w:tcPr>
                  <w:tcW w:w="6810" w:type="dxa"/>
                  <w:shd w:val="clear" w:color="auto" w:fill="0070C0"/>
                </w:tcPr>
                <w:p w14:paraId="005E3E89" w14:textId="77777777" w:rsidR="00F06DC0" w:rsidRPr="00F06DC0" w:rsidRDefault="00F06DC0" w:rsidP="00F06DC0">
                  <w:pPr>
                    <w:spacing w:after="0" w:line="240" w:lineRule="auto"/>
                    <w:cnfStyle w:val="100000000000" w:firstRow="1" w:lastRow="0" w:firstColumn="0" w:lastColumn="0" w:oddVBand="0" w:evenVBand="0" w:oddHBand="0" w:evenHBand="0" w:firstRowFirstColumn="0" w:firstRowLastColumn="0" w:lastRowFirstColumn="0" w:lastRowLastColumn="0"/>
                    <w:rPr>
                      <w:sz w:val="18"/>
                    </w:rPr>
                  </w:pPr>
                </w:p>
              </w:tc>
            </w:tr>
            <w:tr w:rsidR="00F06DC0" w:rsidRPr="00F06DC0" w14:paraId="13F782C2" w14:textId="77777777" w:rsidTr="00F06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hideMark/>
                </w:tcPr>
                <w:p w14:paraId="06AF088B" w14:textId="77777777" w:rsidR="00F06DC0" w:rsidRPr="00F06DC0" w:rsidRDefault="00F06DC0" w:rsidP="00F06DC0">
                  <w:pPr>
                    <w:spacing w:after="0" w:line="240" w:lineRule="auto"/>
                    <w:rPr>
                      <w:sz w:val="18"/>
                    </w:rPr>
                  </w:pPr>
                  <w:r w:rsidRPr="00F06DC0">
                    <w:rPr>
                      <w:sz w:val="18"/>
                    </w:rPr>
                    <w:t xml:space="preserve">High risk populations </w:t>
                  </w:r>
                </w:p>
                <w:p w14:paraId="03E77944" w14:textId="77777777" w:rsidR="00F06DC0" w:rsidRPr="00F06DC0" w:rsidRDefault="00F06DC0" w:rsidP="00F06DC0">
                  <w:pPr>
                    <w:spacing w:after="0" w:line="240" w:lineRule="auto"/>
                    <w:rPr>
                      <w:sz w:val="18"/>
                    </w:rPr>
                  </w:pPr>
                  <w:r w:rsidRPr="00F06DC0">
                    <w:rPr>
                      <w:sz w:val="18"/>
                    </w:rPr>
                    <w:t>(</w:t>
                  </w:r>
                  <w:r w:rsidRPr="00F06DC0">
                    <w:rPr>
                      <w:b w:val="0"/>
                      <w:sz w:val="18"/>
                    </w:rPr>
                    <w:t>annual screening CXR)</w:t>
                  </w:r>
                </w:p>
              </w:tc>
              <w:tc>
                <w:tcPr>
                  <w:tcW w:w="6810" w:type="dxa"/>
                  <w:hideMark/>
                </w:tcPr>
                <w:p w14:paraId="6223E517" w14:textId="77777777" w:rsidR="00F06DC0" w:rsidRPr="00F06DC0" w:rsidRDefault="00F06DC0" w:rsidP="00F06DC0">
                  <w:pPr>
                    <w:spacing w:after="0" w:line="240" w:lineRule="auto"/>
                    <w:cnfStyle w:val="000000100000" w:firstRow="0" w:lastRow="0" w:firstColumn="0" w:lastColumn="0" w:oddVBand="0" w:evenVBand="0" w:oddHBand="1" w:evenHBand="0" w:firstRowFirstColumn="0" w:firstRowLastColumn="0" w:lastRowFirstColumn="0" w:lastRowLastColumn="0"/>
                    <w:rPr>
                      <w:sz w:val="18"/>
                    </w:rPr>
                  </w:pPr>
                  <w:r w:rsidRPr="00F06DC0">
                    <w:rPr>
                      <w:sz w:val="18"/>
                    </w:rPr>
                    <w:t>Close and household contacts (adults and children)</w:t>
                  </w:r>
                </w:p>
                <w:p w14:paraId="161896D3" w14:textId="77777777" w:rsidR="00F06DC0" w:rsidRPr="00F06DC0" w:rsidRDefault="00F06DC0" w:rsidP="00F06DC0">
                  <w:pPr>
                    <w:spacing w:after="0" w:line="240" w:lineRule="auto"/>
                    <w:cnfStyle w:val="000000100000" w:firstRow="0" w:lastRow="0" w:firstColumn="0" w:lastColumn="0" w:oddVBand="0" w:evenVBand="0" w:oddHBand="1" w:evenHBand="0" w:firstRowFirstColumn="0" w:firstRowLastColumn="0" w:lastRowFirstColumn="0" w:lastRowLastColumn="0"/>
                    <w:rPr>
                      <w:sz w:val="18"/>
                    </w:rPr>
                  </w:pPr>
                  <w:r w:rsidRPr="00F06DC0">
                    <w:rPr>
                      <w:sz w:val="18"/>
                    </w:rPr>
                    <w:t>People who had TB in past 5 years and those with sequelae</w:t>
                  </w:r>
                </w:p>
                <w:p w14:paraId="485ECC9B" w14:textId="77777777" w:rsidR="00F06DC0" w:rsidRPr="00F06DC0" w:rsidRDefault="00F06DC0" w:rsidP="00F06DC0">
                  <w:pPr>
                    <w:spacing w:after="0" w:line="240" w:lineRule="auto"/>
                    <w:cnfStyle w:val="000000100000" w:firstRow="0" w:lastRow="0" w:firstColumn="0" w:lastColumn="0" w:oddVBand="0" w:evenVBand="0" w:oddHBand="1" w:evenHBand="0" w:firstRowFirstColumn="0" w:firstRowLastColumn="0" w:lastRowFirstColumn="0" w:lastRowLastColumn="0"/>
                    <w:rPr>
                      <w:sz w:val="18"/>
                    </w:rPr>
                  </w:pPr>
                  <w:r w:rsidRPr="00F06DC0">
                    <w:rPr>
                      <w:sz w:val="18"/>
                    </w:rPr>
                    <w:t>PLHIV</w:t>
                  </w:r>
                </w:p>
                <w:p w14:paraId="77DC39BC" w14:textId="77777777" w:rsidR="00F06DC0" w:rsidRPr="00F06DC0" w:rsidRDefault="00F06DC0" w:rsidP="00F06DC0">
                  <w:pPr>
                    <w:spacing w:after="0" w:line="240" w:lineRule="auto"/>
                    <w:cnfStyle w:val="000000100000" w:firstRow="0" w:lastRow="0" w:firstColumn="0" w:lastColumn="0" w:oddVBand="0" w:evenVBand="0" w:oddHBand="1" w:evenHBand="0" w:firstRowFirstColumn="0" w:firstRowLastColumn="0" w:lastRowFirstColumn="0" w:lastRowLastColumn="0"/>
                    <w:rPr>
                      <w:sz w:val="18"/>
                    </w:rPr>
                  </w:pPr>
                  <w:r w:rsidRPr="00F06DC0">
                    <w:rPr>
                      <w:sz w:val="18"/>
                    </w:rPr>
                    <w:t xml:space="preserve">People with immune suppression </w:t>
                  </w:r>
                </w:p>
                <w:p w14:paraId="569FE2EC" w14:textId="77777777" w:rsidR="00F06DC0" w:rsidRPr="00F06DC0" w:rsidRDefault="00F06DC0" w:rsidP="00F06DC0">
                  <w:pPr>
                    <w:spacing w:after="0" w:line="240" w:lineRule="auto"/>
                    <w:cnfStyle w:val="000000100000" w:firstRow="0" w:lastRow="0" w:firstColumn="0" w:lastColumn="0" w:oddVBand="0" w:evenVBand="0" w:oddHBand="1" w:evenHBand="0" w:firstRowFirstColumn="0" w:firstRowLastColumn="0" w:lastRowFirstColumn="0" w:lastRowLastColumn="0"/>
                    <w:rPr>
                      <w:sz w:val="18"/>
                    </w:rPr>
                  </w:pPr>
                  <w:r w:rsidRPr="00F06DC0">
                    <w:rPr>
                      <w:sz w:val="18"/>
                    </w:rPr>
                    <w:t>People with diabetes</w:t>
                  </w:r>
                </w:p>
                <w:p w14:paraId="4ED15ADD" w14:textId="77777777" w:rsidR="00F06DC0" w:rsidRPr="00F06DC0" w:rsidRDefault="00F06DC0" w:rsidP="00F06DC0">
                  <w:pPr>
                    <w:spacing w:after="0" w:line="240" w:lineRule="auto"/>
                    <w:cnfStyle w:val="000000100000" w:firstRow="0" w:lastRow="0" w:firstColumn="0" w:lastColumn="0" w:oddVBand="0" w:evenVBand="0" w:oddHBand="1" w:evenHBand="0" w:firstRowFirstColumn="0" w:firstRowLastColumn="0" w:lastRowFirstColumn="0" w:lastRowLastColumn="0"/>
                    <w:rPr>
                      <w:sz w:val="18"/>
                    </w:rPr>
                  </w:pPr>
                  <w:r w:rsidRPr="00F06DC0">
                    <w:rPr>
                      <w:sz w:val="18"/>
                    </w:rPr>
                    <w:t>People in mental institutions and other closed settings</w:t>
                  </w:r>
                </w:p>
                <w:p w14:paraId="5097B609" w14:textId="77777777" w:rsidR="00F06DC0" w:rsidRPr="00F06DC0" w:rsidRDefault="00F06DC0" w:rsidP="00F06DC0">
                  <w:pPr>
                    <w:spacing w:after="0" w:line="240" w:lineRule="auto"/>
                    <w:cnfStyle w:val="000000100000" w:firstRow="0" w:lastRow="0" w:firstColumn="0" w:lastColumn="0" w:oddVBand="0" w:evenVBand="0" w:oddHBand="1" w:evenHBand="0" w:firstRowFirstColumn="0" w:firstRowLastColumn="0" w:lastRowFirstColumn="0" w:lastRowLastColumn="0"/>
                    <w:rPr>
                      <w:sz w:val="18"/>
                    </w:rPr>
                  </w:pPr>
                  <w:r w:rsidRPr="00F06DC0">
                    <w:rPr>
                      <w:sz w:val="18"/>
                    </w:rPr>
                    <w:t>People in detention and prison personnel</w:t>
                  </w:r>
                </w:p>
                <w:p w14:paraId="672F6ABB" w14:textId="77777777" w:rsidR="00F06DC0" w:rsidRPr="00F06DC0" w:rsidRDefault="00F06DC0" w:rsidP="00F06DC0">
                  <w:pPr>
                    <w:spacing w:after="0" w:line="240" w:lineRule="auto"/>
                    <w:cnfStyle w:val="000000100000" w:firstRow="0" w:lastRow="0" w:firstColumn="0" w:lastColumn="0" w:oddVBand="0" w:evenVBand="0" w:oddHBand="1" w:evenHBand="0" w:firstRowFirstColumn="0" w:firstRowLastColumn="0" w:lastRowFirstColumn="0" w:lastRowLastColumn="0"/>
                    <w:rPr>
                      <w:sz w:val="18"/>
                    </w:rPr>
                  </w:pPr>
                  <w:r w:rsidRPr="00F06DC0">
                    <w:rPr>
                      <w:sz w:val="18"/>
                    </w:rPr>
                    <w:t>Migrants (internal external)</w:t>
                  </w:r>
                </w:p>
                <w:p w14:paraId="211E849E" w14:textId="77777777" w:rsidR="00F06DC0" w:rsidRPr="00F06DC0" w:rsidRDefault="00F06DC0" w:rsidP="00F06DC0">
                  <w:pPr>
                    <w:spacing w:after="0" w:line="240" w:lineRule="auto"/>
                    <w:cnfStyle w:val="000000100000" w:firstRow="0" w:lastRow="0" w:firstColumn="0" w:lastColumn="0" w:oddVBand="0" w:evenVBand="0" w:oddHBand="1" w:evenHBand="0" w:firstRowFirstColumn="0" w:firstRowLastColumn="0" w:lastRowFirstColumn="0" w:lastRowLastColumn="0"/>
                    <w:rPr>
                      <w:sz w:val="18"/>
                    </w:rPr>
                  </w:pPr>
                  <w:r w:rsidRPr="00F06DC0">
                    <w:rPr>
                      <w:sz w:val="18"/>
                    </w:rPr>
                    <w:t>Homeless people</w:t>
                  </w:r>
                </w:p>
                <w:p w14:paraId="2AD25E77" w14:textId="77777777" w:rsidR="00F06DC0" w:rsidRPr="00F06DC0" w:rsidRDefault="00F06DC0" w:rsidP="00F06DC0">
                  <w:pPr>
                    <w:spacing w:after="0" w:line="240" w:lineRule="auto"/>
                    <w:cnfStyle w:val="000000100000" w:firstRow="0" w:lastRow="0" w:firstColumn="0" w:lastColumn="0" w:oddVBand="0" w:evenVBand="0" w:oddHBand="1" w:evenHBand="0" w:firstRowFirstColumn="0" w:firstRowLastColumn="0" w:lastRowFirstColumn="0" w:lastRowLastColumn="0"/>
                    <w:rPr>
                      <w:sz w:val="18"/>
                    </w:rPr>
                  </w:pPr>
                  <w:r w:rsidRPr="00F06DC0">
                    <w:rPr>
                      <w:sz w:val="18"/>
                    </w:rPr>
                    <w:t>Staff of emergency ambulance service</w:t>
                  </w:r>
                </w:p>
                <w:p w14:paraId="637ED67E" w14:textId="147EB86E" w:rsidR="00F06DC0" w:rsidRPr="00F06DC0" w:rsidRDefault="00F06DC0" w:rsidP="00F06DC0">
                  <w:pPr>
                    <w:spacing w:after="0" w:line="240" w:lineRule="auto"/>
                    <w:cnfStyle w:val="000000100000" w:firstRow="0" w:lastRow="0" w:firstColumn="0" w:lastColumn="0" w:oddVBand="0" w:evenVBand="0" w:oddHBand="1" w:evenHBand="0" w:firstRowFirstColumn="0" w:firstRowLastColumn="0" w:lastRowFirstColumn="0" w:lastRowLastColumn="0"/>
                    <w:rPr>
                      <w:sz w:val="18"/>
                    </w:rPr>
                  </w:pPr>
                  <w:r w:rsidRPr="00F06DC0">
                    <w:rPr>
                      <w:sz w:val="18"/>
                    </w:rPr>
                    <w:t>Staff of pneumo</w:t>
                  </w:r>
                  <w:r w:rsidR="00886006">
                    <w:rPr>
                      <w:sz w:val="18"/>
                    </w:rPr>
                    <w:t>-</w:t>
                  </w:r>
                  <w:r w:rsidRPr="00F06DC0">
                    <w:rPr>
                      <w:sz w:val="18"/>
                    </w:rPr>
                    <w:t>phtysiology facilities</w:t>
                  </w:r>
                </w:p>
              </w:tc>
            </w:tr>
            <w:tr w:rsidR="00F06DC0" w:rsidRPr="00F06DC0" w14:paraId="32253B80" w14:textId="77777777" w:rsidTr="00F06DC0">
              <w:tc>
                <w:tcPr>
                  <w:cnfStyle w:val="001000000000" w:firstRow="0" w:lastRow="0" w:firstColumn="1" w:lastColumn="0" w:oddVBand="0" w:evenVBand="0" w:oddHBand="0" w:evenHBand="0" w:firstRowFirstColumn="0" w:firstRowLastColumn="0" w:lastRowFirstColumn="0" w:lastRowLastColumn="0"/>
                  <w:tcW w:w="3235" w:type="dxa"/>
                  <w:hideMark/>
                </w:tcPr>
                <w:p w14:paraId="53ABB3F9" w14:textId="77777777" w:rsidR="00F06DC0" w:rsidRDefault="00F06DC0" w:rsidP="00F06DC0">
                  <w:pPr>
                    <w:spacing w:after="0" w:line="240" w:lineRule="auto"/>
                    <w:rPr>
                      <w:sz w:val="18"/>
                    </w:rPr>
                  </w:pPr>
                  <w:r w:rsidRPr="00F06DC0">
                    <w:rPr>
                      <w:sz w:val="18"/>
                    </w:rPr>
                    <w:t xml:space="preserve">Groups for increased focus </w:t>
                  </w:r>
                </w:p>
                <w:p w14:paraId="195FFDEF" w14:textId="180F047A" w:rsidR="00F06DC0" w:rsidRPr="00F06DC0" w:rsidRDefault="00F06DC0" w:rsidP="00F06DC0">
                  <w:pPr>
                    <w:spacing w:after="0" w:line="240" w:lineRule="auto"/>
                    <w:rPr>
                      <w:sz w:val="18"/>
                    </w:rPr>
                  </w:pPr>
                  <w:r w:rsidRPr="00F06DC0">
                    <w:rPr>
                      <w:b w:val="0"/>
                      <w:sz w:val="18"/>
                    </w:rPr>
                    <w:t xml:space="preserve">(annual symptom screening, referral of presumptives to </w:t>
                  </w:r>
                  <w:r w:rsidR="001B4FE2">
                    <w:rPr>
                      <w:b w:val="0"/>
                      <w:sz w:val="18"/>
                    </w:rPr>
                    <w:t xml:space="preserve">digital </w:t>
                  </w:r>
                  <w:r w:rsidRPr="00F06DC0">
                    <w:rPr>
                      <w:b w:val="0"/>
                      <w:sz w:val="18"/>
                    </w:rPr>
                    <w:t>X-ray)</w:t>
                  </w:r>
                </w:p>
              </w:tc>
              <w:tc>
                <w:tcPr>
                  <w:tcW w:w="6810" w:type="dxa"/>
                  <w:hideMark/>
                </w:tcPr>
                <w:p w14:paraId="129D68CF" w14:textId="4C954E43" w:rsidR="00F06DC0" w:rsidRPr="00F06DC0" w:rsidRDefault="00F06DC0" w:rsidP="00F06DC0">
                  <w:pPr>
                    <w:spacing w:after="0" w:line="240" w:lineRule="auto"/>
                    <w:cnfStyle w:val="000000000000" w:firstRow="0" w:lastRow="0" w:firstColumn="0" w:lastColumn="0" w:oddVBand="0" w:evenVBand="0" w:oddHBand="0" w:evenHBand="0" w:firstRowFirstColumn="0" w:firstRowLastColumn="0" w:lastRowFirstColumn="0" w:lastRowLastColumn="0"/>
                    <w:rPr>
                      <w:sz w:val="18"/>
                    </w:rPr>
                  </w:pPr>
                  <w:r w:rsidRPr="00F06DC0">
                    <w:rPr>
                      <w:b/>
                      <w:sz w:val="18"/>
                    </w:rPr>
                    <w:t>People from socially vulnerable groups</w:t>
                  </w:r>
                  <w:r w:rsidRPr="00F06DC0">
                    <w:rPr>
                      <w:sz w:val="18"/>
                    </w:rPr>
                    <w:t>: jobless, informal workers, low-inc</w:t>
                  </w:r>
                  <w:r w:rsidR="001B4FE2">
                    <w:rPr>
                      <w:sz w:val="18"/>
                    </w:rPr>
                    <w:t>ome</w:t>
                  </w:r>
                </w:p>
                <w:p w14:paraId="3BCA7C68" w14:textId="77777777" w:rsidR="00F06DC0" w:rsidRPr="00F06DC0" w:rsidRDefault="00F06DC0" w:rsidP="00F06DC0">
                  <w:pPr>
                    <w:spacing w:after="0" w:line="240" w:lineRule="auto"/>
                    <w:cnfStyle w:val="000000000000" w:firstRow="0" w:lastRow="0" w:firstColumn="0" w:lastColumn="0" w:oddVBand="0" w:evenVBand="0" w:oddHBand="0" w:evenHBand="0" w:firstRowFirstColumn="0" w:firstRowLastColumn="0" w:lastRowFirstColumn="0" w:lastRowLastColumn="0"/>
                    <w:rPr>
                      <w:sz w:val="18"/>
                    </w:rPr>
                  </w:pPr>
                  <w:r w:rsidRPr="00F06DC0">
                    <w:rPr>
                      <w:b/>
                      <w:sz w:val="18"/>
                    </w:rPr>
                    <w:t>Exposed to medical and biologic risks</w:t>
                  </w:r>
                  <w:r w:rsidRPr="00F06DC0">
                    <w:rPr>
                      <w:sz w:val="18"/>
                    </w:rPr>
                    <w:t xml:space="preserve">: people with chronic lung disease, smokers, those with alcohol and drug use, patients with renal failure, gastrectomy or bypass, pregnant women with TB symptoms, postpartum with TB symptoms  </w:t>
                  </w:r>
                </w:p>
                <w:p w14:paraId="621365E4" w14:textId="77777777" w:rsidR="00F06DC0" w:rsidRPr="00F06DC0" w:rsidRDefault="00F06DC0" w:rsidP="00F06DC0">
                  <w:pPr>
                    <w:spacing w:after="0" w:line="240" w:lineRule="auto"/>
                    <w:cnfStyle w:val="000000000000" w:firstRow="0" w:lastRow="0" w:firstColumn="0" w:lastColumn="0" w:oddVBand="0" w:evenVBand="0" w:oddHBand="0" w:evenHBand="0" w:firstRowFirstColumn="0" w:firstRowLastColumn="0" w:lastRowFirstColumn="0" w:lastRowLastColumn="0"/>
                    <w:rPr>
                      <w:sz w:val="18"/>
                    </w:rPr>
                  </w:pPr>
                  <w:r w:rsidRPr="00F06DC0">
                    <w:rPr>
                      <w:b/>
                      <w:sz w:val="18"/>
                    </w:rPr>
                    <w:t>People in closed settings</w:t>
                  </w:r>
                  <w:r w:rsidRPr="00F06DC0">
                    <w:rPr>
                      <w:sz w:val="18"/>
                    </w:rPr>
                    <w:t>: nursing homes, palliative care, temporary placement long residential institutions</w:t>
                  </w:r>
                </w:p>
                <w:p w14:paraId="1D38B9F1" w14:textId="6A20D9FC" w:rsidR="00F06DC0" w:rsidRPr="00F06DC0" w:rsidRDefault="00F06DC0" w:rsidP="00F06DC0">
                  <w:pPr>
                    <w:spacing w:after="0" w:line="240" w:lineRule="auto"/>
                    <w:cnfStyle w:val="000000000000" w:firstRow="0" w:lastRow="0" w:firstColumn="0" w:lastColumn="0" w:oddVBand="0" w:evenVBand="0" w:oddHBand="0" w:evenHBand="0" w:firstRowFirstColumn="0" w:firstRowLastColumn="0" w:lastRowFirstColumn="0" w:lastRowLastColumn="0"/>
                    <w:rPr>
                      <w:sz w:val="18"/>
                    </w:rPr>
                  </w:pPr>
                  <w:r w:rsidRPr="001B4FE2">
                    <w:rPr>
                      <w:b/>
                      <w:sz w:val="18"/>
                    </w:rPr>
                    <w:t>Students and residents</w:t>
                  </w:r>
                  <w:r w:rsidRPr="00F06DC0">
                    <w:rPr>
                      <w:sz w:val="18"/>
                    </w:rPr>
                    <w:t>’ medical universities and colleges</w:t>
                  </w:r>
                </w:p>
                <w:p w14:paraId="24420B6C" w14:textId="622E6D25" w:rsidR="00F06DC0" w:rsidRPr="001B4FE2" w:rsidRDefault="00F06DC0" w:rsidP="00F06DC0">
                  <w:pPr>
                    <w:spacing w:after="0" w:line="240" w:lineRule="auto"/>
                    <w:cnfStyle w:val="000000000000" w:firstRow="0" w:lastRow="0" w:firstColumn="0" w:lastColumn="0" w:oddVBand="0" w:evenVBand="0" w:oddHBand="0" w:evenHBand="0" w:firstRowFirstColumn="0" w:firstRowLastColumn="0" w:lastRowFirstColumn="0" w:lastRowLastColumn="0"/>
                    <w:rPr>
                      <w:b/>
                      <w:sz w:val="18"/>
                    </w:rPr>
                  </w:pPr>
                  <w:r w:rsidRPr="001B4FE2">
                    <w:rPr>
                      <w:b/>
                      <w:sz w:val="18"/>
                    </w:rPr>
                    <w:t>Medical perso</w:t>
                  </w:r>
                  <w:r w:rsidR="001B4FE2">
                    <w:rPr>
                      <w:b/>
                      <w:sz w:val="18"/>
                    </w:rPr>
                    <w:t>n</w:t>
                  </w:r>
                  <w:r w:rsidRPr="001B4FE2">
                    <w:rPr>
                      <w:b/>
                      <w:sz w:val="18"/>
                    </w:rPr>
                    <w:t>n</w:t>
                  </w:r>
                  <w:r w:rsidR="001B4FE2">
                    <w:rPr>
                      <w:b/>
                      <w:sz w:val="18"/>
                    </w:rPr>
                    <w:t>e</w:t>
                  </w:r>
                  <w:r w:rsidRPr="001B4FE2">
                    <w:rPr>
                      <w:b/>
                      <w:sz w:val="18"/>
                    </w:rPr>
                    <w:t>l</w:t>
                  </w:r>
                </w:p>
                <w:p w14:paraId="14BD02E8" w14:textId="77777777" w:rsidR="00F06DC0" w:rsidRPr="00F06DC0" w:rsidRDefault="00F06DC0" w:rsidP="00F06DC0">
                  <w:pPr>
                    <w:spacing w:after="0" w:line="240" w:lineRule="auto"/>
                    <w:cnfStyle w:val="000000000000" w:firstRow="0" w:lastRow="0" w:firstColumn="0" w:lastColumn="0" w:oddVBand="0" w:evenVBand="0" w:oddHBand="0" w:evenHBand="0" w:firstRowFirstColumn="0" w:firstRowLastColumn="0" w:lastRowFirstColumn="0" w:lastRowLastColumn="0"/>
                    <w:rPr>
                      <w:sz w:val="18"/>
                    </w:rPr>
                  </w:pPr>
                  <w:r w:rsidRPr="001B4FE2">
                    <w:rPr>
                      <w:b/>
                      <w:sz w:val="18"/>
                    </w:rPr>
                    <w:t>Social assistants</w:t>
                  </w:r>
                </w:p>
              </w:tc>
            </w:tr>
            <w:tr w:rsidR="00F06DC0" w:rsidRPr="00F06DC0" w14:paraId="3C361845" w14:textId="77777777" w:rsidTr="00F06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hideMark/>
                </w:tcPr>
                <w:p w14:paraId="59686056" w14:textId="77777777" w:rsidR="00F06DC0" w:rsidRPr="00F06DC0" w:rsidRDefault="00F06DC0" w:rsidP="00F06DC0">
                  <w:pPr>
                    <w:spacing w:after="0" w:line="240" w:lineRule="auto"/>
                    <w:rPr>
                      <w:sz w:val="18"/>
                    </w:rPr>
                  </w:pPr>
                  <w:r w:rsidRPr="00F06DC0">
                    <w:rPr>
                      <w:sz w:val="18"/>
                    </w:rPr>
                    <w:t>Mandated groups</w:t>
                  </w:r>
                </w:p>
                <w:p w14:paraId="14449DFC" w14:textId="77777777" w:rsidR="00F06DC0" w:rsidRPr="00F06DC0" w:rsidRDefault="00F06DC0" w:rsidP="00F06DC0">
                  <w:pPr>
                    <w:spacing w:after="0" w:line="240" w:lineRule="auto"/>
                    <w:rPr>
                      <w:b w:val="0"/>
                      <w:sz w:val="18"/>
                    </w:rPr>
                  </w:pPr>
                  <w:r w:rsidRPr="00F06DC0">
                    <w:rPr>
                      <w:b w:val="0"/>
                      <w:sz w:val="18"/>
                    </w:rPr>
                    <w:t>(annual screening CXR)</w:t>
                  </w:r>
                </w:p>
              </w:tc>
              <w:tc>
                <w:tcPr>
                  <w:tcW w:w="6810" w:type="dxa"/>
                </w:tcPr>
                <w:p w14:paraId="276D7EC0" w14:textId="2545B80A" w:rsidR="00F06DC0" w:rsidRPr="00F06DC0" w:rsidRDefault="00F06DC0" w:rsidP="00F06DC0">
                  <w:pPr>
                    <w:spacing w:after="0" w:line="240" w:lineRule="auto"/>
                    <w:cnfStyle w:val="000000100000" w:firstRow="0" w:lastRow="0" w:firstColumn="0" w:lastColumn="0" w:oddVBand="0" w:evenVBand="0" w:oddHBand="1" w:evenHBand="0" w:firstRowFirstColumn="0" w:firstRowLastColumn="0" w:lastRowFirstColumn="0" w:lastRowLastColumn="0"/>
                    <w:rPr>
                      <w:sz w:val="18"/>
                    </w:rPr>
                  </w:pPr>
                  <w:r w:rsidRPr="00F06DC0">
                    <w:rPr>
                      <w:sz w:val="18"/>
                    </w:rPr>
                    <w:t>Health personnel from newborn and pediatric hospitals and</w:t>
                  </w:r>
                </w:p>
                <w:p w14:paraId="2EA45A0D" w14:textId="77777777" w:rsidR="00F06DC0" w:rsidRPr="00F06DC0" w:rsidRDefault="00F06DC0" w:rsidP="00F06DC0">
                  <w:pPr>
                    <w:spacing w:after="0" w:line="240" w:lineRule="auto"/>
                    <w:cnfStyle w:val="000000100000" w:firstRow="0" w:lastRow="0" w:firstColumn="0" w:lastColumn="0" w:oddVBand="0" w:evenVBand="0" w:oddHBand="1" w:evenHBand="0" w:firstRowFirstColumn="0" w:firstRowLastColumn="0" w:lastRowFirstColumn="0" w:lastRowLastColumn="0"/>
                    <w:rPr>
                      <w:sz w:val="18"/>
                    </w:rPr>
                  </w:pPr>
                  <w:r w:rsidRPr="00F06DC0">
                    <w:rPr>
                      <w:sz w:val="18"/>
                    </w:rPr>
                    <w:t>Personnel from child care facilities: kindergarten, preschool and primary schools, sanatoriums</w:t>
                  </w:r>
                </w:p>
                <w:p w14:paraId="721F7771" w14:textId="77777777" w:rsidR="00F06DC0" w:rsidRPr="00F06DC0" w:rsidRDefault="00F06DC0" w:rsidP="00F06DC0">
                  <w:pPr>
                    <w:spacing w:after="0" w:line="240" w:lineRule="auto"/>
                    <w:cnfStyle w:val="000000100000" w:firstRow="0" w:lastRow="0" w:firstColumn="0" w:lastColumn="0" w:oddVBand="0" w:evenVBand="0" w:oddHBand="1" w:evenHBand="0" w:firstRowFirstColumn="0" w:firstRowLastColumn="0" w:lastRowFirstColumn="0" w:lastRowLastColumn="0"/>
                    <w:rPr>
                      <w:sz w:val="18"/>
                    </w:rPr>
                  </w:pPr>
                </w:p>
              </w:tc>
            </w:tr>
          </w:tbl>
          <w:p w14:paraId="024DF067" w14:textId="77777777" w:rsidR="00F06DC0" w:rsidRPr="00F06DC0" w:rsidRDefault="00F06DC0" w:rsidP="00F06DC0">
            <w:pPr>
              <w:spacing w:after="0" w:line="240" w:lineRule="auto"/>
              <w:rPr>
                <w:rFonts w:asciiTheme="minorHAnsi" w:hAnsiTheme="minorHAnsi"/>
                <w:sz w:val="16"/>
              </w:rPr>
            </w:pPr>
            <w:r w:rsidRPr="00F06DC0">
              <w:rPr>
                <w:sz w:val="16"/>
              </w:rPr>
              <w:t>Source: National Clinical Protocol TB in adults 2020</w:t>
            </w:r>
          </w:p>
          <w:p w14:paraId="2C8917CA" w14:textId="1ED049D4" w:rsidR="008912E9" w:rsidRDefault="001B4FE2" w:rsidP="008912E9">
            <w:pPr>
              <w:spacing w:after="0" w:line="240" w:lineRule="auto"/>
              <w:jc w:val="both"/>
              <w:rPr>
                <w:rStyle w:val="e24kjd"/>
                <w:rFonts w:asciiTheme="minorHAnsi" w:hAnsiTheme="minorHAnsi" w:cstheme="minorHAnsi"/>
                <w:sz w:val="20"/>
                <w:szCs w:val="20"/>
              </w:rPr>
            </w:pPr>
            <w:r>
              <w:rPr>
                <w:rStyle w:val="e24kjd"/>
                <w:rFonts w:asciiTheme="minorHAnsi" w:hAnsiTheme="minorHAnsi" w:cstheme="minorHAnsi"/>
                <w:sz w:val="20"/>
                <w:szCs w:val="20"/>
              </w:rPr>
              <w:lastRenderedPageBreak/>
              <w:t>Since 2011 previous and current GF TB grants and a TB Reach Wave 2 grant targeted active case fining in homeless, people in detention and people who inject drugs. This led to 4-5% contribution to cases notified</w:t>
            </w:r>
            <w:r w:rsidR="00DD5AD7">
              <w:rPr>
                <w:rStyle w:val="e24kjd"/>
                <w:rFonts w:asciiTheme="minorHAnsi" w:hAnsiTheme="minorHAnsi" w:cstheme="minorHAnsi"/>
                <w:sz w:val="20"/>
                <w:szCs w:val="20"/>
              </w:rPr>
              <w:t>.</w:t>
            </w:r>
            <w:r>
              <w:rPr>
                <w:rStyle w:val="e24kjd"/>
                <w:rFonts w:asciiTheme="minorHAnsi" w:hAnsiTheme="minorHAnsi" w:cstheme="minorHAnsi"/>
                <w:sz w:val="20"/>
                <w:szCs w:val="20"/>
              </w:rPr>
              <w:t xml:space="preserve"> </w:t>
            </w:r>
            <w:r w:rsidRPr="00DD5AD7">
              <w:rPr>
                <w:rStyle w:val="e24kjd"/>
                <w:rFonts w:asciiTheme="minorHAnsi" w:hAnsiTheme="minorHAnsi" w:cstheme="minorHAnsi"/>
                <w:sz w:val="20"/>
                <w:szCs w:val="20"/>
              </w:rPr>
              <w:t>(Annex</w:t>
            </w:r>
            <w:r w:rsidR="00DD5AD7" w:rsidRPr="00DD5AD7">
              <w:rPr>
                <w:rStyle w:val="e24kjd"/>
                <w:rFonts w:asciiTheme="minorHAnsi" w:hAnsiTheme="minorHAnsi" w:cstheme="minorHAnsi"/>
                <w:sz w:val="20"/>
                <w:szCs w:val="20"/>
              </w:rPr>
              <w:t xml:space="preserve"> 5</w:t>
            </w:r>
            <w:r w:rsidRPr="00DD5AD7">
              <w:rPr>
                <w:rStyle w:val="e24kjd"/>
                <w:rFonts w:asciiTheme="minorHAnsi" w:hAnsiTheme="minorHAnsi" w:cstheme="minorHAnsi"/>
                <w:sz w:val="20"/>
                <w:szCs w:val="20"/>
              </w:rPr>
              <w:t xml:space="preserve"> TB Evaluation report 2020, p.8-9)</w:t>
            </w:r>
            <w:r>
              <w:rPr>
                <w:rStyle w:val="e24kjd"/>
                <w:rFonts w:asciiTheme="minorHAnsi" w:hAnsiTheme="minorHAnsi" w:cstheme="minorHAnsi"/>
                <w:sz w:val="20"/>
                <w:szCs w:val="20"/>
              </w:rPr>
              <w:t xml:space="preserve"> Due to decreased funding level</w:t>
            </w:r>
            <w:r w:rsidR="008912E9">
              <w:rPr>
                <w:rStyle w:val="e24kjd"/>
                <w:rFonts w:asciiTheme="minorHAnsi" w:hAnsiTheme="minorHAnsi" w:cstheme="minorHAnsi"/>
                <w:sz w:val="20"/>
                <w:szCs w:val="20"/>
              </w:rPr>
              <w:t xml:space="preserve"> of CSO-led work</w:t>
            </w:r>
            <w:r>
              <w:rPr>
                <w:rStyle w:val="e24kjd"/>
                <w:rFonts w:asciiTheme="minorHAnsi" w:hAnsiTheme="minorHAnsi" w:cstheme="minorHAnsi"/>
                <w:sz w:val="20"/>
                <w:szCs w:val="20"/>
              </w:rPr>
              <w:t xml:space="preserve">, the </w:t>
            </w:r>
            <w:r w:rsidR="008912E9">
              <w:rPr>
                <w:rStyle w:val="e24kjd"/>
                <w:rFonts w:asciiTheme="minorHAnsi" w:hAnsiTheme="minorHAnsi" w:cstheme="minorHAnsi"/>
                <w:sz w:val="20"/>
                <w:szCs w:val="20"/>
              </w:rPr>
              <w:t xml:space="preserve">operational </w:t>
            </w:r>
            <w:r>
              <w:rPr>
                <w:rStyle w:val="e24kjd"/>
                <w:rFonts w:asciiTheme="minorHAnsi" w:hAnsiTheme="minorHAnsi" w:cstheme="minorHAnsi"/>
                <w:sz w:val="20"/>
                <w:szCs w:val="20"/>
              </w:rPr>
              <w:t xml:space="preserve">scale has decreased in 2018-2020. </w:t>
            </w:r>
          </w:p>
          <w:p w14:paraId="0BF65FB5" w14:textId="77777777" w:rsidR="00FD7E0E" w:rsidRDefault="00FD7E0E" w:rsidP="008912E9">
            <w:pPr>
              <w:spacing w:after="0" w:line="240" w:lineRule="auto"/>
              <w:jc w:val="both"/>
              <w:rPr>
                <w:rStyle w:val="e24kjd"/>
                <w:rFonts w:asciiTheme="minorHAnsi" w:hAnsiTheme="minorHAnsi" w:cstheme="minorHAnsi"/>
                <w:sz w:val="20"/>
                <w:szCs w:val="20"/>
              </w:rPr>
            </w:pPr>
          </w:p>
          <w:p w14:paraId="6494578B" w14:textId="25ECE412" w:rsidR="00F06DC0" w:rsidRDefault="001B4FE2" w:rsidP="008912E9">
            <w:pPr>
              <w:spacing w:after="0" w:line="240" w:lineRule="auto"/>
              <w:jc w:val="both"/>
              <w:rPr>
                <w:rStyle w:val="e24kjd"/>
                <w:rFonts w:asciiTheme="minorHAnsi" w:hAnsiTheme="minorHAnsi" w:cstheme="minorHAnsi"/>
                <w:sz w:val="20"/>
                <w:szCs w:val="20"/>
              </w:rPr>
            </w:pPr>
            <w:r>
              <w:rPr>
                <w:rStyle w:val="e24kjd"/>
                <w:rFonts w:asciiTheme="minorHAnsi" w:hAnsiTheme="minorHAnsi" w:cstheme="minorHAnsi"/>
                <w:sz w:val="20"/>
                <w:szCs w:val="20"/>
              </w:rPr>
              <w:t xml:space="preserve">Given implementation experience, </w:t>
            </w:r>
            <w:r w:rsidR="00F06DC0">
              <w:rPr>
                <w:rStyle w:val="e24kjd"/>
                <w:rFonts w:asciiTheme="minorHAnsi" w:hAnsiTheme="minorHAnsi" w:cstheme="minorHAnsi"/>
                <w:sz w:val="20"/>
                <w:szCs w:val="20"/>
              </w:rPr>
              <w:t xml:space="preserve">populations that are considered </w:t>
            </w:r>
            <w:r>
              <w:rPr>
                <w:rStyle w:val="e24kjd"/>
                <w:rFonts w:asciiTheme="minorHAnsi" w:hAnsiTheme="minorHAnsi" w:cstheme="minorHAnsi"/>
                <w:sz w:val="20"/>
                <w:szCs w:val="20"/>
              </w:rPr>
              <w:t xml:space="preserve">at higher risk are the following: </w:t>
            </w:r>
          </w:p>
          <w:p w14:paraId="29EF5720" w14:textId="77777777" w:rsidR="00F06DC0" w:rsidRDefault="00F06DC0" w:rsidP="00326A6B">
            <w:pPr>
              <w:pStyle w:val="ListParagraph"/>
              <w:numPr>
                <w:ilvl w:val="0"/>
                <w:numId w:val="63"/>
              </w:numPr>
              <w:spacing w:after="0" w:line="240" w:lineRule="auto"/>
              <w:rPr>
                <w:rStyle w:val="e24kjd"/>
                <w:rFonts w:asciiTheme="minorHAnsi" w:hAnsiTheme="minorHAnsi" w:cstheme="minorHAnsi"/>
                <w:sz w:val="20"/>
                <w:szCs w:val="20"/>
              </w:rPr>
            </w:pPr>
            <w:r>
              <w:rPr>
                <w:rStyle w:val="e24kjd"/>
                <w:rFonts w:asciiTheme="minorHAnsi" w:hAnsiTheme="minorHAnsi" w:cstheme="minorHAnsi"/>
                <w:sz w:val="20"/>
                <w:szCs w:val="20"/>
              </w:rPr>
              <w:t xml:space="preserve">People living with HIV  </w:t>
            </w:r>
          </w:p>
          <w:p w14:paraId="5DEE221E" w14:textId="77777777" w:rsidR="00F06DC0" w:rsidRDefault="00F06DC0" w:rsidP="00326A6B">
            <w:pPr>
              <w:pStyle w:val="ListParagraph"/>
              <w:numPr>
                <w:ilvl w:val="0"/>
                <w:numId w:val="63"/>
              </w:numPr>
              <w:spacing w:after="0" w:line="240" w:lineRule="auto"/>
              <w:rPr>
                <w:rStyle w:val="e24kjd"/>
                <w:rFonts w:asciiTheme="minorHAnsi" w:hAnsiTheme="minorHAnsi" w:cstheme="minorHAnsi"/>
                <w:sz w:val="20"/>
                <w:szCs w:val="20"/>
              </w:rPr>
            </w:pPr>
            <w:r>
              <w:rPr>
                <w:rStyle w:val="e24kjd"/>
                <w:rFonts w:asciiTheme="minorHAnsi" w:hAnsiTheme="minorHAnsi" w:cstheme="minorHAnsi"/>
                <w:sz w:val="20"/>
                <w:szCs w:val="20"/>
              </w:rPr>
              <w:t xml:space="preserve">Homeless people  </w:t>
            </w:r>
          </w:p>
          <w:p w14:paraId="139FBB48" w14:textId="41DF25A5" w:rsidR="00F06DC0" w:rsidRDefault="008912E9" w:rsidP="00326A6B">
            <w:pPr>
              <w:pStyle w:val="ListParagraph"/>
              <w:numPr>
                <w:ilvl w:val="0"/>
                <w:numId w:val="63"/>
              </w:numPr>
              <w:spacing w:after="0" w:line="240" w:lineRule="auto"/>
              <w:rPr>
                <w:rStyle w:val="e24kjd"/>
                <w:rFonts w:asciiTheme="minorHAnsi" w:hAnsiTheme="minorHAnsi" w:cstheme="minorHAnsi"/>
                <w:sz w:val="20"/>
                <w:szCs w:val="20"/>
              </w:rPr>
            </w:pPr>
            <w:r>
              <w:rPr>
                <w:rStyle w:val="e24kjd"/>
                <w:rFonts w:asciiTheme="minorHAnsi" w:hAnsiTheme="minorHAnsi" w:cstheme="minorHAnsi"/>
                <w:sz w:val="20"/>
                <w:szCs w:val="20"/>
              </w:rPr>
              <w:t>P</w:t>
            </w:r>
            <w:r w:rsidR="00F06DC0">
              <w:rPr>
                <w:rStyle w:val="e24kjd"/>
                <w:rFonts w:asciiTheme="minorHAnsi" w:hAnsiTheme="minorHAnsi" w:cstheme="minorHAnsi"/>
                <w:sz w:val="20"/>
                <w:szCs w:val="20"/>
              </w:rPr>
              <w:t xml:space="preserve">eople in detention </w:t>
            </w:r>
          </w:p>
          <w:p w14:paraId="71E07F96" w14:textId="30FE70BD" w:rsidR="00F06DC0" w:rsidRDefault="00F06DC0" w:rsidP="00326A6B">
            <w:pPr>
              <w:pStyle w:val="ListParagraph"/>
              <w:numPr>
                <w:ilvl w:val="0"/>
                <w:numId w:val="63"/>
              </w:numPr>
              <w:spacing w:after="0" w:line="240" w:lineRule="auto"/>
              <w:rPr>
                <w:rStyle w:val="e24kjd"/>
                <w:rFonts w:asciiTheme="minorHAnsi" w:hAnsiTheme="minorHAnsi" w:cstheme="minorHAnsi"/>
                <w:sz w:val="20"/>
                <w:szCs w:val="20"/>
              </w:rPr>
            </w:pPr>
            <w:r>
              <w:rPr>
                <w:rStyle w:val="e24kjd"/>
                <w:rFonts w:asciiTheme="minorHAnsi" w:hAnsiTheme="minorHAnsi" w:cstheme="minorHAnsi"/>
                <w:sz w:val="20"/>
                <w:szCs w:val="20"/>
              </w:rPr>
              <w:t xml:space="preserve">People with </w:t>
            </w:r>
            <w:r w:rsidR="008912E9">
              <w:rPr>
                <w:rStyle w:val="e24kjd"/>
                <w:rFonts w:asciiTheme="minorHAnsi" w:hAnsiTheme="minorHAnsi" w:cstheme="minorHAnsi"/>
                <w:sz w:val="20"/>
                <w:szCs w:val="20"/>
              </w:rPr>
              <w:t>a</w:t>
            </w:r>
            <w:r>
              <w:rPr>
                <w:rStyle w:val="e24kjd"/>
                <w:rFonts w:asciiTheme="minorHAnsi" w:hAnsiTheme="minorHAnsi" w:cstheme="minorHAnsi"/>
                <w:sz w:val="20"/>
                <w:szCs w:val="20"/>
              </w:rPr>
              <w:t xml:space="preserve">lcohol </w:t>
            </w:r>
            <w:r w:rsidR="008912E9">
              <w:rPr>
                <w:rStyle w:val="e24kjd"/>
                <w:rFonts w:asciiTheme="minorHAnsi" w:hAnsiTheme="minorHAnsi" w:cstheme="minorHAnsi"/>
                <w:sz w:val="20"/>
                <w:szCs w:val="20"/>
              </w:rPr>
              <w:t>d</w:t>
            </w:r>
            <w:r>
              <w:rPr>
                <w:rStyle w:val="e24kjd"/>
                <w:rFonts w:asciiTheme="minorHAnsi" w:hAnsiTheme="minorHAnsi" w:cstheme="minorHAnsi"/>
                <w:sz w:val="20"/>
                <w:szCs w:val="20"/>
              </w:rPr>
              <w:t xml:space="preserve">ependency  </w:t>
            </w:r>
          </w:p>
          <w:p w14:paraId="4C8B93CE" w14:textId="77777777" w:rsidR="00F06DC0" w:rsidRDefault="00F06DC0" w:rsidP="00326A6B">
            <w:pPr>
              <w:pStyle w:val="ListParagraph"/>
              <w:numPr>
                <w:ilvl w:val="0"/>
                <w:numId w:val="63"/>
              </w:numPr>
              <w:spacing w:after="0" w:line="240" w:lineRule="auto"/>
              <w:rPr>
                <w:rStyle w:val="e24kjd"/>
                <w:rFonts w:asciiTheme="minorHAnsi" w:hAnsiTheme="minorHAnsi" w:cstheme="minorHAnsi"/>
                <w:sz w:val="20"/>
                <w:szCs w:val="20"/>
              </w:rPr>
            </w:pPr>
            <w:r>
              <w:rPr>
                <w:rStyle w:val="e24kjd"/>
                <w:rFonts w:asciiTheme="minorHAnsi" w:hAnsiTheme="minorHAnsi" w:cstheme="minorHAnsi"/>
                <w:sz w:val="20"/>
                <w:szCs w:val="20"/>
              </w:rPr>
              <w:t xml:space="preserve">People who inject drugs  </w:t>
            </w:r>
          </w:p>
          <w:p w14:paraId="21B2187C" w14:textId="77777777" w:rsidR="00F06DC0" w:rsidRDefault="00F06DC0" w:rsidP="00326A6B">
            <w:pPr>
              <w:pStyle w:val="ListParagraph"/>
              <w:numPr>
                <w:ilvl w:val="0"/>
                <w:numId w:val="63"/>
              </w:numPr>
              <w:spacing w:after="0" w:line="240" w:lineRule="auto"/>
              <w:rPr>
                <w:rStyle w:val="e24kjd"/>
                <w:rFonts w:asciiTheme="minorHAnsi" w:hAnsiTheme="minorHAnsi" w:cstheme="minorHAnsi"/>
                <w:sz w:val="20"/>
                <w:szCs w:val="20"/>
              </w:rPr>
            </w:pPr>
            <w:r>
              <w:rPr>
                <w:rStyle w:val="e24kjd"/>
                <w:rFonts w:asciiTheme="minorHAnsi" w:hAnsiTheme="minorHAnsi" w:cstheme="minorHAnsi"/>
                <w:sz w:val="20"/>
                <w:szCs w:val="20"/>
              </w:rPr>
              <w:t xml:space="preserve">Migrants </w:t>
            </w:r>
          </w:p>
          <w:p w14:paraId="48620DEF" w14:textId="77777777" w:rsidR="00F06DC0" w:rsidRDefault="00F06DC0" w:rsidP="00326A6B">
            <w:pPr>
              <w:pStyle w:val="ListParagraph"/>
              <w:numPr>
                <w:ilvl w:val="0"/>
                <w:numId w:val="63"/>
              </w:numPr>
              <w:spacing w:after="0" w:line="240" w:lineRule="auto"/>
              <w:rPr>
                <w:rStyle w:val="e24kjd"/>
                <w:rFonts w:asciiTheme="minorHAnsi" w:hAnsiTheme="minorHAnsi" w:cstheme="minorHAnsi"/>
                <w:sz w:val="20"/>
                <w:szCs w:val="20"/>
              </w:rPr>
            </w:pPr>
            <w:r>
              <w:rPr>
                <w:rStyle w:val="e24kjd"/>
                <w:rFonts w:asciiTheme="minorHAnsi" w:hAnsiTheme="minorHAnsi" w:cstheme="minorHAnsi"/>
                <w:sz w:val="20"/>
                <w:szCs w:val="20"/>
              </w:rPr>
              <w:t xml:space="preserve">People with other co-morbidities, including diabetes  </w:t>
            </w:r>
          </w:p>
          <w:p w14:paraId="74BD6F33" w14:textId="77777777" w:rsidR="00F06DC0" w:rsidRDefault="00F06DC0" w:rsidP="00326A6B">
            <w:pPr>
              <w:pStyle w:val="ListParagraph"/>
              <w:numPr>
                <w:ilvl w:val="0"/>
                <w:numId w:val="63"/>
              </w:numPr>
              <w:spacing w:after="0" w:line="240" w:lineRule="auto"/>
              <w:rPr>
                <w:rStyle w:val="e24kjd"/>
                <w:rFonts w:asciiTheme="minorHAnsi" w:hAnsiTheme="minorHAnsi" w:cstheme="minorHAnsi"/>
                <w:sz w:val="20"/>
                <w:szCs w:val="20"/>
              </w:rPr>
            </w:pPr>
            <w:r>
              <w:rPr>
                <w:rStyle w:val="e24kjd"/>
                <w:rFonts w:asciiTheme="minorHAnsi" w:hAnsiTheme="minorHAnsi" w:cstheme="minorHAnsi"/>
                <w:sz w:val="20"/>
                <w:szCs w:val="20"/>
              </w:rPr>
              <w:t xml:space="preserve">People with Mental Disabilities  </w:t>
            </w:r>
          </w:p>
          <w:p w14:paraId="225FEE84" w14:textId="77777777" w:rsidR="00F06DC0" w:rsidRDefault="00F06DC0" w:rsidP="00326A6B">
            <w:pPr>
              <w:pStyle w:val="ListParagraph"/>
              <w:numPr>
                <w:ilvl w:val="0"/>
                <w:numId w:val="63"/>
              </w:numPr>
              <w:spacing w:after="0" w:line="240" w:lineRule="auto"/>
              <w:rPr>
                <w:rStyle w:val="e24kjd"/>
                <w:rFonts w:asciiTheme="minorHAnsi" w:hAnsiTheme="minorHAnsi" w:cstheme="minorHAnsi"/>
                <w:sz w:val="20"/>
                <w:szCs w:val="20"/>
              </w:rPr>
            </w:pPr>
            <w:r>
              <w:rPr>
                <w:rStyle w:val="e24kjd"/>
                <w:rFonts w:asciiTheme="minorHAnsi" w:hAnsiTheme="minorHAnsi" w:cstheme="minorHAnsi"/>
                <w:sz w:val="20"/>
                <w:szCs w:val="20"/>
              </w:rPr>
              <w:t>Children of people with TB</w:t>
            </w:r>
          </w:p>
          <w:p w14:paraId="554E0283" w14:textId="77777777" w:rsidR="00F06DC0" w:rsidRDefault="00F06DC0" w:rsidP="00326A6B">
            <w:pPr>
              <w:pStyle w:val="ListParagraph"/>
              <w:numPr>
                <w:ilvl w:val="0"/>
                <w:numId w:val="63"/>
              </w:numPr>
              <w:spacing w:after="0" w:line="240" w:lineRule="auto"/>
              <w:rPr>
                <w:rStyle w:val="e24kjd"/>
                <w:rFonts w:asciiTheme="minorHAnsi" w:hAnsiTheme="minorHAnsi" w:cstheme="minorHAnsi"/>
                <w:sz w:val="20"/>
                <w:szCs w:val="20"/>
              </w:rPr>
            </w:pPr>
            <w:r>
              <w:rPr>
                <w:rStyle w:val="e24kjd"/>
                <w:rFonts w:asciiTheme="minorHAnsi" w:hAnsiTheme="minorHAnsi" w:cstheme="minorHAnsi"/>
                <w:sz w:val="20"/>
                <w:szCs w:val="20"/>
              </w:rPr>
              <w:t>Roma population</w:t>
            </w:r>
          </w:p>
          <w:p w14:paraId="64ABDC6D" w14:textId="77777777" w:rsidR="00FD7E0E" w:rsidRDefault="00FD7E0E" w:rsidP="00781834">
            <w:pPr>
              <w:jc w:val="both"/>
              <w:rPr>
                <w:rFonts w:eastAsia="Times New Roman" w:cstheme="minorHAnsi"/>
                <w:b/>
                <w:sz w:val="20"/>
                <w:szCs w:val="20"/>
              </w:rPr>
            </w:pPr>
          </w:p>
          <w:p w14:paraId="626AD8A0" w14:textId="01563E97" w:rsidR="0071110F" w:rsidRDefault="006A3FF7" w:rsidP="00781834">
            <w:pPr>
              <w:jc w:val="both"/>
              <w:rPr>
                <w:rFonts w:ascii="Times New Roman" w:hAnsi="Times New Roman"/>
                <w:sz w:val="24"/>
                <w:szCs w:val="24"/>
                <w:lang w:val="ro-RO"/>
              </w:rPr>
            </w:pPr>
            <w:r>
              <w:rPr>
                <w:rFonts w:eastAsia="Times New Roman" w:cstheme="minorHAnsi"/>
                <w:b/>
                <w:sz w:val="20"/>
                <w:szCs w:val="20"/>
              </w:rPr>
              <w:t>People in detention</w:t>
            </w:r>
            <w:r w:rsidR="0071110F">
              <w:rPr>
                <w:rFonts w:eastAsia="Times New Roman" w:cstheme="minorHAnsi"/>
                <w:sz w:val="20"/>
                <w:szCs w:val="20"/>
              </w:rPr>
              <w:t xml:space="preserve">: </w:t>
            </w:r>
            <w:r w:rsidR="0011450F">
              <w:rPr>
                <w:rFonts w:eastAsia="Times New Roman" w:cstheme="minorHAnsi"/>
                <w:sz w:val="20"/>
                <w:szCs w:val="20"/>
              </w:rPr>
              <w:t>on average, the prison population is around 6,500 people</w:t>
            </w:r>
            <w:r w:rsidR="00356882">
              <w:rPr>
                <w:rFonts w:eastAsia="Times New Roman" w:cstheme="minorHAnsi"/>
                <w:sz w:val="20"/>
                <w:szCs w:val="20"/>
              </w:rPr>
              <w:t xml:space="preserve"> and is one of the key populations for TB and HIV response due to higher incidence compared to general population</w:t>
            </w:r>
            <w:r w:rsidR="0011450F">
              <w:rPr>
                <w:rFonts w:eastAsia="Times New Roman" w:cstheme="minorHAnsi"/>
                <w:sz w:val="20"/>
                <w:szCs w:val="20"/>
              </w:rPr>
              <w:t xml:space="preserve">. </w:t>
            </w:r>
            <w:r w:rsidR="00356882">
              <w:rPr>
                <w:rFonts w:eastAsia="Times New Roman" w:cstheme="minorHAnsi"/>
                <w:sz w:val="20"/>
                <w:szCs w:val="20"/>
              </w:rPr>
              <w:t>G</w:t>
            </w:r>
            <w:r w:rsidR="0071110F">
              <w:rPr>
                <w:rFonts w:eastAsia="Times New Roman" w:cstheme="minorHAnsi"/>
                <w:sz w:val="20"/>
                <w:szCs w:val="20"/>
              </w:rPr>
              <w:t xml:space="preserve">lobal incidence has reduced from 1,353 per 100,000 (99 cases) in 2015 to 1,100/100,000 (84 cases) in 2019. </w:t>
            </w:r>
            <w:r w:rsidR="00356882">
              <w:rPr>
                <w:rFonts w:eastAsia="Times New Roman" w:cstheme="minorHAnsi"/>
                <w:sz w:val="20"/>
                <w:szCs w:val="20"/>
              </w:rPr>
              <w:t>In 2019 p</w:t>
            </w:r>
            <w:r w:rsidR="0071110F">
              <w:rPr>
                <w:rFonts w:eastAsia="Times New Roman" w:cstheme="minorHAnsi"/>
                <w:sz w:val="20"/>
                <w:szCs w:val="20"/>
              </w:rPr>
              <w:t>ercent of new TB cases detected through CXR at the time of prison entry was 48% (5</w:t>
            </w:r>
            <w:r w:rsidR="00356882">
              <w:rPr>
                <w:rFonts w:eastAsia="Times New Roman" w:cstheme="minorHAnsi"/>
                <w:sz w:val="20"/>
                <w:szCs w:val="20"/>
              </w:rPr>
              <w:t>8</w:t>
            </w:r>
            <w:r w:rsidR="0071110F">
              <w:rPr>
                <w:rFonts w:eastAsia="Times New Roman" w:cstheme="minorHAnsi"/>
                <w:sz w:val="20"/>
                <w:szCs w:val="20"/>
              </w:rPr>
              <w:t xml:space="preserve"> cases)</w:t>
            </w:r>
            <w:r w:rsidR="00356882">
              <w:rPr>
                <w:rFonts w:eastAsia="Times New Roman" w:cstheme="minorHAnsi"/>
                <w:sz w:val="20"/>
                <w:szCs w:val="20"/>
              </w:rPr>
              <w:t xml:space="preserve"> or Xpert in presumptive cases</w:t>
            </w:r>
            <w:r w:rsidR="0071110F">
              <w:rPr>
                <w:rFonts w:eastAsia="Times New Roman" w:cstheme="minorHAnsi"/>
                <w:sz w:val="20"/>
                <w:szCs w:val="20"/>
              </w:rPr>
              <w:t>.</w:t>
            </w:r>
            <w:r w:rsidR="00356882">
              <w:rPr>
                <w:rFonts w:eastAsia="Times New Roman" w:cstheme="minorHAnsi"/>
                <w:sz w:val="20"/>
                <w:szCs w:val="20"/>
              </w:rPr>
              <w:t xml:space="preserve"> People in detention receive TB treatment in Pruncul, the only prison hospital </w:t>
            </w:r>
            <w:r w:rsidR="00011D45">
              <w:rPr>
                <w:rFonts w:eastAsia="Times New Roman" w:cstheme="minorHAnsi"/>
                <w:sz w:val="20"/>
                <w:szCs w:val="20"/>
              </w:rPr>
              <w:t xml:space="preserve">with TB beds </w:t>
            </w:r>
            <w:r w:rsidR="00356882">
              <w:rPr>
                <w:rFonts w:eastAsia="Times New Roman" w:cstheme="minorHAnsi"/>
                <w:sz w:val="20"/>
                <w:szCs w:val="20"/>
              </w:rPr>
              <w:t>on the Right Bank. In 2019, some 98 people have received treatment while in prison.</w:t>
            </w:r>
            <w:r w:rsidR="0071110F">
              <w:rPr>
                <w:rFonts w:eastAsia="Times New Roman" w:cstheme="minorHAnsi"/>
                <w:sz w:val="20"/>
                <w:szCs w:val="20"/>
              </w:rPr>
              <w:t xml:space="preserve"> </w:t>
            </w:r>
          </w:p>
          <w:p w14:paraId="38054CA4" w14:textId="280914DD" w:rsidR="0071110F" w:rsidRDefault="006A3FF7" w:rsidP="00781834">
            <w:pPr>
              <w:jc w:val="both"/>
              <w:rPr>
                <w:rFonts w:eastAsia="Times New Roman" w:cstheme="minorHAnsi"/>
                <w:sz w:val="20"/>
                <w:szCs w:val="20"/>
              </w:rPr>
            </w:pPr>
            <w:r>
              <w:rPr>
                <w:rFonts w:eastAsia="Times New Roman" w:cstheme="minorHAnsi"/>
                <w:b/>
                <w:sz w:val="20"/>
                <w:szCs w:val="20"/>
                <w:lang w:val="ro-RO"/>
              </w:rPr>
              <w:t>PLHIV</w:t>
            </w:r>
            <w:bookmarkEnd w:id="1"/>
            <w:r w:rsidR="0071110F">
              <w:rPr>
                <w:sz w:val="20"/>
                <w:szCs w:val="20"/>
              </w:rPr>
              <w:t xml:space="preserve">: TB is the most prevalent co-infection among </w:t>
            </w:r>
            <w:r w:rsidR="00356882">
              <w:rPr>
                <w:sz w:val="20"/>
                <w:szCs w:val="20"/>
              </w:rPr>
              <w:t>PL</w:t>
            </w:r>
            <w:r w:rsidR="0071110F">
              <w:rPr>
                <w:sz w:val="20"/>
                <w:szCs w:val="20"/>
              </w:rPr>
              <w:t>HIV, including among those who start ART</w:t>
            </w:r>
            <w:r w:rsidR="00356882">
              <w:rPr>
                <w:sz w:val="20"/>
                <w:szCs w:val="20"/>
              </w:rPr>
              <w:t xml:space="preserve"> and</w:t>
            </w:r>
            <w:r w:rsidR="00356882">
              <w:rPr>
                <w:rFonts w:eastAsia="Times New Roman" w:cstheme="minorHAnsi"/>
                <w:sz w:val="20"/>
                <w:szCs w:val="20"/>
              </w:rPr>
              <w:t xml:space="preserve"> the main cause</w:t>
            </w:r>
            <w:r w:rsidR="0071110F" w:rsidRPr="00814C4B">
              <w:rPr>
                <w:rFonts w:eastAsia="Times New Roman" w:cstheme="minorHAnsi"/>
                <w:sz w:val="20"/>
                <w:szCs w:val="20"/>
              </w:rPr>
              <w:t xml:space="preserve"> of mortality among HIV patients, with proportion ranging from 40% to 62%</w:t>
            </w:r>
            <w:r w:rsidR="00356882">
              <w:rPr>
                <w:rFonts w:eastAsia="Times New Roman" w:cstheme="minorHAnsi"/>
                <w:sz w:val="20"/>
                <w:szCs w:val="20"/>
              </w:rPr>
              <w:t>.</w:t>
            </w:r>
            <w:r w:rsidR="0071110F" w:rsidRPr="00814C4B">
              <w:rPr>
                <w:rStyle w:val="FootnoteReference"/>
                <w:rFonts w:eastAsia="Times New Roman" w:cstheme="minorHAnsi"/>
                <w:sz w:val="20"/>
                <w:szCs w:val="20"/>
              </w:rPr>
              <w:footnoteReference w:id="14"/>
            </w:r>
            <w:r w:rsidR="0071110F">
              <w:rPr>
                <w:rFonts w:eastAsia="Times New Roman" w:cstheme="minorHAnsi"/>
                <w:sz w:val="20"/>
                <w:szCs w:val="20"/>
              </w:rPr>
              <w:t xml:space="preserve"> The main reason is late HIV detection in advanced AIDS stages simultaneously with TB, </w:t>
            </w:r>
            <w:r w:rsidR="0071110F" w:rsidRPr="006A3FF7">
              <w:rPr>
                <w:rFonts w:eastAsia="Times New Roman" w:cstheme="minorHAnsi"/>
                <w:sz w:val="20"/>
                <w:szCs w:val="20"/>
              </w:rPr>
              <w:t xml:space="preserve">as over </w:t>
            </w:r>
            <w:r w:rsidRPr="006A3FF7">
              <w:rPr>
                <w:rFonts w:eastAsia="Times New Roman" w:cstheme="minorHAnsi"/>
                <w:sz w:val="20"/>
                <w:szCs w:val="20"/>
              </w:rPr>
              <w:t>29</w:t>
            </w:r>
            <w:r w:rsidR="0071110F" w:rsidRPr="006A3FF7">
              <w:rPr>
                <w:rFonts w:eastAsia="Times New Roman" w:cstheme="minorHAnsi"/>
                <w:sz w:val="20"/>
                <w:szCs w:val="20"/>
              </w:rPr>
              <w:t xml:space="preserve">% of men and </w:t>
            </w:r>
            <w:r w:rsidRPr="006A3FF7">
              <w:rPr>
                <w:rFonts w:eastAsia="Times New Roman" w:cstheme="minorHAnsi"/>
                <w:sz w:val="20"/>
                <w:szCs w:val="20"/>
              </w:rPr>
              <w:t>26</w:t>
            </w:r>
            <w:r w:rsidR="0071110F" w:rsidRPr="006A3FF7">
              <w:rPr>
                <w:rFonts w:eastAsia="Times New Roman" w:cstheme="minorHAnsi"/>
                <w:sz w:val="20"/>
                <w:szCs w:val="20"/>
              </w:rPr>
              <w:t>% of women</w:t>
            </w:r>
            <w:r>
              <w:rPr>
                <w:rFonts w:eastAsia="Times New Roman" w:cstheme="minorHAnsi"/>
                <w:sz w:val="20"/>
                <w:szCs w:val="20"/>
              </w:rPr>
              <w:t xml:space="preserve"> who were </w:t>
            </w:r>
            <w:r w:rsidR="0071110F">
              <w:rPr>
                <w:rFonts w:eastAsia="Times New Roman" w:cstheme="minorHAnsi"/>
                <w:sz w:val="20"/>
                <w:szCs w:val="20"/>
              </w:rPr>
              <w:t xml:space="preserve">diagnosed </w:t>
            </w:r>
            <w:r w:rsidR="003B54E4">
              <w:rPr>
                <w:rFonts w:eastAsia="Times New Roman" w:cstheme="minorHAnsi"/>
                <w:sz w:val="20"/>
                <w:szCs w:val="20"/>
              </w:rPr>
              <w:t>with HIV in 2019 had CD4</w:t>
            </w:r>
            <w:r w:rsidR="0071110F">
              <w:rPr>
                <w:rFonts w:eastAsia="Times New Roman" w:cstheme="minorHAnsi"/>
                <w:sz w:val="20"/>
                <w:szCs w:val="20"/>
              </w:rPr>
              <w:t xml:space="preserve">&lt;200. </w:t>
            </w:r>
            <w:r w:rsidR="0071110F" w:rsidRPr="00814C4B">
              <w:rPr>
                <w:rFonts w:eastAsia="Times New Roman" w:cstheme="minorHAnsi"/>
                <w:sz w:val="20"/>
                <w:szCs w:val="20"/>
              </w:rPr>
              <w:t>HIV and TB co</w:t>
            </w:r>
            <w:r w:rsidR="0071110F">
              <w:rPr>
                <w:rFonts w:eastAsia="Times New Roman" w:cstheme="minorHAnsi"/>
                <w:sz w:val="20"/>
                <w:szCs w:val="20"/>
              </w:rPr>
              <w:t>-</w:t>
            </w:r>
            <w:r w:rsidR="0071110F" w:rsidRPr="00814C4B">
              <w:rPr>
                <w:rFonts w:eastAsia="Times New Roman" w:cstheme="minorHAnsi"/>
                <w:sz w:val="20"/>
                <w:szCs w:val="20"/>
              </w:rPr>
              <w:t>infection</w:t>
            </w:r>
            <w:r>
              <w:rPr>
                <w:rFonts w:eastAsia="Times New Roman" w:cstheme="minorHAnsi"/>
                <w:sz w:val="20"/>
                <w:szCs w:val="20"/>
              </w:rPr>
              <w:t xml:space="preserve"> rate</w:t>
            </w:r>
            <w:r w:rsidR="0071110F" w:rsidRPr="00814C4B">
              <w:rPr>
                <w:rFonts w:eastAsia="Times New Roman" w:cstheme="minorHAnsi"/>
                <w:sz w:val="20"/>
                <w:szCs w:val="20"/>
              </w:rPr>
              <w:t xml:space="preserve"> </w:t>
            </w:r>
            <w:r>
              <w:rPr>
                <w:rFonts w:eastAsia="Times New Roman" w:cstheme="minorHAnsi"/>
                <w:sz w:val="20"/>
                <w:szCs w:val="20"/>
              </w:rPr>
              <w:t>and doubled over last decade to reported</w:t>
            </w:r>
            <w:r w:rsidR="0071110F" w:rsidRPr="0007215E">
              <w:rPr>
                <w:rFonts w:eastAsia="Times New Roman" w:cstheme="minorHAnsi"/>
                <w:sz w:val="20"/>
                <w:szCs w:val="20"/>
              </w:rPr>
              <w:t xml:space="preserve"> 10.2% of HIV infections among inciden</w:t>
            </w:r>
            <w:r>
              <w:rPr>
                <w:rFonts w:eastAsia="Times New Roman" w:cstheme="minorHAnsi"/>
                <w:sz w:val="20"/>
                <w:szCs w:val="20"/>
              </w:rPr>
              <w:t>t</w:t>
            </w:r>
            <w:r w:rsidR="0071110F" w:rsidRPr="0007215E">
              <w:rPr>
                <w:rFonts w:eastAsia="Times New Roman" w:cstheme="minorHAnsi"/>
                <w:sz w:val="20"/>
                <w:szCs w:val="20"/>
              </w:rPr>
              <w:t xml:space="preserve"> new and relapses TB cases</w:t>
            </w:r>
            <w:r w:rsidR="0071110F">
              <w:rPr>
                <w:rFonts w:eastAsia="Times New Roman" w:cstheme="minorHAnsi"/>
                <w:sz w:val="20"/>
                <w:szCs w:val="20"/>
              </w:rPr>
              <w:t xml:space="preserve"> in 2019 compared to 5% in 2011</w:t>
            </w:r>
            <w:r w:rsidR="0071110F">
              <w:rPr>
                <w:rStyle w:val="FootnoteReference"/>
                <w:rFonts w:eastAsia="Times New Roman" w:cstheme="minorHAnsi"/>
                <w:sz w:val="20"/>
                <w:szCs w:val="20"/>
              </w:rPr>
              <w:footnoteReference w:id="15"/>
            </w:r>
            <w:r w:rsidR="0071110F" w:rsidRPr="00814C4B">
              <w:rPr>
                <w:rFonts w:eastAsia="Times New Roman" w:cstheme="minorHAnsi"/>
                <w:sz w:val="20"/>
                <w:szCs w:val="20"/>
              </w:rPr>
              <w:t xml:space="preserve">. </w:t>
            </w:r>
            <w:r w:rsidR="0071110F">
              <w:rPr>
                <w:rFonts w:eastAsia="Times New Roman" w:cstheme="minorHAnsi"/>
                <w:sz w:val="20"/>
                <w:szCs w:val="20"/>
              </w:rPr>
              <w:t>TB/HIV co-infection rate among new and relapse MDR TB cases i</w:t>
            </w:r>
            <w:r>
              <w:rPr>
                <w:rFonts w:eastAsia="Times New Roman" w:cstheme="minorHAnsi"/>
                <w:sz w:val="20"/>
                <w:szCs w:val="20"/>
              </w:rPr>
              <w:t>n 2019 was 13.2%</w:t>
            </w:r>
            <w:r w:rsidR="0071110F">
              <w:rPr>
                <w:rFonts w:eastAsia="Times New Roman" w:cstheme="minorHAnsi"/>
                <w:sz w:val="20"/>
                <w:szCs w:val="20"/>
              </w:rPr>
              <w:t>.</w:t>
            </w:r>
            <w:r w:rsidR="0071110F" w:rsidRPr="00814C4B">
              <w:rPr>
                <w:rFonts w:eastAsia="Times New Roman" w:cstheme="minorHAnsi"/>
                <w:sz w:val="20"/>
                <w:szCs w:val="20"/>
              </w:rPr>
              <w:t xml:space="preserve"> There are large geographical variations, with co-infection rates in the country as high as 25% </w:t>
            </w:r>
            <w:r w:rsidR="0071110F">
              <w:rPr>
                <w:rFonts w:eastAsia="Times New Roman" w:cstheme="minorHAnsi"/>
                <w:sz w:val="20"/>
                <w:szCs w:val="20"/>
              </w:rPr>
              <w:t>on the Left Bank and</w:t>
            </w:r>
            <w:r w:rsidR="0071110F" w:rsidRPr="00814C4B">
              <w:rPr>
                <w:rFonts w:eastAsia="Times New Roman" w:cstheme="minorHAnsi"/>
                <w:sz w:val="20"/>
                <w:szCs w:val="20"/>
              </w:rPr>
              <w:t xml:space="preserve"> 18% in the municipality of Balti</w:t>
            </w:r>
            <w:r w:rsidR="0071110F" w:rsidRPr="00814C4B">
              <w:rPr>
                <w:rStyle w:val="FootnoteReference"/>
                <w:rFonts w:eastAsia="Times New Roman" w:cstheme="minorHAnsi"/>
                <w:sz w:val="20"/>
                <w:szCs w:val="20"/>
              </w:rPr>
              <w:footnoteReference w:id="16"/>
            </w:r>
            <w:r w:rsidR="0071110F" w:rsidRPr="00814C4B">
              <w:rPr>
                <w:rFonts w:eastAsia="Times New Roman" w:cstheme="minorHAnsi"/>
                <w:sz w:val="20"/>
                <w:szCs w:val="20"/>
              </w:rPr>
              <w:t xml:space="preserve">. </w:t>
            </w:r>
          </w:p>
          <w:p w14:paraId="3E59F33D" w14:textId="00B8210F" w:rsidR="0071110F" w:rsidRDefault="006A3FF7" w:rsidP="00781834">
            <w:pPr>
              <w:jc w:val="both"/>
              <w:rPr>
                <w:rFonts w:cs="Arial"/>
                <w:sz w:val="20"/>
                <w:szCs w:val="20"/>
              </w:rPr>
            </w:pPr>
            <w:r>
              <w:rPr>
                <w:rFonts w:eastAsia="Times New Roman" w:cstheme="minorHAnsi"/>
                <w:b/>
                <w:sz w:val="20"/>
                <w:szCs w:val="20"/>
              </w:rPr>
              <w:t>M</w:t>
            </w:r>
            <w:r w:rsidR="0071110F" w:rsidRPr="00106C5E">
              <w:rPr>
                <w:rFonts w:eastAsia="Times New Roman" w:cstheme="minorHAnsi"/>
                <w:b/>
                <w:sz w:val="20"/>
                <w:szCs w:val="20"/>
              </w:rPr>
              <w:t>igra</w:t>
            </w:r>
            <w:r w:rsidR="003B54E4">
              <w:rPr>
                <w:rFonts w:eastAsia="Times New Roman" w:cstheme="minorHAnsi"/>
                <w:b/>
                <w:sz w:val="20"/>
                <w:szCs w:val="20"/>
              </w:rPr>
              <w:t>nts</w:t>
            </w:r>
            <w:r w:rsidR="0071110F">
              <w:rPr>
                <w:rFonts w:eastAsia="Times New Roman" w:cstheme="minorHAnsi"/>
                <w:b/>
                <w:sz w:val="20"/>
                <w:szCs w:val="20"/>
              </w:rPr>
              <w:t xml:space="preserve">: </w:t>
            </w:r>
            <w:r w:rsidR="0071110F" w:rsidRPr="00175FAA">
              <w:rPr>
                <w:rFonts w:eastAsia="Times New Roman" w:cstheme="minorHAnsi"/>
                <w:sz w:val="20"/>
                <w:szCs w:val="20"/>
              </w:rPr>
              <w:t>several aspects related to migration are important in the context of Moldova</w:t>
            </w:r>
            <w:r w:rsidR="0071110F">
              <w:rPr>
                <w:rFonts w:eastAsia="Times New Roman" w:cstheme="minorHAnsi"/>
                <w:sz w:val="20"/>
                <w:szCs w:val="20"/>
              </w:rPr>
              <w:t xml:space="preserve">. Russia is a destination country where Moldovans work as </w:t>
            </w:r>
            <w:r w:rsidR="0071110F" w:rsidRPr="00DF5182">
              <w:rPr>
                <w:rFonts w:cs="Arial"/>
                <w:sz w:val="20"/>
                <w:szCs w:val="20"/>
              </w:rPr>
              <w:t>unregistered migrants</w:t>
            </w:r>
            <w:r w:rsidR="0071110F">
              <w:rPr>
                <w:rFonts w:cs="Arial"/>
                <w:sz w:val="20"/>
                <w:szCs w:val="20"/>
              </w:rPr>
              <w:t>. There are specific</w:t>
            </w:r>
            <w:r w:rsidR="0071110F" w:rsidRPr="00DF5182">
              <w:rPr>
                <w:rFonts w:cs="Arial"/>
                <w:sz w:val="20"/>
                <w:szCs w:val="20"/>
              </w:rPr>
              <w:t xml:space="preserve"> legal barriers and deportation practices of migrants identified with TB following the intensive treatment phase</w:t>
            </w:r>
            <w:r w:rsidR="0071110F">
              <w:rPr>
                <w:rFonts w:cs="Arial"/>
                <w:sz w:val="20"/>
                <w:szCs w:val="20"/>
              </w:rPr>
              <w:t xml:space="preserve"> and no information exchange</w:t>
            </w:r>
            <w:r>
              <w:rPr>
                <w:rFonts w:cs="Arial"/>
                <w:sz w:val="20"/>
                <w:szCs w:val="20"/>
              </w:rPr>
              <w:t xml:space="preserve"> between the countries</w:t>
            </w:r>
            <w:r w:rsidR="0071110F">
              <w:rPr>
                <w:rFonts w:cs="Arial"/>
                <w:sz w:val="20"/>
                <w:szCs w:val="20"/>
              </w:rPr>
              <w:t xml:space="preserve">. </w:t>
            </w:r>
            <w:r w:rsidR="0071110F" w:rsidRPr="00DF5182">
              <w:rPr>
                <w:rFonts w:cs="Arial"/>
                <w:sz w:val="20"/>
                <w:szCs w:val="20"/>
              </w:rPr>
              <w:t xml:space="preserve">However, there is very scarce data on size </w:t>
            </w:r>
            <w:r w:rsidR="0071110F">
              <w:rPr>
                <w:rFonts w:cs="Arial"/>
                <w:sz w:val="20"/>
                <w:szCs w:val="20"/>
              </w:rPr>
              <w:t>of the problem</w:t>
            </w:r>
            <w:r w:rsidR="0071110F" w:rsidRPr="00DF5182">
              <w:rPr>
                <w:rFonts w:cs="Arial"/>
                <w:sz w:val="20"/>
                <w:szCs w:val="20"/>
              </w:rPr>
              <w:t xml:space="preserve"> and statistics.</w:t>
            </w:r>
            <w:r w:rsidR="0071110F">
              <w:rPr>
                <w:rFonts w:cs="Arial"/>
                <w:sz w:val="20"/>
                <w:szCs w:val="20"/>
              </w:rPr>
              <w:t xml:space="preserve"> Second, an important part of loss to follow up of MDR TB patients is due to people interrupting</w:t>
            </w:r>
            <w:r>
              <w:rPr>
                <w:rFonts w:cs="Arial"/>
                <w:sz w:val="20"/>
                <w:szCs w:val="20"/>
              </w:rPr>
              <w:t xml:space="preserve"> TB</w:t>
            </w:r>
            <w:r w:rsidR="0071110F">
              <w:rPr>
                <w:rFonts w:cs="Arial"/>
                <w:sz w:val="20"/>
                <w:szCs w:val="20"/>
              </w:rPr>
              <w:t xml:space="preserve"> treatment and leaving the country.  The loss to follow up in the DS-TB cases decreased to 2.9% in 2019 compared to 7% in 2013, and</w:t>
            </w:r>
            <w:r>
              <w:rPr>
                <w:rFonts w:cs="Arial"/>
                <w:sz w:val="20"/>
                <w:szCs w:val="20"/>
              </w:rPr>
              <w:t xml:space="preserve"> of those,</w:t>
            </w:r>
            <w:r w:rsidR="0071110F">
              <w:rPr>
                <w:rFonts w:cs="Arial"/>
                <w:sz w:val="20"/>
                <w:szCs w:val="20"/>
              </w:rPr>
              <w:t xml:space="preserve"> 39% was</w:t>
            </w:r>
            <w:r>
              <w:rPr>
                <w:rFonts w:cs="Arial"/>
                <w:sz w:val="20"/>
                <w:szCs w:val="20"/>
              </w:rPr>
              <w:t xml:space="preserve"> due to migration, Migration accounted for 20% as the reason for </w:t>
            </w:r>
            <w:r w:rsidR="0071110F">
              <w:rPr>
                <w:rFonts w:cs="Arial"/>
                <w:sz w:val="20"/>
                <w:szCs w:val="20"/>
              </w:rPr>
              <w:t>loss to follow for MDR TB</w:t>
            </w:r>
            <w:r>
              <w:rPr>
                <w:rFonts w:cs="Arial"/>
                <w:sz w:val="20"/>
                <w:szCs w:val="20"/>
              </w:rPr>
              <w:t xml:space="preserve"> </w:t>
            </w:r>
            <w:r w:rsidR="0071110F">
              <w:rPr>
                <w:rFonts w:cs="Arial"/>
                <w:sz w:val="20"/>
                <w:szCs w:val="20"/>
              </w:rPr>
              <w:t>2017 cohor</w:t>
            </w:r>
            <w:r>
              <w:rPr>
                <w:rFonts w:cs="Arial"/>
                <w:sz w:val="20"/>
                <w:szCs w:val="20"/>
              </w:rPr>
              <w:t>t</w:t>
            </w:r>
            <w:r w:rsidR="0071110F">
              <w:rPr>
                <w:rFonts w:cs="Arial"/>
                <w:sz w:val="20"/>
                <w:szCs w:val="20"/>
              </w:rPr>
              <w:t xml:space="preserve">. </w:t>
            </w:r>
            <w:r w:rsidR="0071110F" w:rsidRPr="00DF5182">
              <w:rPr>
                <w:rFonts w:cs="Arial"/>
                <w:sz w:val="20"/>
                <w:szCs w:val="20"/>
              </w:rPr>
              <w:t xml:space="preserve"> </w:t>
            </w:r>
            <w:r w:rsidR="0071110F">
              <w:rPr>
                <w:rFonts w:cs="Arial"/>
                <w:sz w:val="20"/>
                <w:szCs w:val="20"/>
              </w:rPr>
              <w:t>According to Optima TB</w:t>
            </w:r>
            <w:r>
              <w:rPr>
                <w:rStyle w:val="FootnoteReference"/>
                <w:rFonts w:cs="Arial"/>
                <w:sz w:val="20"/>
                <w:szCs w:val="20"/>
              </w:rPr>
              <w:footnoteReference w:id="17"/>
            </w:r>
            <w:r w:rsidR="0071110F">
              <w:rPr>
                <w:rFonts w:cs="Arial"/>
                <w:sz w:val="20"/>
                <w:szCs w:val="20"/>
              </w:rPr>
              <w:t xml:space="preserve"> </w:t>
            </w:r>
            <w:r w:rsidR="0071110F" w:rsidRPr="00DD5AD7">
              <w:rPr>
                <w:rFonts w:cs="Arial"/>
                <w:sz w:val="20"/>
                <w:szCs w:val="20"/>
              </w:rPr>
              <w:t>(Annex</w:t>
            </w:r>
            <w:r w:rsidR="00DD5AD7" w:rsidRPr="00DD5AD7">
              <w:rPr>
                <w:rFonts w:cs="Arial"/>
                <w:sz w:val="20"/>
                <w:szCs w:val="20"/>
              </w:rPr>
              <w:t xml:space="preserve"> 7</w:t>
            </w:r>
            <w:r w:rsidR="0071110F" w:rsidRPr="00DD5AD7">
              <w:rPr>
                <w:rFonts w:cs="Arial"/>
                <w:sz w:val="20"/>
                <w:szCs w:val="20"/>
              </w:rPr>
              <w:t>)</w:t>
            </w:r>
            <w:r w:rsidR="00011D45" w:rsidRPr="00DD5AD7">
              <w:rPr>
                <w:rFonts w:cs="Arial"/>
                <w:sz w:val="20"/>
                <w:szCs w:val="20"/>
              </w:rPr>
              <w:t>,</w:t>
            </w:r>
            <w:r w:rsidR="0071110F">
              <w:rPr>
                <w:rFonts w:cs="Arial"/>
                <w:sz w:val="20"/>
                <w:szCs w:val="20"/>
              </w:rPr>
              <w:t xml:space="preserve"> migrants are the only population forecasted to increase in number of active TB cases and scaling up testing and treatment for migrants is indicated for reducing the number of active TB infections, however these increases will not reverse the trend on their own.</w:t>
            </w:r>
          </w:p>
          <w:p w14:paraId="5FE4813F" w14:textId="77777777" w:rsidR="0071110F" w:rsidRPr="009D0320" w:rsidRDefault="0071110F" w:rsidP="00781834">
            <w:pPr>
              <w:jc w:val="both"/>
              <w:rPr>
                <w:rFonts w:cs="Arial"/>
                <w:b/>
                <w:sz w:val="20"/>
                <w:szCs w:val="20"/>
              </w:rPr>
            </w:pPr>
            <w:r w:rsidRPr="009D0320">
              <w:rPr>
                <w:rFonts w:cs="Arial"/>
                <w:b/>
                <w:sz w:val="20"/>
                <w:szCs w:val="20"/>
              </w:rPr>
              <w:t>Trends in loss to follow up including the role of leaving the country for labor migration (2013-2018)</w:t>
            </w:r>
          </w:p>
          <w:tbl>
            <w:tblPr>
              <w:tblStyle w:val="ListTable3-Accent5"/>
              <w:tblW w:w="10230" w:type="dxa"/>
              <w:tblLook w:val="04A0" w:firstRow="1" w:lastRow="0" w:firstColumn="1" w:lastColumn="0" w:noHBand="0" w:noVBand="1"/>
            </w:tblPr>
            <w:tblGrid>
              <w:gridCol w:w="1765"/>
              <w:gridCol w:w="720"/>
              <w:gridCol w:w="630"/>
              <w:gridCol w:w="630"/>
              <w:gridCol w:w="720"/>
              <w:gridCol w:w="810"/>
              <w:gridCol w:w="720"/>
              <w:gridCol w:w="575"/>
              <w:gridCol w:w="775"/>
              <w:gridCol w:w="720"/>
              <w:gridCol w:w="720"/>
              <w:gridCol w:w="721"/>
              <w:gridCol w:w="724"/>
            </w:tblGrid>
            <w:tr w:rsidR="0071110F" w:rsidRPr="005E1DFF" w14:paraId="1C2EFD28" w14:textId="77777777" w:rsidTr="008376E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765" w:type="dxa"/>
                  <w:vMerge w:val="restart"/>
                  <w:shd w:val="clear" w:color="auto" w:fill="0070C0"/>
                  <w:noWrap/>
                  <w:hideMark/>
                </w:tcPr>
                <w:p w14:paraId="5C3F46AB" w14:textId="77777777" w:rsidR="0071110F" w:rsidRPr="008376E7" w:rsidRDefault="0071110F" w:rsidP="00781834">
                  <w:pPr>
                    <w:spacing w:after="0" w:line="240" w:lineRule="auto"/>
                    <w:rPr>
                      <w:rFonts w:asciiTheme="minorHAnsi" w:eastAsia="Times New Roman" w:hAnsiTheme="minorHAnsi" w:cstheme="minorHAnsi"/>
                      <w:color w:val="000000"/>
                      <w:sz w:val="20"/>
                      <w:szCs w:val="20"/>
                    </w:rPr>
                  </w:pPr>
                  <w:bookmarkStart w:id="2" w:name="_Hlk41678055" w:colFirst="1" w:colLast="12"/>
                  <w:r w:rsidRPr="008376E7">
                    <w:rPr>
                      <w:rFonts w:asciiTheme="minorHAnsi" w:eastAsia="Times New Roman" w:hAnsiTheme="minorHAnsi" w:cstheme="minorHAnsi"/>
                      <w:color w:val="000000"/>
                      <w:sz w:val="20"/>
                      <w:szCs w:val="20"/>
                    </w:rPr>
                    <w:t> </w:t>
                  </w:r>
                </w:p>
              </w:tc>
              <w:tc>
                <w:tcPr>
                  <w:tcW w:w="1350" w:type="dxa"/>
                  <w:gridSpan w:val="2"/>
                  <w:shd w:val="clear" w:color="auto" w:fill="0070C0"/>
                  <w:hideMark/>
                </w:tcPr>
                <w:p w14:paraId="028706D6" w14:textId="77777777" w:rsidR="0071110F" w:rsidRPr="008376E7"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0"/>
                      <w:szCs w:val="20"/>
                    </w:rPr>
                  </w:pPr>
                  <w:r w:rsidRPr="008376E7">
                    <w:rPr>
                      <w:rFonts w:asciiTheme="minorHAnsi" w:eastAsia="Times New Roman" w:hAnsiTheme="minorHAnsi" w:cstheme="minorHAnsi"/>
                      <w:bCs w:val="0"/>
                      <w:sz w:val="20"/>
                      <w:szCs w:val="20"/>
                      <w:lang w:val="ro-RO"/>
                    </w:rPr>
                    <w:t>2013</w:t>
                  </w:r>
                </w:p>
              </w:tc>
              <w:tc>
                <w:tcPr>
                  <w:tcW w:w="1350" w:type="dxa"/>
                  <w:gridSpan w:val="2"/>
                  <w:shd w:val="clear" w:color="auto" w:fill="0070C0"/>
                  <w:hideMark/>
                </w:tcPr>
                <w:p w14:paraId="111DE4C3" w14:textId="77777777" w:rsidR="0071110F" w:rsidRPr="008376E7"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0"/>
                      <w:szCs w:val="20"/>
                    </w:rPr>
                  </w:pPr>
                  <w:r w:rsidRPr="008376E7">
                    <w:rPr>
                      <w:rFonts w:asciiTheme="minorHAnsi" w:eastAsia="Times New Roman" w:hAnsiTheme="minorHAnsi" w:cstheme="minorHAnsi"/>
                      <w:bCs w:val="0"/>
                      <w:sz w:val="20"/>
                      <w:szCs w:val="20"/>
                      <w:lang w:val="ro-RO"/>
                    </w:rPr>
                    <w:t>2014</w:t>
                  </w:r>
                </w:p>
              </w:tc>
              <w:tc>
                <w:tcPr>
                  <w:tcW w:w="1530" w:type="dxa"/>
                  <w:gridSpan w:val="2"/>
                  <w:shd w:val="clear" w:color="auto" w:fill="0070C0"/>
                  <w:hideMark/>
                </w:tcPr>
                <w:p w14:paraId="42DDB5FA" w14:textId="77777777" w:rsidR="0071110F" w:rsidRPr="008376E7"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0"/>
                      <w:szCs w:val="20"/>
                    </w:rPr>
                  </w:pPr>
                  <w:r w:rsidRPr="008376E7">
                    <w:rPr>
                      <w:rFonts w:asciiTheme="minorHAnsi" w:eastAsia="Times New Roman" w:hAnsiTheme="minorHAnsi" w:cstheme="minorHAnsi"/>
                      <w:bCs w:val="0"/>
                      <w:sz w:val="20"/>
                      <w:szCs w:val="20"/>
                      <w:lang w:val="ro-RO"/>
                    </w:rPr>
                    <w:t>2015</w:t>
                  </w:r>
                </w:p>
              </w:tc>
              <w:tc>
                <w:tcPr>
                  <w:tcW w:w="1350" w:type="dxa"/>
                  <w:gridSpan w:val="2"/>
                  <w:shd w:val="clear" w:color="auto" w:fill="0070C0"/>
                  <w:hideMark/>
                </w:tcPr>
                <w:p w14:paraId="4E9B1DF2" w14:textId="77777777" w:rsidR="0071110F" w:rsidRPr="008376E7"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0"/>
                      <w:szCs w:val="20"/>
                    </w:rPr>
                  </w:pPr>
                  <w:r w:rsidRPr="008376E7">
                    <w:rPr>
                      <w:rFonts w:asciiTheme="minorHAnsi" w:eastAsia="Times New Roman" w:hAnsiTheme="minorHAnsi" w:cstheme="minorHAnsi"/>
                      <w:bCs w:val="0"/>
                      <w:sz w:val="20"/>
                      <w:szCs w:val="20"/>
                      <w:lang w:val="ro-RO"/>
                    </w:rPr>
                    <w:t>2016</w:t>
                  </w:r>
                </w:p>
              </w:tc>
              <w:tc>
                <w:tcPr>
                  <w:tcW w:w="1440" w:type="dxa"/>
                  <w:gridSpan w:val="2"/>
                  <w:shd w:val="clear" w:color="auto" w:fill="0070C0"/>
                  <w:hideMark/>
                </w:tcPr>
                <w:p w14:paraId="2FD8BCDC" w14:textId="77777777" w:rsidR="0071110F" w:rsidRPr="008376E7"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0"/>
                      <w:szCs w:val="20"/>
                    </w:rPr>
                  </w:pPr>
                  <w:r w:rsidRPr="008376E7">
                    <w:rPr>
                      <w:rFonts w:asciiTheme="minorHAnsi" w:eastAsia="Times New Roman" w:hAnsiTheme="minorHAnsi" w:cstheme="minorHAnsi"/>
                      <w:bCs w:val="0"/>
                      <w:sz w:val="20"/>
                      <w:szCs w:val="20"/>
                      <w:lang w:val="ro-RO"/>
                    </w:rPr>
                    <w:t>2017</w:t>
                  </w:r>
                </w:p>
              </w:tc>
              <w:tc>
                <w:tcPr>
                  <w:tcW w:w="1445" w:type="dxa"/>
                  <w:gridSpan w:val="2"/>
                  <w:shd w:val="clear" w:color="auto" w:fill="0070C0"/>
                  <w:hideMark/>
                </w:tcPr>
                <w:p w14:paraId="28D205A3" w14:textId="77777777" w:rsidR="0071110F" w:rsidRPr="008376E7"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0"/>
                      <w:szCs w:val="20"/>
                    </w:rPr>
                  </w:pPr>
                  <w:r w:rsidRPr="008376E7">
                    <w:rPr>
                      <w:rFonts w:asciiTheme="minorHAnsi" w:eastAsia="Times New Roman" w:hAnsiTheme="minorHAnsi" w:cstheme="minorHAnsi"/>
                      <w:bCs w:val="0"/>
                      <w:sz w:val="20"/>
                      <w:szCs w:val="20"/>
                      <w:lang w:val="ro-RO"/>
                    </w:rPr>
                    <w:t>2018</w:t>
                  </w:r>
                </w:p>
              </w:tc>
            </w:tr>
            <w:tr w:rsidR="0071110F" w:rsidRPr="005E1DFF" w14:paraId="399A3FA7" w14:textId="77777777" w:rsidTr="008376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65" w:type="dxa"/>
                  <w:vMerge/>
                  <w:shd w:val="clear" w:color="auto" w:fill="0070C0"/>
                  <w:hideMark/>
                </w:tcPr>
                <w:p w14:paraId="51B2B12F" w14:textId="77777777" w:rsidR="0071110F" w:rsidRPr="008376E7" w:rsidRDefault="0071110F" w:rsidP="00781834">
                  <w:pPr>
                    <w:spacing w:after="0" w:line="240" w:lineRule="auto"/>
                    <w:rPr>
                      <w:rFonts w:asciiTheme="minorHAnsi" w:eastAsia="Times New Roman" w:hAnsiTheme="minorHAnsi" w:cstheme="minorHAnsi"/>
                      <w:color w:val="000000"/>
                      <w:sz w:val="20"/>
                      <w:szCs w:val="20"/>
                    </w:rPr>
                  </w:pPr>
                </w:p>
              </w:tc>
              <w:tc>
                <w:tcPr>
                  <w:tcW w:w="720" w:type="dxa"/>
                  <w:shd w:val="clear" w:color="auto" w:fill="0070C0"/>
                  <w:hideMark/>
                </w:tcPr>
                <w:p w14:paraId="4F44471E" w14:textId="03F4C42D" w:rsidR="0071110F" w:rsidRPr="008376E7" w:rsidRDefault="003B54E4"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20"/>
                      <w:szCs w:val="20"/>
                    </w:rPr>
                  </w:pPr>
                  <w:r w:rsidRPr="008376E7">
                    <w:rPr>
                      <w:rFonts w:asciiTheme="minorHAnsi" w:eastAsia="Times New Roman" w:hAnsiTheme="minorHAnsi" w:cstheme="minorHAnsi"/>
                      <w:b/>
                      <w:bCs/>
                      <w:color w:val="FFFFFF" w:themeColor="background1"/>
                      <w:sz w:val="20"/>
                      <w:szCs w:val="20"/>
                      <w:lang w:val="ro-RO"/>
                    </w:rPr>
                    <w:t>#</w:t>
                  </w:r>
                </w:p>
              </w:tc>
              <w:tc>
                <w:tcPr>
                  <w:tcW w:w="630" w:type="dxa"/>
                  <w:shd w:val="clear" w:color="auto" w:fill="0070C0"/>
                  <w:hideMark/>
                </w:tcPr>
                <w:p w14:paraId="09692B16" w14:textId="77777777" w:rsidR="0071110F" w:rsidRPr="008376E7"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20"/>
                      <w:szCs w:val="20"/>
                    </w:rPr>
                  </w:pPr>
                  <w:r w:rsidRPr="008376E7">
                    <w:rPr>
                      <w:rFonts w:asciiTheme="minorHAnsi" w:eastAsia="Times New Roman" w:hAnsiTheme="minorHAnsi" w:cstheme="minorHAnsi"/>
                      <w:b/>
                      <w:bCs/>
                      <w:color w:val="FFFFFF" w:themeColor="background1"/>
                      <w:sz w:val="20"/>
                      <w:szCs w:val="20"/>
                      <w:lang w:val="ro-RO"/>
                    </w:rPr>
                    <w:t>%</w:t>
                  </w:r>
                </w:p>
              </w:tc>
              <w:tc>
                <w:tcPr>
                  <w:tcW w:w="630" w:type="dxa"/>
                  <w:shd w:val="clear" w:color="auto" w:fill="0070C0"/>
                  <w:hideMark/>
                </w:tcPr>
                <w:p w14:paraId="22A68EA9" w14:textId="2363A793" w:rsidR="0071110F" w:rsidRPr="008376E7" w:rsidRDefault="003B54E4"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20"/>
                      <w:szCs w:val="20"/>
                    </w:rPr>
                  </w:pPr>
                  <w:r w:rsidRPr="008376E7">
                    <w:rPr>
                      <w:rFonts w:asciiTheme="minorHAnsi" w:eastAsia="Times New Roman" w:hAnsiTheme="minorHAnsi" w:cstheme="minorHAnsi"/>
                      <w:b/>
                      <w:bCs/>
                      <w:color w:val="FFFFFF" w:themeColor="background1"/>
                      <w:sz w:val="20"/>
                      <w:szCs w:val="20"/>
                      <w:lang w:val="ro-RO"/>
                    </w:rPr>
                    <w:t>#</w:t>
                  </w:r>
                </w:p>
              </w:tc>
              <w:tc>
                <w:tcPr>
                  <w:tcW w:w="720" w:type="dxa"/>
                  <w:shd w:val="clear" w:color="auto" w:fill="0070C0"/>
                  <w:hideMark/>
                </w:tcPr>
                <w:p w14:paraId="6ABBAE8D" w14:textId="77777777" w:rsidR="0071110F" w:rsidRPr="008376E7"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20"/>
                      <w:szCs w:val="20"/>
                    </w:rPr>
                  </w:pPr>
                  <w:r w:rsidRPr="008376E7">
                    <w:rPr>
                      <w:rFonts w:asciiTheme="minorHAnsi" w:eastAsia="Times New Roman" w:hAnsiTheme="minorHAnsi" w:cstheme="minorHAnsi"/>
                      <w:b/>
                      <w:bCs/>
                      <w:color w:val="FFFFFF" w:themeColor="background1"/>
                      <w:sz w:val="20"/>
                      <w:szCs w:val="20"/>
                      <w:lang w:val="ro-RO"/>
                    </w:rPr>
                    <w:t>%</w:t>
                  </w:r>
                </w:p>
              </w:tc>
              <w:tc>
                <w:tcPr>
                  <w:tcW w:w="810" w:type="dxa"/>
                  <w:shd w:val="clear" w:color="auto" w:fill="0070C0"/>
                  <w:hideMark/>
                </w:tcPr>
                <w:p w14:paraId="3D244A2A" w14:textId="5AB6CEB1" w:rsidR="0071110F" w:rsidRPr="008376E7" w:rsidRDefault="003B54E4"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20"/>
                      <w:szCs w:val="20"/>
                    </w:rPr>
                  </w:pPr>
                  <w:r w:rsidRPr="008376E7">
                    <w:rPr>
                      <w:rFonts w:asciiTheme="minorHAnsi" w:eastAsia="Times New Roman" w:hAnsiTheme="minorHAnsi" w:cstheme="minorHAnsi"/>
                      <w:b/>
                      <w:bCs/>
                      <w:color w:val="FFFFFF" w:themeColor="background1"/>
                      <w:sz w:val="20"/>
                      <w:szCs w:val="20"/>
                      <w:lang w:val="ro-RO"/>
                    </w:rPr>
                    <w:t>#</w:t>
                  </w:r>
                </w:p>
              </w:tc>
              <w:tc>
                <w:tcPr>
                  <w:tcW w:w="720" w:type="dxa"/>
                  <w:shd w:val="clear" w:color="auto" w:fill="0070C0"/>
                  <w:hideMark/>
                </w:tcPr>
                <w:p w14:paraId="343DF929" w14:textId="77777777" w:rsidR="0071110F" w:rsidRPr="008376E7"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20"/>
                      <w:szCs w:val="20"/>
                    </w:rPr>
                  </w:pPr>
                  <w:r w:rsidRPr="008376E7">
                    <w:rPr>
                      <w:rFonts w:asciiTheme="minorHAnsi" w:eastAsia="Times New Roman" w:hAnsiTheme="minorHAnsi" w:cstheme="minorHAnsi"/>
                      <w:b/>
                      <w:bCs/>
                      <w:color w:val="FFFFFF" w:themeColor="background1"/>
                      <w:sz w:val="20"/>
                      <w:szCs w:val="20"/>
                      <w:lang w:val="ro-RO"/>
                    </w:rPr>
                    <w:t>%</w:t>
                  </w:r>
                </w:p>
              </w:tc>
              <w:tc>
                <w:tcPr>
                  <w:tcW w:w="575" w:type="dxa"/>
                  <w:shd w:val="clear" w:color="auto" w:fill="0070C0"/>
                  <w:hideMark/>
                </w:tcPr>
                <w:p w14:paraId="488C73CF" w14:textId="1EFA79F5" w:rsidR="0071110F" w:rsidRPr="008376E7" w:rsidRDefault="003B54E4"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20"/>
                      <w:szCs w:val="20"/>
                    </w:rPr>
                  </w:pPr>
                  <w:r w:rsidRPr="008376E7">
                    <w:rPr>
                      <w:rFonts w:asciiTheme="minorHAnsi" w:eastAsia="Times New Roman" w:hAnsiTheme="minorHAnsi" w:cstheme="minorHAnsi"/>
                      <w:b/>
                      <w:bCs/>
                      <w:color w:val="FFFFFF" w:themeColor="background1"/>
                      <w:sz w:val="20"/>
                      <w:szCs w:val="20"/>
                      <w:lang w:val="ro-RO"/>
                    </w:rPr>
                    <w:t>#</w:t>
                  </w:r>
                </w:p>
              </w:tc>
              <w:tc>
                <w:tcPr>
                  <w:tcW w:w="775" w:type="dxa"/>
                  <w:shd w:val="clear" w:color="auto" w:fill="0070C0"/>
                  <w:hideMark/>
                </w:tcPr>
                <w:p w14:paraId="4F43A4D7" w14:textId="77777777" w:rsidR="0071110F" w:rsidRPr="008376E7"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20"/>
                      <w:szCs w:val="20"/>
                    </w:rPr>
                  </w:pPr>
                  <w:r w:rsidRPr="008376E7">
                    <w:rPr>
                      <w:rFonts w:asciiTheme="minorHAnsi" w:eastAsia="Times New Roman" w:hAnsiTheme="minorHAnsi" w:cstheme="minorHAnsi"/>
                      <w:b/>
                      <w:bCs/>
                      <w:color w:val="FFFFFF" w:themeColor="background1"/>
                      <w:sz w:val="20"/>
                      <w:szCs w:val="20"/>
                      <w:lang w:val="ro-RO"/>
                    </w:rPr>
                    <w:t>%</w:t>
                  </w:r>
                </w:p>
              </w:tc>
              <w:tc>
                <w:tcPr>
                  <w:tcW w:w="720" w:type="dxa"/>
                  <w:shd w:val="clear" w:color="auto" w:fill="0070C0"/>
                  <w:hideMark/>
                </w:tcPr>
                <w:p w14:paraId="7117A15F" w14:textId="0F5A7E30" w:rsidR="0071110F" w:rsidRPr="008376E7" w:rsidRDefault="003B54E4"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20"/>
                      <w:szCs w:val="20"/>
                    </w:rPr>
                  </w:pPr>
                  <w:r w:rsidRPr="008376E7">
                    <w:rPr>
                      <w:rFonts w:asciiTheme="minorHAnsi" w:eastAsia="Times New Roman" w:hAnsiTheme="minorHAnsi" w:cstheme="minorHAnsi"/>
                      <w:b/>
                      <w:bCs/>
                      <w:color w:val="FFFFFF" w:themeColor="background1"/>
                      <w:sz w:val="20"/>
                      <w:szCs w:val="20"/>
                      <w:lang w:val="ro-RO"/>
                    </w:rPr>
                    <w:t>#</w:t>
                  </w:r>
                </w:p>
              </w:tc>
              <w:tc>
                <w:tcPr>
                  <w:tcW w:w="720" w:type="dxa"/>
                  <w:shd w:val="clear" w:color="auto" w:fill="0070C0"/>
                  <w:hideMark/>
                </w:tcPr>
                <w:p w14:paraId="3296AE7A" w14:textId="77777777" w:rsidR="0071110F" w:rsidRPr="008376E7"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20"/>
                      <w:szCs w:val="20"/>
                    </w:rPr>
                  </w:pPr>
                  <w:r w:rsidRPr="008376E7">
                    <w:rPr>
                      <w:rFonts w:asciiTheme="minorHAnsi" w:eastAsia="Times New Roman" w:hAnsiTheme="minorHAnsi" w:cstheme="minorHAnsi"/>
                      <w:b/>
                      <w:bCs/>
                      <w:color w:val="FFFFFF" w:themeColor="background1"/>
                      <w:sz w:val="20"/>
                      <w:szCs w:val="20"/>
                      <w:lang w:val="ro-RO"/>
                    </w:rPr>
                    <w:t>%</w:t>
                  </w:r>
                </w:p>
              </w:tc>
              <w:tc>
                <w:tcPr>
                  <w:tcW w:w="721" w:type="dxa"/>
                  <w:shd w:val="clear" w:color="auto" w:fill="0070C0"/>
                  <w:hideMark/>
                </w:tcPr>
                <w:p w14:paraId="59B046A0" w14:textId="403D73EE" w:rsidR="0071110F" w:rsidRPr="008376E7" w:rsidRDefault="003B54E4"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20"/>
                      <w:szCs w:val="20"/>
                    </w:rPr>
                  </w:pPr>
                  <w:r w:rsidRPr="008376E7">
                    <w:rPr>
                      <w:rFonts w:asciiTheme="minorHAnsi" w:eastAsia="Times New Roman" w:hAnsiTheme="minorHAnsi" w:cstheme="minorHAnsi"/>
                      <w:b/>
                      <w:bCs/>
                      <w:color w:val="FFFFFF" w:themeColor="background1"/>
                      <w:sz w:val="20"/>
                      <w:szCs w:val="20"/>
                      <w:lang w:val="ro-RO"/>
                    </w:rPr>
                    <w:t>#</w:t>
                  </w:r>
                </w:p>
              </w:tc>
              <w:tc>
                <w:tcPr>
                  <w:tcW w:w="724" w:type="dxa"/>
                  <w:shd w:val="clear" w:color="auto" w:fill="0070C0"/>
                  <w:hideMark/>
                </w:tcPr>
                <w:p w14:paraId="5A924CD4" w14:textId="77777777" w:rsidR="0071110F" w:rsidRPr="008376E7"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20"/>
                      <w:szCs w:val="20"/>
                    </w:rPr>
                  </w:pPr>
                  <w:r w:rsidRPr="008376E7">
                    <w:rPr>
                      <w:rFonts w:asciiTheme="minorHAnsi" w:eastAsia="Times New Roman" w:hAnsiTheme="minorHAnsi" w:cstheme="minorHAnsi"/>
                      <w:b/>
                      <w:bCs/>
                      <w:color w:val="FFFFFF" w:themeColor="background1"/>
                      <w:sz w:val="20"/>
                      <w:szCs w:val="20"/>
                      <w:lang w:val="ro-RO"/>
                    </w:rPr>
                    <w:t>%</w:t>
                  </w:r>
                </w:p>
              </w:tc>
            </w:tr>
            <w:tr w:rsidR="0071110F" w:rsidRPr="005E1DFF" w14:paraId="187F3F4B" w14:textId="77777777" w:rsidTr="003D67DA">
              <w:trPr>
                <w:trHeight w:val="300"/>
              </w:trPr>
              <w:tc>
                <w:tcPr>
                  <w:cnfStyle w:val="001000000000" w:firstRow="0" w:lastRow="0" w:firstColumn="1" w:lastColumn="0" w:oddVBand="0" w:evenVBand="0" w:oddHBand="0" w:evenHBand="0" w:firstRowFirstColumn="0" w:firstRowLastColumn="0" w:lastRowFirstColumn="0" w:lastRowLastColumn="0"/>
                  <w:tcW w:w="1765" w:type="dxa"/>
                  <w:noWrap/>
                  <w:hideMark/>
                </w:tcPr>
                <w:p w14:paraId="6D88ACF3" w14:textId="77777777" w:rsidR="0071110F" w:rsidRPr="00011D45" w:rsidRDefault="0071110F" w:rsidP="00781834">
                  <w:pPr>
                    <w:spacing w:after="0" w:line="240" w:lineRule="auto"/>
                    <w:rPr>
                      <w:rFonts w:eastAsia="Times New Roman" w:cs="Arial"/>
                      <w:color w:val="000000"/>
                      <w:sz w:val="18"/>
                      <w:szCs w:val="20"/>
                    </w:rPr>
                  </w:pPr>
                  <w:r w:rsidRPr="00011D45">
                    <w:rPr>
                      <w:rFonts w:eastAsia="Times New Roman" w:cs="Arial"/>
                      <w:color w:val="000000"/>
                      <w:sz w:val="18"/>
                      <w:szCs w:val="20"/>
                    </w:rPr>
                    <w:t>LTFU, new and relapse</w:t>
                  </w:r>
                </w:p>
              </w:tc>
              <w:tc>
                <w:tcPr>
                  <w:tcW w:w="720" w:type="dxa"/>
                  <w:hideMark/>
                </w:tcPr>
                <w:p w14:paraId="2F5FEAD4"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276</w:t>
                  </w:r>
                </w:p>
              </w:tc>
              <w:tc>
                <w:tcPr>
                  <w:tcW w:w="630" w:type="dxa"/>
                  <w:hideMark/>
                </w:tcPr>
                <w:p w14:paraId="0DC086EF"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7.1</w:t>
                  </w:r>
                </w:p>
              </w:tc>
              <w:tc>
                <w:tcPr>
                  <w:tcW w:w="630" w:type="dxa"/>
                  <w:hideMark/>
                </w:tcPr>
                <w:p w14:paraId="2E052FFB"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189</w:t>
                  </w:r>
                </w:p>
              </w:tc>
              <w:tc>
                <w:tcPr>
                  <w:tcW w:w="720" w:type="dxa"/>
                  <w:hideMark/>
                </w:tcPr>
                <w:p w14:paraId="180E69A8"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5.5</w:t>
                  </w:r>
                </w:p>
              </w:tc>
              <w:tc>
                <w:tcPr>
                  <w:tcW w:w="810" w:type="dxa"/>
                  <w:hideMark/>
                </w:tcPr>
                <w:p w14:paraId="7BF811B8"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137</w:t>
                  </w:r>
                </w:p>
              </w:tc>
              <w:tc>
                <w:tcPr>
                  <w:tcW w:w="720" w:type="dxa"/>
                  <w:hideMark/>
                </w:tcPr>
                <w:p w14:paraId="76CCA8D1"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4.6</w:t>
                  </w:r>
                </w:p>
              </w:tc>
              <w:tc>
                <w:tcPr>
                  <w:tcW w:w="575" w:type="dxa"/>
                  <w:hideMark/>
                </w:tcPr>
                <w:p w14:paraId="24754633"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123</w:t>
                  </w:r>
                </w:p>
              </w:tc>
              <w:tc>
                <w:tcPr>
                  <w:tcW w:w="775" w:type="dxa"/>
                  <w:hideMark/>
                </w:tcPr>
                <w:p w14:paraId="4212D823"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4.0</w:t>
                  </w:r>
                </w:p>
              </w:tc>
              <w:tc>
                <w:tcPr>
                  <w:tcW w:w="720" w:type="dxa"/>
                  <w:hideMark/>
                </w:tcPr>
                <w:p w14:paraId="67FA86BC"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123</w:t>
                  </w:r>
                </w:p>
              </w:tc>
              <w:tc>
                <w:tcPr>
                  <w:tcW w:w="720" w:type="dxa"/>
                  <w:hideMark/>
                </w:tcPr>
                <w:p w14:paraId="110FDA34"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4.5</w:t>
                  </w:r>
                </w:p>
              </w:tc>
              <w:tc>
                <w:tcPr>
                  <w:tcW w:w="721" w:type="dxa"/>
                  <w:hideMark/>
                </w:tcPr>
                <w:p w14:paraId="2832B2B1"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66</w:t>
                  </w:r>
                </w:p>
              </w:tc>
              <w:tc>
                <w:tcPr>
                  <w:tcW w:w="724" w:type="dxa"/>
                  <w:hideMark/>
                </w:tcPr>
                <w:p w14:paraId="3BFDF3D0"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2.9</w:t>
                  </w:r>
                </w:p>
              </w:tc>
            </w:tr>
            <w:tr w:rsidR="0071110F" w:rsidRPr="005E1DFF" w14:paraId="4B853CBA" w14:textId="77777777" w:rsidTr="003D67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65" w:type="dxa"/>
                  <w:noWrap/>
                  <w:hideMark/>
                </w:tcPr>
                <w:p w14:paraId="64ABD3B8" w14:textId="77777777" w:rsidR="0071110F" w:rsidRPr="00011D45" w:rsidRDefault="0071110F" w:rsidP="00781834">
                  <w:pPr>
                    <w:spacing w:after="0" w:line="240" w:lineRule="auto"/>
                    <w:rPr>
                      <w:rFonts w:eastAsia="Times New Roman" w:cs="Arial"/>
                      <w:color w:val="000000"/>
                      <w:sz w:val="18"/>
                      <w:szCs w:val="20"/>
                    </w:rPr>
                  </w:pPr>
                  <w:r w:rsidRPr="00011D45">
                    <w:rPr>
                      <w:rFonts w:eastAsia="Times New Roman" w:cs="Arial"/>
                      <w:color w:val="000000"/>
                      <w:sz w:val="18"/>
                      <w:szCs w:val="20"/>
                      <w:lang w:val="ro-RO"/>
                    </w:rPr>
                    <w:t>of LTFU, outmigration</w:t>
                  </w:r>
                </w:p>
              </w:tc>
              <w:tc>
                <w:tcPr>
                  <w:tcW w:w="720" w:type="dxa"/>
                  <w:hideMark/>
                </w:tcPr>
                <w:p w14:paraId="2EE631E1"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66</w:t>
                  </w:r>
                </w:p>
              </w:tc>
              <w:tc>
                <w:tcPr>
                  <w:tcW w:w="630" w:type="dxa"/>
                  <w:hideMark/>
                </w:tcPr>
                <w:p w14:paraId="50145E21"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23.9</w:t>
                  </w:r>
                </w:p>
              </w:tc>
              <w:tc>
                <w:tcPr>
                  <w:tcW w:w="630" w:type="dxa"/>
                  <w:hideMark/>
                </w:tcPr>
                <w:p w14:paraId="386BE637"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50</w:t>
                  </w:r>
                </w:p>
              </w:tc>
              <w:tc>
                <w:tcPr>
                  <w:tcW w:w="720" w:type="dxa"/>
                  <w:hideMark/>
                </w:tcPr>
                <w:p w14:paraId="1E6B97BC"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26.5</w:t>
                  </w:r>
                </w:p>
              </w:tc>
              <w:tc>
                <w:tcPr>
                  <w:tcW w:w="810" w:type="dxa"/>
                  <w:hideMark/>
                </w:tcPr>
                <w:p w14:paraId="20A8D347"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43</w:t>
                  </w:r>
                </w:p>
              </w:tc>
              <w:tc>
                <w:tcPr>
                  <w:tcW w:w="720" w:type="dxa"/>
                  <w:hideMark/>
                </w:tcPr>
                <w:p w14:paraId="07BE0551"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31.4</w:t>
                  </w:r>
                </w:p>
              </w:tc>
              <w:tc>
                <w:tcPr>
                  <w:tcW w:w="575" w:type="dxa"/>
                  <w:hideMark/>
                </w:tcPr>
                <w:p w14:paraId="1FDEA295"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39</w:t>
                  </w:r>
                </w:p>
              </w:tc>
              <w:tc>
                <w:tcPr>
                  <w:tcW w:w="775" w:type="dxa"/>
                  <w:hideMark/>
                </w:tcPr>
                <w:p w14:paraId="3B1003C6"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31.7</w:t>
                  </w:r>
                </w:p>
              </w:tc>
              <w:tc>
                <w:tcPr>
                  <w:tcW w:w="720" w:type="dxa"/>
                  <w:hideMark/>
                </w:tcPr>
                <w:p w14:paraId="706D8E01"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27</w:t>
                  </w:r>
                </w:p>
              </w:tc>
              <w:tc>
                <w:tcPr>
                  <w:tcW w:w="720" w:type="dxa"/>
                  <w:hideMark/>
                </w:tcPr>
                <w:p w14:paraId="35EDBCB7"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22.0</w:t>
                  </w:r>
                </w:p>
              </w:tc>
              <w:tc>
                <w:tcPr>
                  <w:tcW w:w="721" w:type="dxa"/>
                  <w:hideMark/>
                </w:tcPr>
                <w:p w14:paraId="7C6D9829"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24</w:t>
                  </w:r>
                </w:p>
              </w:tc>
              <w:tc>
                <w:tcPr>
                  <w:tcW w:w="724" w:type="dxa"/>
                  <w:hideMark/>
                </w:tcPr>
                <w:p w14:paraId="13735B60"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38.7</w:t>
                  </w:r>
                </w:p>
              </w:tc>
            </w:tr>
            <w:bookmarkEnd w:id="2"/>
            <w:tr w:rsidR="0071110F" w:rsidRPr="005E1DFF" w14:paraId="7844AA58" w14:textId="77777777" w:rsidTr="003D67DA">
              <w:trPr>
                <w:trHeight w:val="300"/>
              </w:trPr>
              <w:tc>
                <w:tcPr>
                  <w:cnfStyle w:val="001000000000" w:firstRow="0" w:lastRow="0" w:firstColumn="1" w:lastColumn="0" w:oddVBand="0" w:evenVBand="0" w:oddHBand="0" w:evenHBand="0" w:firstRowFirstColumn="0" w:firstRowLastColumn="0" w:lastRowFirstColumn="0" w:lastRowLastColumn="0"/>
                  <w:tcW w:w="1765" w:type="dxa"/>
                  <w:noWrap/>
                  <w:hideMark/>
                </w:tcPr>
                <w:p w14:paraId="51779704" w14:textId="77777777" w:rsidR="0071110F" w:rsidRPr="00011D45" w:rsidRDefault="0071110F" w:rsidP="00781834">
                  <w:pPr>
                    <w:spacing w:after="0" w:line="240" w:lineRule="auto"/>
                    <w:rPr>
                      <w:rFonts w:eastAsia="Times New Roman" w:cs="Arial"/>
                      <w:color w:val="000000"/>
                      <w:sz w:val="18"/>
                      <w:szCs w:val="20"/>
                    </w:rPr>
                  </w:pPr>
                  <w:r w:rsidRPr="00011D45">
                    <w:rPr>
                      <w:rFonts w:eastAsia="Times New Roman" w:cs="Arial"/>
                      <w:color w:val="000000"/>
                      <w:sz w:val="18"/>
                      <w:szCs w:val="20"/>
                    </w:rPr>
                    <w:t>LTFU MDR, total</w:t>
                  </w:r>
                </w:p>
              </w:tc>
              <w:tc>
                <w:tcPr>
                  <w:tcW w:w="720" w:type="dxa"/>
                  <w:hideMark/>
                </w:tcPr>
                <w:p w14:paraId="73E9606C"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194</w:t>
                  </w:r>
                </w:p>
              </w:tc>
              <w:tc>
                <w:tcPr>
                  <w:tcW w:w="630" w:type="dxa"/>
                  <w:hideMark/>
                </w:tcPr>
                <w:p w14:paraId="5B25059F"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20.6</w:t>
                  </w:r>
                </w:p>
              </w:tc>
              <w:tc>
                <w:tcPr>
                  <w:tcW w:w="630" w:type="dxa"/>
                  <w:hideMark/>
                </w:tcPr>
                <w:p w14:paraId="36557E4D"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188</w:t>
                  </w:r>
                </w:p>
              </w:tc>
              <w:tc>
                <w:tcPr>
                  <w:tcW w:w="720" w:type="dxa"/>
                  <w:hideMark/>
                </w:tcPr>
                <w:p w14:paraId="08DB2C23"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20.5</w:t>
                  </w:r>
                </w:p>
              </w:tc>
              <w:tc>
                <w:tcPr>
                  <w:tcW w:w="810" w:type="dxa"/>
                  <w:hideMark/>
                </w:tcPr>
                <w:p w14:paraId="5B38FE39"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202</w:t>
                  </w:r>
                </w:p>
              </w:tc>
              <w:tc>
                <w:tcPr>
                  <w:tcW w:w="720" w:type="dxa"/>
                  <w:hideMark/>
                </w:tcPr>
                <w:p w14:paraId="347DC3CC"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20.3</w:t>
                  </w:r>
                </w:p>
              </w:tc>
              <w:tc>
                <w:tcPr>
                  <w:tcW w:w="575" w:type="dxa"/>
                  <w:hideMark/>
                </w:tcPr>
                <w:p w14:paraId="57CD42F3"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198</w:t>
                  </w:r>
                </w:p>
              </w:tc>
              <w:tc>
                <w:tcPr>
                  <w:tcW w:w="775" w:type="dxa"/>
                  <w:hideMark/>
                </w:tcPr>
                <w:p w14:paraId="788E35F2"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20.2</w:t>
                  </w:r>
                </w:p>
              </w:tc>
              <w:tc>
                <w:tcPr>
                  <w:tcW w:w="720" w:type="dxa"/>
                  <w:hideMark/>
                </w:tcPr>
                <w:p w14:paraId="02B884AC"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197</w:t>
                  </w:r>
                </w:p>
              </w:tc>
              <w:tc>
                <w:tcPr>
                  <w:tcW w:w="720" w:type="dxa"/>
                  <w:hideMark/>
                </w:tcPr>
                <w:p w14:paraId="7BC6626B"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20.2</w:t>
                  </w:r>
                </w:p>
              </w:tc>
              <w:tc>
                <w:tcPr>
                  <w:tcW w:w="721" w:type="dxa"/>
                  <w:noWrap/>
                  <w:hideMark/>
                </w:tcPr>
                <w:p w14:paraId="04BA9BF6"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rPr>
                  </w:pPr>
                  <w:r w:rsidRPr="00011D45">
                    <w:rPr>
                      <w:rFonts w:eastAsia="Times New Roman" w:cs="Arial"/>
                      <w:color w:val="000000"/>
                      <w:sz w:val="18"/>
                    </w:rPr>
                    <w:t> NA</w:t>
                  </w:r>
                </w:p>
              </w:tc>
              <w:tc>
                <w:tcPr>
                  <w:tcW w:w="724" w:type="dxa"/>
                  <w:noWrap/>
                  <w:hideMark/>
                </w:tcPr>
                <w:p w14:paraId="05FDE4F1" w14:textId="77777777" w:rsidR="0071110F" w:rsidRPr="00011D4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rPr>
                  </w:pPr>
                  <w:r w:rsidRPr="00011D45">
                    <w:rPr>
                      <w:rFonts w:eastAsia="Times New Roman" w:cs="Arial"/>
                      <w:color w:val="000000"/>
                      <w:sz w:val="18"/>
                    </w:rPr>
                    <w:t> NA</w:t>
                  </w:r>
                </w:p>
              </w:tc>
            </w:tr>
            <w:tr w:rsidR="0071110F" w:rsidRPr="005E1DFF" w14:paraId="3DFBC7A3" w14:textId="77777777" w:rsidTr="003D67D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65" w:type="dxa"/>
                  <w:noWrap/>
                  <w:hideMark/>
                </w:tcPr>
                <w:p w14:paraId="7D47E607" w14:textId="77777777" w:rsidR="0071110F" w:rsidRPr="00011D45" w:rsidRDefault="0071110F" w:rsidP="00781834">
                  <w:pPr>
                    <w:spacing w:after="0" w:line="240" w:lineRule="auto"/>
                    <w:rPr>
                      <w:rFonts w:eastAsia="Times New Roman" w:cs="Arial"/>
                      <w:color w:val="000000"/>
                      <w:sz w:val="18"/>
                      <w:szCs w:val="20"/>
                    </w:rPr>
                  </w:pPr>
                  <w:r w:rsidRPr="00011D45">
                    <w:rPr>
                      <w:rFonts w:eastAsia="Times New Roman" w:cs="Arial"/>
                      <w:color w:val="000000"/>
                      <w:sz w:val="18"/>
                      <w:szCs w:val="20"/>
                      <w:lang w:val="ro-RO"/>
                    </w:rPr>
                    <w:t>of LTFU, outmigration</w:t>
                  </w:r>
                </w:p>
              </w:tc>
              <w:tc>
                <w:tcPr>
                  <w:tcW w:w="720" w:type="dxa"/>
                  <w:noWrap/>
                  <w:hideMark/>
                </w:tcPr>
                <w:p w14:paraId="4A50A8AE"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50</w:t>
                  </w:r>
                </w:p>
              </w:tc>
              <w:tc>
                <w:tcPr>
                  <w:tcW w:w="630" w:type="dxa"/>
                  <w:noWrap/>
                  <w:hideMark/>
                </w:tcPr>
                <w:p w14:paraId="13640B15"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25.8</w:t>
                  </w:r>
                </w:p>
              </w:tc>
              <w:tc>
                <w:tcPr>
                  <w:tcW w:w="630" w:type="dxa"/>
                  <w:noWrap/>
                  <w:hideMark/>
                </w:tcPr>
                <w:p w14:paraId="0009DF60"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38</w:t>
                  </w:r>
                </w:p>
              </w:tc>
              <w:tc>
                <w:tcPr>
                  <w:tcW w:w="720" w:type="dxa"/>
                  <w:noWrap/>
                  <w:hideMark/>
                </w:tcPr>
                <w:p w14:paraId="15CB28F0"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20.2</w:t>
                  </w:r>
                </w:p>
              </w:tc>
              <w:tc>
                <w:tcPr>
                  <w:tcW w:w="810" w:type="dxa"/>
                  <w:noWrap/>
                  <w:hideMark/>
                </w:tcPr>
                <w:p w14:paraId="2DEE4878"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31</w:t>
                  </w:r>
                </w:p>
              </w:tc>
              <w:tc>
                <w:tcPr>
                  <w:tcW w:w="720" w:type="dxa"/>
                  <w:noWrap/>
                  <w:hideMark/>
                </w:tcPr>
                <w:p w14:paraId="295EFD74"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15.4</w:t>
                  </w:r>
                </w:p>
              </w:tc>
              <w:tc>
                <w:tcPr>
                  <w:tcW w:w="575" w:type="dxa"/>
                  <w:noWrap/>
                  <w:hideMark/>
                </w:tcPr>
                <w:p w14:paraId="3C2E14F2"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37</w:t>
                  </w:r>
                </w:p>
              </w:tc>
              <w:tc>
                <w:tcPr>
                  <w:tcW w:w="775" w:type="dxa"/>
                  <w:noWrap/>
                  <w:hideMark/>
                </w:tcPr>
                <w:p w14:paraId="4EE65E88"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18.7</w:t>
                  </w:r>
                </w:p>
              </w:tc>
              <w:tc>
                <w:tcPr>
                  <w:tcW w:w="720" w:type="dxa"/>
                  <w:noWrap/>
                  <w:hideMark/>
                </w:tcPr>
                <w:p w14:paraId="76C56058"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39</w:t>
                  </w:r>
                </w:p>
              </w:tc>
              <w:tc>
                <w:tcPr>
                  <w:tcW w:w="720" w:type="dxa"/>
                  <w:noWrap/>
                  <w:hideMark/>
                </w:tcPr>
                <w:p w14:paraId="0D0E011D"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rPr>
                  </w:pPr>
                  <w:r w:rsidRPr="00011D45">
                    <w:rPr>
                      <w:rFonts w:eastAsia="Times New Roman" w:cs="Arial"/>
                      <w:color w:val="000000"/>
                      <w:sz w:val="18"/>
                      <w:szCs w:val="20"/>
                      <w:lang w:val="ro-RO"/>
                    </w:rPr>
                    <w:t>19.8</w:t>
                  </w:r>
                </w:p>
              </w:tc>
              <w:tc>
                <w:tcPr>
                  <w:tcW w:w="721" w:type="dxa"/>
                  <w:noWrap/>
                  <w:hideMark/>
                </w:tcPr>
                <w:p w14:paraId="6D4D73CC"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rPr>
                  </w:pPr>
                  <w:r w:rsidRPr="00011D45">
                    <w:rPr>
                      <w:rFonts w:eastAsia="Times New Roman" w:cs="Arial"/>
                      <w:color w:val="000000"/>
                      <w:sz w:val="18"/>
                    </w:rPr>
                    <w:t> NA</w:t>
                  </w:r>
                </w:p>
              </w:tc>
              <w:tc>
                <w:tcPr>
                  <w:tcW w:w="724" w:type="dxa"/>
                  <w:noWrap/>
                  <w:hideMark/>
                </w:tcPr>
                <w:p w14:paraId="4F605723" w14:textId="77777777" w:rsidR="0071110F" w:rsidRPr="00011D4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rPr>
                  </w:pPr>
                  <w:r w:rsidRPr="00011D45">
                    <w:rPr>
                      <w:rFonts w:eastAsia="Times New Roman" w:cs="Arial"/>
                      <w:color w:val="000000"/>
                      <w:sz w:val="18"/>
                    </w:rPr>
                    <w:t> NA</w:t>
                  </w:r>
                </w:p>
              </w:tc>
            </w:tr>
          </w:tbl>
          <w:p w14:paraId="64E2065A" w14:textId="3A29B926" w:rsidR="003B54E4" w:rsidRPr="00494D85" w:rsidRDefault="003B54E4" w:rsidP="003B54E4">
            <w:pPr>
              <w:spacing w:after="0" w:line="240" w:lineRule="auto"/>
              <w:jc w:val="both"/>
              <w:rPr>
                <w:rFonts w:asciiTheme="minorHAnsi" w:hAnsiTheme="minorHAnsi" w:cstheme="minorHAnsi"/>
                <w:sz w:val="16"/>
                <w:szCs w:val="16"/>
              </w:rPr>
            </w:pPr>
            <w:r w:rsidRPr="003D67DA">
              <w:rPr>
                <w:rFonts w:asciiTheme="minorHAnsi" w:hAnsiTheme="minorHAnsi" w:cstheme="minorHAnsi"/>
                <w:sz w:val="16"/>
                <w:szCs w:val="16"/>
              </w:rPr>
              <w:t>Source:</w:t>
            </w:r>
            <w:r w:rsidRPr="00494D85">
              <w:rPr>
                <w:rFonts w:asciiTheme="minorHAnsi" w:hAnsiTheme="minorHAnsi" w:cstheme="minorHAnsi"/>
                <w:sz w:val="16"/>
                <w:szCs w:val="16"/>
              </w:rPr>
              <w:t xml:space="preserve"> </w:t>
            </w:r>
            <w:r w:rsidRPr="0007215E">
              <w:rPr>
                <w:rFonts w:asciiTheme="minorHAnsi" w:hAnsiTheme="minorHAnsi" w:cstheme="minorHAnsi"/>
                <w:sz w:val="16"/>
                <w:szCs w:val="16"/>
              </w:rPr>
              <w:t>NTCP data</w:t>
            </w:r>
            <w:r w:rsidR="00297706">
              <w:rPr>
                <w:rFonts w:asciiTheme="minorHAnsi" w:hAnsiTheme="minorHAnsi" w:cstheme="minorHAnsi"/>
                <w:sz w:val="16"/>
                <w:szCs w:val="16"/>
              </w:rPr>
              <w:t xml:space="preserve"> extracted from SIME TB </w:t>
            </w:r>
          </w:p>
          <w:p w14:paraId="0B5D9AB6" w14:textId="77777777" w:rsidR="00E01C09" w:rsidRDefault="00E01C09" w:rsidP="00781834">
            <w:pPr>
              <w:spacing w:after="0" w:line="240" w:lineRule="auto"/>
              <w:jc w:val="both"/>
              <w:rPr>
                <w:rStyle w:val="e24kjd"/>
                <w:rFonts w:asciiTheme="majorHAnsi" w:hAnsiTheme="majorHAnsi" w:cstheme="majorHAnsi"/>
                <w:b/>
                <w:sz w:val="20"/>
              </w:rPr>
            </w:pPr>
          </w:p>
          <w:p w14:paraId="151439C2" w14:textId="77777777" w:rsidR="002772A6" w:rsidRDefault="002772A6" w:rsidP="00781834">
            <w:pPr>
              <w:spacing w:after="0" w:line="240" w:lineRule="auto"/>
              <w:jc w:val="both"/>
              <w:rPr>
                <w:rStyle w:val="e24kjd"/>
                <w:rFonts w:asciiTheme="majorHAnsi" w:hAnsiTheme="majorHAnsi" w:cstheme="majorHAnsi"/>
                <w:b/>
                <w:sz w:val="20"/>
              </w:rPr>
            </w:pPr>
          </w:p>
          <w:p w14:paraId="6D1DD625" w14:textId="77777777" w:rsidR="002772A6" w:rsidRDefault="002772A6" w:rsidP="00781834">
            <w:pPr>
              <w:spacing w:after="0" w:line="240" w:lineRule="auto"/>
              <w:jc w:val="both"/>
              <w:rPr>
                <w:rStyle w:val="e24kjd"/>
                <w:rFonts w:asciiTheme="majorHAnsi" w:hAnsiTheme="majorHAnsi" w:cstheme="majorHAnsi"/>
                <w:b/>
                <w:sz w:val="20"/>
              </w:rPr>
            </w:pPr>
          </w:p>
          <w:p w14:paraId="3E1A40E2" w14:textId="77777777" w:rsidR="002772A6" w:rsidRDefault="002772A6" w:rsidP="00781834">
            <w:pPr>
              <w:spacing w:after="0" w:line="240" w:lineRule="auto"/>
              <w:jc w:val="both"/>
              <w:rPr>
                <w:rStyle w:val="e24kjd"/>
                <w:rFonts w:asciiTheme="majorHAnsi" w:hAnsiTheme="majorHAnsi" w:cstheme="majorHAnsi"/>
                <w:b/>
                <w:sz w:val="20"/>
              </w:rPr>
            </w:pPr>
          </w:p>
          <w:p w14:paraId="02AD3811" w14:textId="25F4DEF6" w:rsidR="0071110F" w:rsidRPr="003B54E4" w:rsidRDefault="0071110F" w:rsidP="00781834">
            <w:pPr>
              <w:spacing w:after="0" w:line="240" w:lineRule="auto"/>
              <w:jc w:val="both"/>
              <w:rPr>
                <w:rStyle w:val="e24kjd"/>
                <w:rFonts w:asciiTheme="majorHAnsi" w:hAnsiTheme="majorHAnsi" w:cstheme="majorHAnsi"/>
                <w:b/>
                <w:sz w:val="20"/>
              </w:rPr>
            </w:pPr>
            <w:r w:rsidRPr="003B54E4">
              <w:rPr>
                <w:rStyle w:val="e24kjd"/>
                <w:rFonts w:asciiTheme="majorHAnsi" w:hAnsiTheme="majorHAnsi" w:cstheme="majorHAnsi"/>
                <w:b/>
                <w:sz w:val="20"/>
              </w:rPr>
              <w:lastRenderedPageBreak/>
              <w:t>TB Response: progress, challenges and opportunities</w:t>
            </w:r>
          </w:p>
          <w:p w14:paraId="79345E63" w14:textId="48E47437" w:rsidR="0071110F" w:rsidRPr="004B7D67" w:rsidRDefault="0071110F" w:rsidP="00781834">
            <w:pPr>
              <w:jc w:val="both"/>
              <w:rPr>
                <w:rFonts w:asciiTheme="majorHAnsi" w:hAnsiTheme="majorHAnsi" w:cstheme="majorHAnsi"/>
                <w:sz w:val="20"/>
                <w:szCs w:val="20"/>
              </w:rPr>
            </w:pPr>
            <w:r>
              <w:rPr>
                <w:rFonts w:asciiTheme="majorHAnsi" w:hAnsiTheme="majorHAnsi" w:cstheme="majorHAnsi"/>
                <w:sz w:val="20"/>
                <w:szCs w:val="20"/>
              </w:rPr>
              <w:t>The Ministry of Health, L</w:t>
            </w:r>
            <w:r w:rsidRPr="0095220B">
              <w:rPr>
                <w:rFonts w:asciiTheme="majorHAnsi" w:hAnsiTheme="majorHAnsi" w:cstheme="majorHAnsi"/>
                <w:sz w:val="20"/>
                <w:szCs w:val="20"/>
              </w:rPr>
              <w:t>abor</w:t>
            </w:r>
            <w:r>
              <w:rPr>
                <w:rFonts w:asciiTheme="majorHAnsi" w:hAnsiTheme="majorHAnsi" w:cstheme="majorHAnsi"/>
                <w:sz w:val="20"/>
                <w:szCs w:val="20"/>
              </w:rPr>
              <w:t xml:space="preserve"> and Social Protection</w:t>
            </w:r>
            <w:r w:rsidRPr="0095220B">
              <w:rPr>
                <w:rFonts w:asciiTheme="majorHAnsi" w:hAnsiTheme="majorHAnsi" w:cstheme="majorHAnsi"/>
                <w:sz w:val="20"/>
                <w:szCs w:val="20"/>
              </w:rPr>
              <w:t xml:space="preserve"> has</w:t>
            </w:r>
            <w:r w:rsidR="003D67DA">
              <w:rPr>
                <w:rFonts w:asciiTheme="majorHAnsi" w:hAnsiTheme="majorHAnsi" w:cstheme="majorHAnsi"/>
                <w:sz w:val="20"/>
                <w:szCs w:val="20"/>
              </w:rPr>
              <w:t xml:space="preserve"> the</w:t>
            </w:r>
            <w:r w:rsidRPr="0095220B">
              <w:rPr>
                <w:rFonts w:asciiTheme="majorHAnsi" w:hAnsiTheme="majorHAnsi" w:cstheme="majorHAnsi"/>
                <w:sz w:val="20"/>
                <w:szCs w:val="20"/>
              </w:rPr>
              <w:t xml:space="preserve"> primary responsibility of TB</w:t>
            </w:r>
            <w:r>
              <w:rPr>
                <w:rFonts w:asciiTheme="majorHAnsi" w:hAnsiTheme="majorHAnsi" w:cstheme="majorHAnsi"/>
                <w:sz w:val="20"/>
                <w:szCs w:val="20"/>
              </w:rPr>
              <w:t xml:space="preserve"> response</w:t>
            </w:r>
            <w:r w:rsidRPr="0095220B">
              <w:rPr>
                <w:rFonts w:asciiTheme="majorHAnsi" w:hAnsiTheme="majorHAnsi" w:cstheme="majorHAnsi"/>
                <w:sz w:val="20"/>
                <w:szCs w:val="20"/>
              </w:rPr>
              <w:t xml:space="preserve"> in the country</w:t>
            </w:r>
            <w:r w:rsidRPr="0070659E">
              <w:rPr>
                <w:rFonts w:asciiTheme="majorHAnsi" w:hAnsiTheme="majorHAnsi" w:cstheme="majorHAnsi"/>
                <w:sz w:val="20"/>
                <w:szCs w:val="20"/>
              </w:rPr>
              <w:t xml:space="preserve"> and multidrug resistant-TB (MDR-TB) is clearly recognized as a public health emergency</w:t>
            </w:r>
            <w:r w:rsidR="008912E9">
              <w:rPr>
                <w:rFonts w:asciiTheme="majorHAnsi" w:hAnsiTheme="majorHAnsi" w:cstheme="majorHAnsi"/>
                <w:sz w:val="20"/>
                <w:szCs w:val="20"/>
              </w:rPr>
              <w:t>.</w:t>
            </w:r>
            <w:r w:rsidRPr="0095220B">
              <w:rPr>
                <w:rFonts w:asciiTheme="majorHAnsi" w:hAnsiTheme="majorHAnsi" w:cstheme="majorHAnsi"/>
                <w:sz w:val="20"/>
                <w:szCs w:val="20"/>
              </w:rPr>
              <w:t xml:space="preserve"> Implementation of the National TB control programme</w:t>
            </w:r>
            <w:r w:rsidR="003B54E4">
              <w:rPr>
                <w:rFonts w:asciiTheme="majorHAnsi" w:hAnsiTheme="majorHAnsi" w:cstheme="majorHAnsi"/>
                <w:sz w:val="20"/>
                <w:szCs w:val="20"/>
              </w:rPr>
              <w:t xml:space="preserve"> (NTCP)</w:t>
            </w:r>
            <w:r w:rsidRPr="0095220B">
              <w:rPr>
                <w:rFonts w:asciiTheme="majorHAnsi" w:hAnsiTheme="majorHAnsi" w:cstheme="majorHAnsi"/>
                <w:sz w:val="20"/>
                <w:szCs w:val="20"/>
              </w:rPr>
              <w:t xml:space="preserve"> is coordinated by the NTCP Coordination unit which is the structural unit under the Institute of Phthisio-Pulmonology “</w:t>
            </w:r>
            <w:r>
              <w:rPr>
                <w:rFonts w:asciiTheme="majorHAnsi" w:hAnsiTheme="majorHAnsi" w:cstheme="majorHAnsi"/>
                <w:sz w:val="20"/>
                <w:szCs w:val="20"/>
              </w:rPr>
              <w:t>Chi</w:t>
            </w:r>
            <w:r w:rsidR="003B54E4">
              <w:rPr>
                <w:rFonts w:asciiTheme="majorHAnsi" w:hAnsiTheme="majorHAnsi" w:cstheme="majorHAnsi"/>
                <w:sz w:val="20"/>
                <w:szCs w:val="20"/>
              </w:rPr>
              <w:t>ril Draganiuc</w:t>
            </w:r>
            <w:r w:rsidRPr="0095220B">
              <w:rPr>
                <w:rFonts w:asciiTheme="majorHAnsi" w:hAnsiTheme="majorHAnsi" w:cstheme="majorHAnsi"/>
                <w:sz w:val="20"/>
                <w:szCs w:val="20"/>
              </w:rPr>
              <w:t>”</w:t>
            </w:r>
            <w:r w:rsidR="003B54E4">
              <w:rPr>
                <w:rFonts w:asciiTheme="majorHAnsi" w:hAnsiTheme="majorHAnsi" w:cstheme="majorHAnsi"/>
                <w:sz w:val="20"/>
                <w:szCs w:val="20"/>
              </w:rPr>
              <w:t xml:space="preserve"> (IFP)</w:t>
            </w:r>
            <w:r w:rsidRPr="0095220B">
              <w:rPr>
                <w:rFonts w:asciiTheme="majorHAnsi" w:hAnsiTheme="majorHAnsi" w:cstheme="majorHAnsi"/>
                <w:sz w:val="20"/>
                <w:szCs w:val="20"/>
              </w:rPr>
              <w:t>. The Coordinator of the NTCP is also appointed as the deputy director of the Institute.</w:t>
            </w:r>
            <w:r w:rsidR="008912E9">
              <w:rPr>
                <w:rFonts w:asciiTheme="majorHAnsi" w:hAnsiTheme="majorHAnsi" w:cstheme="majorHAnsi"/>
                <w:sz w:val="20"/>
                <w:szCs w:val="20"/>
              </w:rPr>
              <w:t xml:space="preserve"> </w:t>
            </w:r>
            <w:r w:rsidRPr="004B7D67">
              <w:rPr>
                <w:rFonts w:asciiTheme="majorHAnsi" w:hAnsiTheme="majorHAnsi" w:cstheme="majorHAnsi"/>
                <w:sz w:val="20"/>
                <w:szCs w:val="20"/>
              </w:rPr>
              <w:t xml:space="preserve">The national TB response is based on the National Tuberculosis </w:t>
            </w:r>
            <w:r>
              <w:rPr>
                <w:rFonts w:asciiTheme="majorHAnsi" w:hAnsiTheme="majorHAnsi" w:cstheme="majorHAnsi"/>
                <w:sz w:val="20"/>
                <w:szCs w:val="20"/>
              </w:rPr>
              <w:t>Control Plan for 2016-2020</w:t>
            </w:r>
            <w:r w:rsidRPr="004B7D67">
              <w:rPr>
                <w:rFonts w:asciiTheme="majorHAnsi" w:hAnsiTheme="majorHAnsi" w:cstheme="majorHAnsi"/>
                <w:sz w:val="20"/>
                <w:szCs w:val="20"/>
              </w:rPr>
              <w:t>. The current National</w:t>
            </w:r>
            <w:r w:rsidR="008912E9">
              <w:rPr>
                <w:rFonts w:asciiTheme="majorHAnsi" w:hAnsiTheme="majorHAnsi" w:cstheme="majorHAnsi"/>
                <w:sz w:val="20"/>
                <w:szCs w:val="20"/>
              </w:rPr>
              <w:t xml:space="preserve"> TB Control</w:t>
            </w:r>
            <w:r w:rsidRPr="004B7D67">
              <w:rPr>
                <w:rFonts w:asciiTheme="majorHAnsi" w:hAnsiTheme="majorHAnsi" w:cstheme="majorHAnsi"/>
                <w:sz w:val="20"/>
                <w:szCs w:val="20"/>
              </w:rPr>
              <w:t xml:space="preserve"> Plan</w:t>
            </w:r>
            <w:r w:rsidR="008912E9">
              <w:rPr>
                <w:rFonts w:asciiTheme="majorHAnsi" w:hAnsiTheme="majorHAnsi" w:cstheme="majorHAnsi"/>
                <w:sz w:val="20"/>
                <w:szCs w:val="20"/>
              </w:rPr>
              <w:t xml:space="preserve"> 2016-2020 </w:t>
            </w:r>
            <w:r w:rsidRPr="004B7D67">
              <w:rPr>
                <w:rFonts w:asciiTheme="majorHAnsi" w:hAnsiTheme="majorHAnsi" w:cstheme="majorHAnsi"/>
                <w:sz w:val="20"/>
                <w:szCs w:val="20"/>
              </w:rPr>
              <w:t xml:space="preserve">builds on the progress achieved </w:t>
            </w:r>
            <w:r w:rsidR="008912E9">
              <w:rPr>
                <w:rFonts w:asciiTheme="majorHAnsi" w:hAnsiTheme="majorHAnsi" w:cstheme="majorHAnsi"/>
                <w:sz w:val="20"/>
                <w:szCs w:val="20"/>
              </w:rPr>
              <w:t xml:space="preserve">of </w:t>
            </w:r>
            <w:r w:rsidRPr="004B7D67">
              <w:rPr>
                <w:rFonts w:asciiTheme="majorHAnsi" w:hAnsiTheme="majorHAnsi" w:cstheme="majorHAnsi"/>
                <w:sz w:val="20"/>
                <w:szCs w:val="20"/>
              </w:rPr>
              <w:t xml:space="preserve">implementation of the national </w:t>
            </w:r>
            <w:r w:rsidR="008912E9">
              <w:rPr>
                <w:rFonts w:asciiTheme="majorHAnsi" w:hAnsiTheme="majorHAnsi" w:cstheme="majorHAnsi"/>
                <w:sz w:val="20"/>
                <w:szCs w:val="20"/>
              </w:rPr>
              <w:t xml:space="preserve">TB control </w:t>
            </w:r>
            <w:r w:rsidRPr="00FD7E0E">
              <w:rPr>
                <w:rFonts w:asciiTheme="majorHAnsi" w:hAnsiTheme="majorHAnsi" w:cstheme="majorHAnsi"/>
                <w:sz w:val="20"/>
                <w:szCs w:val="20"/>
              </w:rPr>
              <w:t xml:space="preserve">programs </w:t>
            </w:r>
            <w:r w:rsidR="008912E9" w:rsidRPr="00DD5AD7">
              <w:rPr>
                <w:rFonts w:asciiTheme="majorHAnsi" w:hAnsiTheme="majorHAnsi" w:cstheme="majorHAnsi"/>
                <w:sz w:val="20"/>
                <w:szCs w:val="20"/>
              </w:rPr>
              <w:t>since 2001</w:t>
            </w:r>
            <w:r w:rsidRPr="00DD5AD7">
              <w:rPr>
                <w:rFonts w:asciiTheme="majorHAnsi" w:hAnsiTheme="majorHAnsi" w:cstheme="majorHAnsi"/>
                <w:sz w:val="20"/>
                <w:szCs w:val="20"/>
              </w:rPr>
              <w:t>. It</w:t>
            </w:r>
            <w:r w:rsidRPr="004B7D67">
              <w:rPr>
                <w:rFonts w:asciiTheme="majorHAnsi" w:hAnsiTheme="majorHAnsi" w:cstheme="majorHAnsi"/>
                <w:sz w:val="20"/>
                <w:szCs w:val="20"/>
              </w:rPr>
              <w:t xml:space="preserve"> is aligned to the WHO End-TB Strategy and focused on strategic interventions to reduce the burden of TB, with emphasis on patient centered approaches and specific activities structured around the following objectives:</w:t>
            </w:r>
          </w:p>
          <w:p w14:paraId="69160348" w14:textId="77777777" w:rsidR="0071110F" w:rsidRPr="004B7D67" w:rsidRDefault="0071110F" w:rsidP="00326A6B">
            <w:pPr>
              <w:pStyle w:val="ListParagraph"/>
              <w:numPr>
                <w:ilvl w:val="0"/>
                <w:numId w:val="61"/>
              </w:numPr>
              <w:rPr>
                <w:rFonts w:asciiTheme="majorHAnsi" w:hAnsiTheme="majorHAnsi" w:cstheme="majorHAnsi"/>
                <w:sz w:val="20"/>
                <w:szCs w:val="20"/>
              </w:rPr>
            </w:pPr>
            <w:r w:rsidRPr="004B7D67">
              <w:rPr>
                <w:rFonts w:asciiTheme="majorHAnsi" w:hAnsiTheme="majorHAnsi" w:cstheme="majorHAnsi"/>
                <w:sz w:val="20"/>
                <w:szCs w:val="20"/>
              </w:rPr>
              <w:t>Ensure universal access to early diagnosis of all forms of TB, detecting at least 85% of the total estimated number of MDR-TB cases by 2020;</w:t>
            </w:r>
          </w:p>
          <w:p w14:paraId="0C88E329" w14:textId="77777777" w:rsidR="0071110F" w:rsidRPr="004B7D67" w:rsidRDefault="0071110F" w:rsidP="00326A6B">
            <w:pPr>
              <w:pStyle w:val="ListParagraph"/>
              <w:numPr>
                <w:ilvl w:val="0"/>
                <w:numId w:val="61"/>
              </w:numPr>
              <w:rPr>
                <w:rFonts w:asciiTheme="majorHAnsi" w:hAnsiTheme="majorHAnsi" w:cstheme="majorHAnsi"/>
                <w:sz w:val="20"/>
                <w:szCs w:val="20"/>
              </w:rPr>
            </w:pPr>
            <w:r w:rsidRPr="004B7D67">
              <w:rPr>
                <w:rFonts w:asciiTheme="majorHAnsi" w:hAnsiTheme="majorHAnsi" w:cstheme="majorHAnsi"/>
                <w:sz w:val="20"/>
                <w:szCs w:val="20"/>
              </w:rPr>
              <w:t>Ensure universal access to patient-centered treatment, reaching a treatment success rate for bacteriologically-confirmed pulmonary TB of at least 85% for new cases and at least 75% for MDR-TB cases by 2020;</w:t>
            </w:r>
          </w:p>
          <w:p w14:paraId="7A7F54FD" w14:textId="77777777" w:rsidR="0071110F" w:rsidRPr="004B7D67" w:rsidRDefault="0071110F" w:rsidP="00326A6B">
            <w:pPr>
              <w:pStyle w:val="ListParagraph"/>
              <w:numPr>
                <w:ilvl w:val="0"/>
                <w:numId w:val="61"/>
              </w:numPr>
              <w:rPr>
                <w:rFonts w:asciiTheme="majorHAnsi" w:hAnsiTheme="majorHAnsi" w:cstheme="majorHAnsi"/>
                <w:sz w:val="20"/>
                <w:szCs w:val="20"/>
              </w:rPr>
            </w:pPr>
            <w:r w:rsidRPr="004B7D67">
              <w:rPr>
                <w:rFonts w:asciiTheme="majorHAnsi" w:hAnsiTheme="majorHAnsi" w:cstheme="majorHAnsi"/>
                <w:sz w:val="20"/>
                <w:szCs w:val="20"/>
              </w:rPr>
              <w:t>Ensure synergies with other national health programs and cutting the burden of TB/HIV down to 5%;</w:t>
            </w:r>
          </w:p>
          <w:p w14:paraId="01EC577D" w14:textId="77777777" w:rsidR="0071110F" w:rsidRPr="004B7D67" w:rsidRDefault="0071110F" w:rsidP="00326A6B">
            <w:pPr>
              <w:pStyle w:val="ListParagraph"/>
              <w:numPr>
                <w:ilvl w:val="0"/>
                <w:numId w:val="61"/>
              </w:numPr>
              <w:rPr>
                <w:rFonts w:asciiTheme="majorHAnsi" w:hAnsiTheme="majorHAnsi" w:cstheme="majorHAnsi"/>
                <w:sz w:val="20"/>
                <w:szCs w:val="20"/>
              </w:rPr>
            </w:pPr>
            <w:r w:rsidRPr="004B7D67">
              <w:rPr>
                <w:rFonts w:asciiTheme="majorHAnsi" w:hAnsiTheme="majorHAnsi" w:cstheme="majorHAnsi"/>
                <w:sz w:val="20"/>
                <w:szCs w:val="20"/>
              </w:rPr>
              <w:t>Ensure TB prevention measures and BCG coverage rate at birth of at least 95%;</w:t>
            </w:r>
          </w:p>
          <w:p w14:paraId="62E50756" w14:textId="77777777" w:rsidR="0071110F" w:rsidRPr="004B7D67" w:rsidRDefault="0071110F" w:rsidP="00326A6B">
            <w:pPr>
              <w:pStyle w:val="ListParagraph"/>
              <w:numPr>
                <w:ilvl w:val="0"/>
                <w:numId w:val="61"/>
              </w:numPr>
              <w:rPr>
                <w:rFonts w:asciiTheme="majorHAnsi" w:hAnsiTheme="majorHAnsi" w:cstheme="majorHAnsi"/>
                <w:sz w:val="20"/>
                <w:szCs w:val="20"/>
              </w:rPr>
            </w:pPr>
            <w:r w:rsidRPr="004B7D67">
              <w:rPr>
                <w:rFonts w:asciiTheme="majorHAnsi" w:hAnsiTheme="majorHAnsi" w:cstheme="majorHAnsi"/>
                <w:sz w:val="20"/>
                <w:szCs w:val="20"/>
              </w:rPr>
              <w:t>Ensure health system strengthening for effective TB control;</w:t>
            </w:r>
          </w:p>
          <w:p w14:paraId="07575F8A" w14:textId="77777777" w:rsidR="0071110F" w:rsidRPr="004B7D67" w:rsidRDefault="0071110F" w:rsidP="00326A6B">
            <w:pPr>
              <w:pStyle w:val="ListParagraph"/>
              <w:numPr>
                <w:ilvl w:val="0"/>
                <w:numId w:val="61"/>
              </w:numPr>
              <w:rPr>
                <w:rFonts w:asciiTheme="majorHAnsi" w:hAnsiTheme="majorHAnsi" w:cstheme="majorHAnsi"/>
                <w:sz w:val="20"/>
                <w:szCs w:val="20"/>
              </w:rPr>
            </w:pPr>
            <w:r w:rsidRPr="004B7D67">
              <w:rPr>
                <w:rFonts w:asciiTheme="majorHAnsi" w:hAnsiTheme="majorHAnsi" w:cstheme="majorHAnsi"/>
                <w:sz w:val="20"/>
                <w:szCs w:val="20"/>
              </w:rPr>
              <w:t>Develop and use new tools and innovative interventions for TB control; and</w:t>
            </w:r>
          </w:p>
          <w:p w14:paraId="3DF8EDD3" w14:textId="77777777" w:rsidR="0071110F" w:rsidRPr="004B7D67" w:rsidRDefault="0071110F" w:rsidP="00326A6B">
            <w:pPr>
              <w:pStyle w:val="ListParagraph"/>
              <w:numPr>
                <w:ilvl w:val="0"/>
                <w:numId w:val="61"/>
              </w:numPr>
              <w:rPr>
                <w:rFonts w:asciiTheme="majorHAnsi" w:hAnsiTheme="majorHAnsi" w:cstheme="majorHAnsi"/>
                <w:sz w:val="20"/>
                <w:szCs w:val="20"/>
              </w:rPr>
            </w:pPr>
            <w:r w:rsidRPr="004B7D67">
              <w:rPr>
                <w:rFonts w:asciiTheme="majorHAnsi" w:hAnsiTheme="majorHAnsi" w:cstheme="majorHAnsi"/>
                <w:sz w:val="20"/>
                <w:szCs w:val="20"/>
              </w:rPr>
              <w:t xml:space="preserve">Ensure stronger community and civil society involvement in patient-centered TB control.  </w:t>
            </w:r>
          </w:p>
          <w:p w14:paraId="50E21B96" w14:textId="7324D69C" w:rsidR="0071110F" w:rsidRDefault="00A91BD8" w:rsidP="00781834">
            <w:pPr>
              <w:jc w:val="both"/>
              <w:rPr>
                <w:rStyle w:val="e24kjd"/>
                <w:rFonts w:asciiTheme="majorHAnsi" w:hAnsiTheme="majorHAnsi" w:cstheme="majorHAnsi"/>
                <w:sz w:val="20"/>
              </w:rPr>
            </w:pPr>
            <w:r>
              <w:rPr>
                <w:rStyle w:val="e24kjd"/>
                <w:rFonts w:asciiTheme="majorHAnsi" w:hAnsiTheme="majorHAnsi" w:cstheme="majorHAnsi"/>
                <w:b/>
                <w:sz w:val="20"/>
              </w:rPr>
              <w:t>TB health s</w:t>
            </w:r>
            <w:r w:rsidR="0071110F" w:rsidRPr="006F4B1C">
              <w:rPr>
                <w:rStyle w:val="e24kjd"/>
                <w:rFonts w:asciiTheme="majorHAnsi" w:hAnsiTheme="majorHAnsi" w:cstheme="majorHAnsi"/>
                <w:b/>
                <w:sz w:val="20"/>
              </w:rPr>
              <w:t>ervice organization</w:t>
            </w:r>
            <w:r w:rsidR="0071110F">
              <w:rPr>
                <w:rStyle w:val="e24kjd"/>
                <w:rFonts w:asciiTheme="majorHAnsi" w:hAnsiTheme="majorHAnsi" w:cstheme="majorHAnsi"/>
                <w:sz w:val="20"/>
              </w:rPr>
              <w:t xml:space="preserve">: </w:t>
            </w:r>
            <w:r w:rsidR="0071110F" w:rsidRPr="0070659E">
              <w:rPr>
                <w:sz w:val="20"/>
                <w:szCs w:val="20"/>
              </w:rPr>
              <w:t xml:space="preserve">TB services are </w:t>
            </w:r>
            <w:r>
              <w:rPr>
                <w:sz w:val="20"/>
                <w:szCs w:val="20"/>
              </w:rPr>
              <w:t>well-defined</w:t>
            </w:r>
            <w:r w:rsidR="0071110F" w:rsidRPr="0070659E">
              <w:rPr>
                <w:sz w:val="20"/>
                <w:szCs w:val="20"/>
              </w:rPr>
              <w:t xml:space="preserve"> and effectively organized</w:t>
            </w:r>
            <w:r w:rsidR="0071110F">
              <w:rPr>
                <w:sz w:val="20"/>
                <w:szCs w:val="20"/>
              </w:rPr>
              <w:t>.</w:t>
            </w:r>
            <w:r w:rsidR="0071110F">
              <w:t xml:space="preserve"> </w:t>
            </w:r>
            <w:r w:rsidR="0071110F" w:rsidRPr="006F4B1C">
              <w:rPr>
                <w:rStyle w:val="e24kjd"/>
                <w:rFonts w:asciiTheme="majorHAnsi" w:hAnsiTheme="majorHAnsi" w:cstheme="majorHAnsi"/>
                <w:sz w:val="20"/>
              </w:rPr>
              <w:t>Since 2005, starting with health finance reform and introduction of national health insurance system, TB services have been integrated in primary and secondary care general health service</w:t>
            </w:r>
            <w:r>
              <w:rPr>
                <w:rStyle w:val="e24kjd"/>
                <w:rFonts w:asciiTheme="majorHAnsi" w:hAnsiTheme="majorHAnsi" w:cstheme="majorHAnsi"/>
                <w:sz w:val="20"/>
              </w:rPr>
              <w:t>s network. Primary care level</w:t>
            </w:r>
            <w:r w:rsidR="0071110F" w:rsidRPr="006F4B1C">
              <w:rPr>
                <w:rStyle w:val="e24kjd"/>
                <w:rFonts w:asciiTheme="majorHAnsi" w:hAnsiTheme="majorHAnsi" w:cstheme="majorHAnsi"/>
                <w:sz w:val="20"/>
              </w:rPr>
              <w:t xml:space="preserve"> is organized by levels: mu</w:t>
            </w:r>
            <w:r>
              <w:rPr>
                <w:rStyle w:val="e24kjd"/>
                <w:rFonts w:asciiTheme="majorHAnsi" w:hAnsiTheme="majorHAnsi" w:cstheme="majorHAnsi"/>
                <w:sz w:val="20"/>
              </w:rPr>
              <w:t xml:space="preserve">nicipal, district level, rural, with a recommended ratio of </w:t>
            </w:r>
            <w:r w:rsidR="0071110F" w:rsidRPr="006F4B1C">
              <w:rPr>
                <w:rStyle w:val="e24kjd"/>
                <w:rFonts w:asciiTheme="majorHAnsi" w:hAnsiTheme="majorHAnsi" w:cstheme="majorHAnsi"/>
                <w:sz w:val="20"/>
              </w:rPr>
              <w:t>1 family physician plus a team of nurses to 1</w:t>
            </w:r>
            <w:r w:rsidR="0071110F">
              <w:rPr>
                <w:rStyle w:val="e24kjd"/>
                <w:rFonts w:asciiTheme="majorHAnsi" w:hAnsiTheme="majorHAnsi" w:cstheme="majorHAnsi"/>
                <w:sz w:val="20"/>
              </w:rPr>
              <w:t>,</w:t>
            </w:r>
            <w:r w:rsidR="0071110F" w:rsidRPr="006F4B1C">
              <w:rPr>
                <w:rStyle w:val="e24kjd"/>
                <w:rFonts w:asciiTheme="majorHAnsi" w:hAnsiTheme="majorHAnsi" w:cstheme="majorHAnsi"/>
                <w:sz w:val="20"/>
              </w:rPr>
              <w:t>500 population</w:t>
            </w:r>
            <w:r>
              <w:rPr>
                <w:rStyle w:val="e24kjd"/>
                <w:rFonts w:asciiTheme="majorHAnsi" w:hAnsiTheme="majorHAnsi" w:cstheme="majorHAnsi"/>
                <w:sz w:val="20"/>
              </w:rPr>
              <w:t>. H</w:t>
            </w:r>
            <w:r w:rsidR="0071110F" w:rsidRPr="006F4B1C">
              <w:rPr>
                <w:rStyle w:val="e24kjd"/>
                <w:rFonts w:asciiTheme="majorHAnsi" w:hAnsiTheme="majorHAnsi" w:cstheme="majorHAnsi"/>
                <w:sz w:val="20"/>
              </w:rPr>
              <w:t>owever</w:t>
            </w:r>
            <w:r w:rsidR="009E0AB1">
              <w:rPr>
                <w:rStyle w:val="e24kjd"/>
                <w:rFonts w:asciiTheme="majorHAnsi" w:hAnsiTheme="majorHAnsi" w:cstheme="majorHAnsi"/>
                <w:sz w:val="20"/>
              </w:rPr>
              <w:t>,</w:t>
            </w:r>
            <w:r w:rsidR="0071110F" w:rsidRPr="006F4B1C">
              <w:rPr>
                <w:rStyle w:val="e24kjd"/>
                <w:rFonts w:asciiTheme="majorHAnsi" w:hAnsiTheme="majorHAnsi" w:cstheme="majorHAnsi"/>
                <w:sz w:val="20"/>
              </w:rPr>
              <w:t xml:space="preserve"> giv</w:t>
            </w:r>
            <w:r>
              <w:rPr>
                <w:rStyle w:val="e24kjd"/>
                <w:rFonts w:asciiTheme="majorHAnsi" w:hAnsiTheme="majorHAnsi" w:cstheme="majorHAnsi"/>
                <w:sz w:val="20"/>
              </w:rPr>
              <w:t>en shortages in rural areas,</w:t>
            </w:r>
            <w:r w:rsidR="002772A6">
              <w:rPr>
                <w:rStyle w:val="e24kjd"/>
                <w:rFonts w:asciiTheme="majorHAnsi" w:hAnsiTheme="majorHAnsi" w:cstheme="majorHAnsi"/>
                <w:sz w:val="20"/>
              </w:rPr>
              <w:t xml:space="preserve"> family</w:t>
            </w:r>
            <w:r>
              <w:rPr>
                <w:rStyle w:val="e24kjd"/>
                <w:rFonts w:asciiTheme="majorHAnsi" w:hAnsiTheme="majorHAnsi" w:cstheme="majorHAnsi"/>
                <w:sz w:val="20"/>
              </w:rPr>
              <w:t xml:space="preserve"> physicians </w:t>
            </w:r>
            <w:r w:rsidR="002772A6">
              <w:rPr>
                <w:rStyle w:val="e24kjd"/>
                <w:rFonts w:asciiTheme="majorHAnsi" w:hAnsiTheme="majorHAnsi" w:cstheme="majorHAnsi"/>
                <w:sz w:val="20"/>
              </w:rPr>
              <w:t xml:space="preserve">service </w:t>
            </w:r>
            <w:r w:rsidR="0071110F" w:rsidRPr="006F4B1C">
              <w:rPr>
                <w:rStyle w:val="e24kjd"/>
                <w:rFonts w:asciiTheme="majorHAnsi" w:hAnsiTheme="majorHAnsi" w:cstheme="majorHAnsi"/>
                <w:sz w:val="20"/>
              </w:rPr>
              <w:t xml:space="preserve">much </w:t>
            </w:r>
            <w:r>
              <w:rPr>
                <w:rStyle w:val="e24kjd"/>
                <w:rFonts w:asciiTheme="majorHAnsi" w:hAnsiTheme="majorHAnsi" w:cstheme="majorHAnsi"/>
                <w:sz w:val="20"/>
              </w:rPr>
              <w:t>larg</w:t>
            </w:r>
            <w:r w:rsidR="0071110F" w:rsidRPr="006F4B1C">
              <w:rPr>
                <w:rStyle w:val="e24kjd"/>
                <w:rFonts w:asciiTheme="majorHAnsi" w:hAnsiTheme="majorHAnsi" w:cstheme="majorHAnsi"/>
                <w:sz w:val="20"/>
              </w:rPr>
              <w:t>er populations, some reaching to 4-5</w:t>
            </w:r>
            <w:r w:rsidR="0071110F">
              <w:rPr>
                <w:rStyle w:val="e24kjd"/>
                <w:rFonts w:asciiTheme="majorHAnsi" w:hAnsiTheme="majorHAnsi" w:cstheme="majorHAnsi"/>
                <w:sz w:val="20"/>
              </w:rPr>
              <w:t>,</w:t>
            </w:r>
            <w:r>
              <w:rPr>
                <w:rStyle w:val="e24kjd"/>
                <w:rFonts w:asciiTheme="majorHAnsi" w:hAnsiTheme="majorHAnsi" w:cstheme="majorHAnsi"/>
                <w:sz w:val="20"/>
              </w:rPr>
              <w:t>000</w:t>
            </w:r>
            <w:r w:rsidR="0071110F" w:rsidRPr="006F4B1C">
              <w:rPr>
                <w:rStyle w:val="e24kjd"/>
                <w:rFonts w:asciiTheme="majorHAnsi" w:hAnsiTheme="majorHAnsi" w:cstheme="majorHAnsi"/>
                <w:sz w:val="20"/>
              </w:rPr>
              <w:t>. Secondary level outpatient TB ca</w:t>
            </w:r>
            <w:r>
              <w:rPr>
                <w:rStyle w:val="e24kjd"/>
                <w:rFonts w:asciiTheme="majorHAnsi" w:hAnsiTheme="majorHAnsi" w:cstheme="majorHAnsi"/>
                <w:sz w:val="20"/>
              </w:rPr>
              <w:t xml:space="preserve">re is provided in each of the </w:t>
            </w:r>
            <w:r w:rsidR="0071110F" w:rsidRPr="006F4B1C">
              <w:rPr>
                <w:rStyle w:val="e24kjd"/>
                <w:rFonts w:asciiTheme="majorHAnsi" w:hAnsiTheme="majorHAnsi" w:cstheme="majorHAnsi"/>
                <w:sz w:val="20"/>
              </w:rPr>
              <w:t xml:space="preserve">districts of the country, in the specialist outpatient departments </w:t>
            </w:r>
            <w:r>
              <w:rPr>
                <w:rStyle w:val="e24kjd"/>
                <w:rFonts w:asciiTheme="majorHAnsi" w:hAnsiTheme="majorHAnsi" w:cstheme="majorHAnsi"/>
                <w:sz w:val="20"/>
              </w:rPr>
              <w:t>locat</w:t>
            </w:r>
            <w:r w:rsidR="0071110F" w:rsidRPr="006F4B1C">
              <w:rPr>
                <w:rStyle w:val="e24kjd"/>
                <w:rFonts w:asciiTheme="majorHAnsi" w:hAnsiTheme="majorHAnsi" w:cstheme="majorHAnsi"/>
                <w:sz w:val="20"/>
              </w:rPr>
              <w:t xml:space="preserve">ed </w:t>
            </w:r>
            <w:r>
              <w:rPr>
                <w:rStyle w:val="e24kjd"/>
                <w:rFonts w:asciiTheme="majorHAnsi" w:hAnsiTheme="majorHAnsi" w:cstheme="majorHAnsi"/>
                <w:sz w:val="20"/>
              </w:rPr>
              <w:t>in</w:t>
            </w:r>
            <w:r w:rsidR="0071110F" w:rsidRPr="006F4B1C">
              <w:rPr>
                <w:rStyle w:val="e24kjd"/>
                <w:rFonts w:asciiTheme="majorHAnsi" w:hAnsiTheme="majorHAnsi" w:cstheme="majorHAnsi"/>
                <w:sz w:val="20"/>
              </w:rPr>
              <w:t xml:space="preserve"> district hospitals. </w:t>
            </w:r>
            <w:r>
              <w:rPr>
                <w:rStyle w:val="e24kjd"/>
                <w:rFonts w:asciiTheme="majorHAnsi" w:hAnsiTheme="majorHAnsi" w:cstheme="majorHAnsi"/>
                <w:sz w:val="20"/>
              </w:rPr>
              <w:t>P</w:t>
            </w:r>
            <w:r w:rsidR="0071110F" w:rsidRPr="006F4B1C">
              <w:rPr>
                <w:rStyle w:val="e24kjd"/>
                <w:rFonts w:asciiTheme="majorHAnsi" w:hAnsiTheme="majorHAnsi" w:cstheme="majorHAnsi"/>
                <w:sz w:val="20"/>
              </w:rPr>
              <w:t>hthisio</w:t>
            </w:r>
            <w:r w:rsidR="0071110F">
              <w:rPr>
                <w:rStyle w:val="e24kjd"/>
                <w:rFonts w:asciiTheme="majorHAnsi" w:hAnsiTheme="majorHAnsi" w:cstheme="majorHAnsi"/>
                <w:sz w:val="20"/>
              </w:rPr>
              <w:t>-</w:t>
            </w:r>
            <w:r w:rsidR="0071110F" w:rsidRPr="006F4B1C">
              <w:rPr>
                <w:rStyle w:val="e24kjd"/>
                <w:rFonts w:asciiTheme="majorHAnsi" w:hAnsiTheme="majorHAnsi" w:cstheme="majorHAnsi"/>
                <w:sz w:val="20"/>
              </w:rPr>
              <w:t>pneumolog</w:t>
            </w:r>
            <w:r>
              <w:rPr>
                <w:rStyle w:val="e24kjd"/>
                <w:rFonts w:asciiTheme="majorHAnsi" w:hAnsiTheme="majorHAnsi" w:cstheme="majorHAnsi"/>
                <w:sz w:val="20"/>
              </w:rPr>
              <w:t>y outpatient department manage</w:t>
            </w:r>
            <w:r w:rsidR="0071110F" w:rsidRPr="006F4B1C">
              <w:rPr>
                <w:rStyle w:val="e24kjd"/>
                <w:rFonts w:asciiTheme="majorHAnsi" w:hAnsiTheme="majorHAnsi" w:cstheme="majorHAnsi"/>
                <w:sz w:val="20"/>
              </w:rPr>
              <w:t xml:space="preserve"> </w:t>
            </w:r>
            <w:r w:rsidR="002772A6" w:rsidRPr="006F4B1C">
              <w:rPr>
                <w:rStyle w:val="e24kjd"/>
                <w:rFonts w:asciiTheme="majorHAnsi" w:hAnsiTheme="majorHAnsi" w:cstheme="majorHAnsi"/>
                <w:sz w:val="20"/>
              </w:rPr>
              <w:t>pr</w:t>
            </w:r>
            <w:r w:rsidR="002772A6">
              <w:rPr>
                <w:rStyle w:val="e24kjd"/>
                <w:rFonts w:asciiTheme="majorHAnsi" w:hAnsiTheme="majorHAnsi" w:cstheme="majorHAnsi"/>
                <w:sz w:val="20"/>
              </w:rPr>
              <w:t xml:space="preserve">esumptive and confirmed TB </w:t>
            </w:r>
            <w:r w:rsidR="002772A6" w:rsidRPr="006F4B1C">
              <w:rPr>
                <w:rStyle w:val="e24kjd"/>
                <w:rFonts w:asciiTheme="majorHAnsi" w:hAnsiTheme="majorHAnsi" w:cstheme="majorHAnsi"/>
                <w:sz w:val="20"/>
              </w:rPr>
              <w:t xml:space="preserve">patients </w:t>
            </w:r>
            <w:r>
              <w:rPr>
                <w:rStyle w:val="e24kjd"/>
                <w:rFonts w:asciiTheme="majorHAnsi" w:hAnsiTheme="majorHAnsi" w:cstheme="majorHAnsi"/>
                <w:sz w:val="20"/>
              </w:rPr>
              <w:t xml:space="preserve">and </w:t>
            </w:r>
            <w:r w:rsidR="0071110F" w:rsidRPr="006F4B1C">
              <w:rPr>
                <w:rStyle w:val="e24kjd"/>
                <w:rFonts w:asciiTheme="majorHAnsi" w:hAnsiTheme="majorHAnsi" w:cstheme="majorHAnsi"/>
                <w:sz w:val="20"/>
              </w:rPr>
              <w:t>include adequ</w:t>
            </w:r>
            <w:r w:rsidR="002772A6">
              <w:rPr>
                <w:rStyle w:val="e24kjd"/>
                <w:rFonts w:asciiTheme="majorHAnsi" w:hAnsiTheme="majorHAnsi" w:cstheme="majorHAnsi"/>
                <w:sz w:val="20"/>
              </w:rPr>
              <w:t xml:space="preserve">ate TB screening and diagnostic </w:t>
            </w:r>
            <w:r w:rsidR="0071110F" w:rsidRPr="006F4B1C">
              <w:rPr>
                <w:rStyle w:val="e24kjd"/>
                <w:rFonts w:asciiTheme="majorHAnsi" w:hAnsiTheme="majorHAnsi" w:cstheme="majorHAnsi"/>
                <w:sz w:val="20"/>
              </w:rPr>
              <w:t>Xpert MTB/RIF technology, and smea</w:t>
            </w:r>
            <w:r w:rsidR="002772A6">
              <w:rPr>
                <w:rStyle w:val="e24kjd"/>
                <w:rFonts w:asciiTheme="majorHAnsi" w:hAnsiTheme="majorHAnsi" w:cstheme="majorHAnsi"/>
                <w:sz w:val="20"/>
              </w:rPr>
              <w:t>r microscopy. X-ray diagnostics is available in the same facility</w:t>
            </w:r>
            <w:r w:rsidR="0071110F">
              <w:rPr>
                <w:rStyle w:val="e24kjd"/>
                <w:rFonts w:asciiTheme="majorHAnsi" w:hAnsiTheme="majorHAnsi" w:cstheme="majorHAnsi"/>
                <w:sz w:val="20"/>
              </w:rPr>
              <w:t xml:space="preserve"> at district</w:t>
            </w:r>
            <w:r w:rsidR="002772A6">
              <w:rPr>
                <w:rStyle w:val="e24kjd"/>
                <w:rFonts w:asciiTheme="majorHAnsi" w:hAnsiTheme="majorHAnsi" w:cstheme="majorHAnsi"/>
                <w:sz w:val="20"/>
              </w:rPr>
              <w:t xml:space="preserve"> or municipal</w:t>
            </w:r>
            <w:r w:rsidR="0071110F">
              <w:rPr>
                <w:rStyle w:val="e24kjd"/>
                <w:rFonts w:asciiTheme="majorHAnsi" w:hAnsiTheme="majorHAnsi" w:cstheme="majorHAnsi"/>
                <w:sz w:val="20"/>
              </w:rPr>
              <w:t xml:space="preserve"> level.</w:t>
            </w:r>
            <w:r w:rsidR="0071110F" w:rsidRPr="006F4B1C">
              <w:rPr>
                <w:rStyle w:val="e24kjd"/>
                <w:rFonts w:asciiTheme="majorHAnsi" w:hAnsiTheme="majorHAnsi" w:cstheme="majorHAnsi"/>
                <w:sz w:val="20"/>
              </w:rPr>
              <w:t xml:space="preserve"> Presumptive patients and those who are to be screened on annual basis are identified and referred to secondary level by PHC/family doctors</w:t>
            </w:r>
            <w:r w:rsidR="0071110F">
              <w:rPr>
                <w:rStyle w:val="e24kjd"/>
                <w:rFonts w:asciiTheme="majorHAnsi" w:hAnsiTheme="majorHAnsi" w:cstheme="majorHAnsi"/>
                <w:sz w:val="20"/>
              </w:rPr>
              <w:t>. There are 7 inpatient health facilities with TB beds in civilian sector  of the Right Bank and Left Bank (865 beds) and 5 in prison sector with a total capacity of 330 beds.</w:t>
            </w:r>
            <w:r w:rsidR="0071110F">
              <w:rPr>
                <w:rStyle w:val="FootnoteReference"/>
                <w:rFonts w:asciiTheme="majorHAnsi" w:hAnsiTheme="majorHAnsi" w:cstheme="majorHAnsi"/>
                <w:sz w:val="20"/>
              </w:rPr>
              <w:footnoteReference w:id="18"/>
            </w:r>
            <w:r w:rsidR="0071110F">
              <w:rPr>
                <w:rStyle w:val="e24kjd"/>
                <w:rFonts w:asciiTheme="majorHAnsi" w:hAnsiTheme="majorHAnsi" w:cstheme="majorHAnsi"/>
                <w:sz w:val="20"/>
              </w:rPr>
              <w:t xml:space="preserve"> </w:t>
            </w:r>
          </w:p>
          <w:p w14:paraId="03C1EE93" w14:textId="040E28B3" w:rsidR="009E0AB1" w:rsidRPr="00E01C09" w:rsidRDefault="009E0AB1" w:rsidP="00E01C09">
            <w:pPr>
              <w:jc w:val="both"/>
              <w:rPr>
                <w:rStyle w:val="e24kjd"/>
                <w:sz w:val="20"/>
                <w:szCs w:val="20"/>
              </w:rPr>
            </w:pPr>
            <w:r>
              <w:rPr>
                <w:sz w:val="20"/>
                <w:szCs w:val="20"/>
              </w:rPr>
              <w:t>The current approaches to TB res</w:t>
            </w:r>
            <w:r w:rsidR="00297706">
              <w:rPr>
                <w:sz w:val="20"/>
                <w:szCs w:val="20"/>
              </w:rPr>
              <w:t>p</w:t>
            </w:r>
            <w:r>
              <w:rPr>
                <w:sz w:val="20"/>
                <w:szCs w:val="20"/>
              </w:rPr>
              <w:t xml:space="preserve">onse have been shaped </w:t>
            </w:r>
            <w:r w:rsidR="00A07EE4">
              <w:rPr>
                <w:sz w:val="20"/>
                <w:szCs w:val="20"/>
              </w:rPr>
              <w:t xml:space="preserve">by </w:t>
            </w:r>
            <w:r w:rsidR="002772A6">
              <w:rPr>
                <w:sz w:val="20"/>
                <w:szCs w:val="20"/>
              </w:rPr>
              <w:t xml:space="preserve">an </w:t>
            </w:r>
            <w:r w:rsidR="00A07EE4">
              <w:rPr>
                <w:sz w:val="20"/>
                <w:szCs w:val="20"/>
              </w:rPr>
              <w:t>evolving understanding of needed actions and overcoming re</w:t>
            </w:r>
            <w:r w:rsidR="002772A6">
              <w:rPr>
                <w:sz w:val="20"/>
                <w:szCs w:val="20"/>
              </w:rPr>
              <w:t xml:space="preserve">current bottlenecks </w:t>
            </w:r>
            <w:r>
              <w:rPr>
                <w:sz w:val="20"/>
                <w:szCs w:val="20"/>
              </w:rPr>
              <w:t>since 1</w:t>
            </w:r>
            <w:r w:rsidRPr="009E0AB1">
              <w:rPr>
                <w:sz w:val="20"/>
                <w:szCs w:val="20"/>
                <w:vertAlign w:val="superscript"/>
              </w:rPr>
              <w:t>st</w:t>
            </w:r>
            <w:r w:rsidR="002772A6">
              <w:rPr>
                <w:sz w:val="20"/>
                <w:szCs w:val="20"/>
              </w:rPr>
              <w:t xml:space="preserve"> National TB </w:t>
            </w:r>
            <w:r>
              <w:rPr>
                <w:sz w:val="20"/>
                <w:szCs w:val="20"/>
              </w:rPr>
              <w:t>P</w:t>
            </w:r>
            <w:r w:rsidR="002772A6">
              <w:rPr>
                <w:sz w:val="20"/>
                <w:szCs w:val="20"/>
              </w:rPr>
              <w:t>rogram</w:t>
            </w:r>
            <w:r>
              <w:rPr>
                <w:sz w:val="20"/>
                <w:szCs w:val="20"/>
              </w:rPr>
              <w:t xml:space="preserve"> in 200</w:t>
            </w:r>
            <w:r w:rsidR="002772A6">
              <w:rPr>
                <w:sz w:val="20"/>
                <w:szCs w:val="20"/>
              </w:rPr>
              <w:t>1</w:t>
            </w:r>
            <w:r>
              <w:rPr>
                <w:sz w:val="20"/>
                <w:szCs w:val="20"/>
              </w:rPr>
              <w:t>. T</w:t>
            </w:r>
            <w:r w:rsidR="00A91BD8" w:rsidRPr="004B7D67">
              <w:rPr>
                <w:sz w:val="20"/>
                <w:szCs w:val="20"/>
              </w:rPr>
              <w:t xml:space="preserve">he focus of the national TB response has shifted from </w:t>
            </w:r>
            <w:r w:rsidR="00A91BD8">
              <w:rPr>
                <w:sz w:val="20"/>
                <w:szCs w:val="20"/>
              </w:rPr>
              <w:t xml:space="preserve">focused </w:t>
            </w:r>
            <w:r w:rsidR="00A07EE4">
              <w:rPr>
                <w:sz w:val="20"/>
                <w:szCs w:val="20"/>
              </w:rPr>
              <w:t xml:space="preserve">emergency </w:t>
            </w:r>
            <w:r w:rsidR="00A91BD8" w:rsidRPr="004B7D67">
              <w:rPr>
                <w:sz w:val="20"/>
                <w:szCs w:val="20"/>
              </w:rPr>
              <w:t>support to re</w:t>
            </w:r>
            <w:r w:rsidR="002772A6">
              <w:rPr>
                <w:sz w:val="20"/>
                <w:szCs w:val="20"/>
              </w:rPr>
              <w:t>vamp</w:t>
            </w:r>
            <w:r w:rsidR="00A91BD8" w:rsidRPr="004B7D67">
              <w:rPr>
                <w:sz w:val="20"/>
                <w:szCs w:val="20"/>
              </w:rPr>
              <w:t xml:space="preserve"> the TB core functions (diagnostic and treatment, lab</w:t>
            </w:r>
            <w:r w:rsidR="002772A6">
              <w:rPr>
                <w:sz w:val="20"/>
                <w:szCs w:val="20"/>
              </w:rPr>
              <w:t xml:space="preserve"> establishment</w:t>
            </w:r>
            <w:r w:rsidR="00A91BD8" w:rsidRPr="004B7D67">
              <w:rPr>
                <w:sz w:val="20"/>
                <w:szCs w:val="20"/>
              </w:rPr>
              <w:t>, M&amp;E</w:t>
            </w:r>
            <w:r w:rsidR="002772A6">
              <w:rPr>
                <w:sz w:val="20"/>
                <w:szCs w:val="20"/>
              </w:rPr>
              <w:t>)</w:t>
            </w:r>
            <w:r w:rsidR="00A91BD8" w:rsidRPr="004B7D67">
              <w:rPr>
                <w:sz w:val="20"/>
                <w:szCs w:val="20"/>
              </w:rPr>
              <w:t xml:space="preserve"> to </w:t>
            </w:r>
            <w:r w:rsidR="00A91BD8">
              <w:rPr>
                <w:sz w:val="20"/>
                <w:szCs w:val="20"/>
              </w:rPr>
              <w:t>a more health systems</w:t>
            </w:r>
            <w:r w:rsidR="00A07EE4">
              <w:rPr>
                <w:sz w:val="20"/>
                <w:szCs w:val="20"/>
              </w:rPr>
              <w:t xml:space="preserve"> strengthening</w:t>
            </w:r>
            <w:r w:rsidR="00A91BD8">
              <w:rPr>
                <w:sz w:val="20"/>
                <w:szCs w:val="20"/>
              </w:rPr>
              <w:t xml:space="preserve"> response to </w:t>
            </w:r>
            <w:r w:rsidR="00A91BD8" w:rsidRPr="004B7D67">
              <w:rPr>
                <w:sz w:val="20"/>
                <w:szCs w:val="20"/>
              </w:rPr>
              <w:t>support t</w:t>
            </w:r>
            <w:r w:rsidR="00A91BD8">
              <w:rPr>
                <w:sz w:val="20"/>
                <w:szCs w:val="20"/>
              </w:rPr>
              <w:t>he</w:t>
            </w:r>
            <w:r w:rsidR="00A91BD8" w:rsidRPr="004B7D67">
              <w:rPr>
                <w:sz w:val="20"/>
                <w:szCs w:val="20"/>
              </w:rPr>
              <w:t xml:space="preserve"> shift </w:t>
            </w:r>
            <w:r w:rsidR="00A91BD8">
              <w:rPr>
                <w:sz w:val="20"/>
                <w:szCs w:val="20"/>
              </w:rPr>
              <w:t>from a</w:t>
            </w:r>
            <w:r w:rsidR="00A91BD8" w:rsidRPr="004B7D67">
              <w:rPr>
                <w:sz w:val="20"/>
                <w:szCs w:val="20"/>
              </w:rPr>
              <w:t xml:space="preserve"> vertical approach to one more integrated in the health system, i.e. engaging primary care in case detection and treatment monitoring (since 2004), and support to people-centered approaches (starting 2011)</w:t>
            </w:r>
            <w:r w:rsidR="00A07EE4">
              <w:rPr>
                <w:sz w:val="20"/>
                <w:szCs w:val="20"/>
              </w:rPr>
              <w:t xml:space="preserve"> and sustainability building</w:t>
            </w:r>
            <w:r w:rsidR="00A91BD8" w:rsidRPr="004B7D67">
              <w:rPr>
                <w:sz w:val="20"/>
                <w:szCs w:val="20"/>
              </w:rPr>
              <w:t xml:space="preserve">.   </w:t>
            </w:r>
          </w:p>
          <w:p w14:paraId="4BD44EEB" w14:textId="77777777" w:rsidR="0071110F" w:rsidRPr="008A5152" w:rsidRDefault="0071110F" w:rsidP="00781834">
            <w:pPr>
              <w:spacing w:after="0" w:line="240" w:lineRule="auto"/>
              <w:jc w:val="both"/>
              <w:rPr>
                <w:rStyle w:val="e24kjd"/>
                <w:b/>
                <w:sz w:val="20"/>
              </w:rPr>
            </w:pPr>
            <w:r w:rsidRPr="008A5152">
              <w:rPr>
                <w:rStyle w:val="e24kjd"/>
                <w:b/>
                <w:sz w:val="20"/>
              </w:rPr>
              <w:t>Figure: Evolution of TB response in time</w:t>
            </w:r>
          </w:p>
          <w:p w14:paraId="2AE46E7B" w14:textId="157BC8D1" w:rsidR="0071110F" w:rsidRPr="00362881" w:rsidRDefault="00386186" w:rsidP="00DB5315">
            <w:pPr>
              <w:spacing w:after="0" w:line="240" w:lineRule="auto"/>
              <w:jc w:val="center"/>
              <w:rPr>
                <w:rFonts w:asciiTheme="majorHAnsi" w:hAnsiTheme="majorHAnsi" w:cstheme="majorHAnsi"/>
                <w:b/>
                <w:sz w:val="20"/>
              </w:rPr>
            </w:pPr>
            <w:r w:rsidRPr="00386186">
              <w:rPr>
                <w:rFonts w:asciiTheme="majorHAnsi" w:hAnsiTheme="majorHAnsi" w:cstheme="majorHAnsi"/>
                <w:b/>
                <w:noProof/>
                <w:sz w:val="20"/>
              </w:rPr>
              <w:drawing>
                <wp:inline distT="0" distB="0" distL="0" distR="0" wp14:anchorId="508B23E4" wp14:editId="19EE6017">
                  <wp:extent cx="6048100" cy="2457450"/>
                  <wp:effectExtent l="0" t="0" r="0" b="0"/>
                  <wp:docPr id="2" name="Picture 2" descr="C:\Users\Stela Bivol\AppData\Local\Microsoft\Windows\INetCache\Content.Outlook\837HB3RO\Moldova Evolution TB-01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la Bivol\AppData\Local\Microsoft\Windows\INetCache\Content.Outlook\837HB3RO\Moldova Evolution TB-01 (00000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61121" cy="2462741"/>
                          </a:xfrm>
                          <a:prstGeom prst="rect">
                            <a:avLst/>
                          </a:prstGeom>
                          <a:noFill/>
                          <a:ln>
                            <a:noFill/>
                          </a:ln>
                        </pic:spPr>
                      </pic:pic>
                    </a:graphicData>
                  </a:graphic>
                </wp:inline>
              </w:drawing>
            </w:r>
          </w:p>
          <w:p w14:paraId="0D971C98" w14:textId="551234DD" w:rsidR="00297706" w:rsidRPr="00297706" w:rsidRDefault="00297706" w:rsidP="00FD7E0E">
            <w:pPr>
              <w:pStyle w:val="Heading2"/>
              <w:numPr>
                <w:ilvl w:val="0"/>
                <w:numId w:val="0"/>
              </w:numPr>
              <w:spacing w:before="0" w:after="0" w:line="240" w:lineRule="auto"/>
              <w:ind w:left="567" w:hanging="567"/>
              <w:outlineLvl w:val="1"/>
              <w:rPr>
                <w:b w:val="0"/>
                <w:sz w:val="20"/>
              </w:rPr>
            </w:pPr>
            <w:r w:rsidRPr="00297706">
              <w:rPr>
                <w:rFonts w:asciiTheme="minorHAnsi" w:hAnsiTheme="minorHAnsi" w:cstheme="minorHAnsi"/>
                <w:b w:val="0"/>
                <w:color w:val="404040" w:themeColor="text1"/>
                <w:sz w:val="18"/>
                <w:szCs w:val="20"/>
              </w:rPr>
              <w:t>Source: Case Study</w:t>
            </w:r>
            <w:r w:rsidRPr="00297706">
              <w:rPr>
                <w:b w:val="0"/>
                <w:sz w:val="20"/>
              </w:rPr>
              <w:t xml:space="preserve"> </w:t>
            </w:r>
            <w:r w:rsidRPr="00297706">
              <w:rPr>
                <w:b w:val="0"/>
                <w:sz w:val="18"/>
              </w:rPr>
              <w:t xml:space="preserve">Country case on advancing people-centered TB care in Moldova </w:t>
            </w:r>
            <w:r>
              <w:rPr>
                <w:rStyle w:val="FootnoteReference"/>
                <w:b w:val="0"/>
                <w:sz w:val="20"/>
              </w:rPr>
              <w:footnoteReference w:id="19"/>
            </w:r>
          </w:p>
          <w:p w14:paraId="6895D476" w14:textId="77777777" w:rsidR="002772A6" w:rsidRDefault="002772A6" w:rsidP="00781834">
            <w:pPr>
              <w:spacing w:line="240" w:lineRule="auto"/>
              <w:jc w:val="both"/>
              <w:rPr>
                <w:rFonts w:asciiTheme="minorHAnsi" w:hAnsiTheme="minorHAnsi" w:cstheme="minorHAnsi"/>
                <w:b/>
                <w:sz w:val="20"/>
                <w:szCs w:val="20"/>
              </w:rPr>
            </w:pPr>
          </w:p>
          <w:p w14:paraId="7B5493AA" w14:textId="7315A587" w:rsidR="0071110F" w:rsidRDefault="0071110F" w:rsidP="00781834">
            <w:pPr>
              <w:spacing w:line="240" w:lineRule="auto"/>
              <w:jc w:val="both"/>
              <w:rPr>
                <w:rFonts w:asciiTheme="minorHAnsi" w:hAnsiTheme="minorHAnsi" w:cstheme="minorHAnsi"/>
                <w:sz w:val="20"/>
                <w:szCs w:val="20"/>
              </w:rPr>
            </w:pPr>
            <w:r w:rsidRPr="008D2D6C">
              <w:rPr>
                <w:rFonts w:asciiTheme="minorHAnsi" w:hAnsiTheme="minorHAnsi" w:cstheme="minorHAnsi"/>
                <w:b/>
                <w:sz w:val="20"/>
                <w:szCs w:val="20"/>
              </w:rPr>
              <w:lastRenderedPageBreak/>
              <w:t>People-centered model of care</w:t>
            </w:r>
            <w:r>
              <w:rPr>
                <w:rFonts w:asciiTheme="minorHAnsi" w:hAnsiTheme="minorHAnsi" w:cstheme="minorHAnsi"/>
                <w:sz w:val="20"/>
                <w:szCs w:val="20"/>
              </w:rPr>
              <w:t xml:space="preserve">: </w:t>
            </w:r>
            <w:r w:rsidR="009E0AB1">
              <w:rPr>
                <w:rFonts w:asciiTheme="minorHAnsi" w:hAnsiTheme="minorHAnsi" w:cstheme="minorHAnsi"/>
                <w:sz w:val="20"/>
                <w:szCs w:val="20"/>
              </w:rPr>
              <w:t>The NSP 2016-2020 wa</w:t>
            </w:r>
            <w:r w:rsidR="00297706">
              <w:rPr>
                <w:rFonts w:asciiTheme="minorHAnsi" w:hAnsiTheme="minorHAnsi" w:cstheme="minorHAnsi"/>
                <w:sz w:val="20"/>
                <w:szCs w:val="20"/>
              </w:rPr>
              <w:t>s</w:t>
            </w:r>
            <w:r w:rsidR="009E0AB1">
              <w:rPr>
                <w:rFonts w:asciiTheme="minorHAnsi" w:hAnsiTheme="minorHAnsi" w:cstheme="minorHAnsi"/>
                <w:sz w:val="20"/>
                <w:szCs w:val="20"/>
              </w:rPr>
              <w:t xml:space="preserve"> built around the main axis of </w:t>
            </w:r>
            <w:r w:rsidRPr="00C334FF">
              <w:rPr>
                <w:rFonts w:asciiTheme="minorHAnsi" w:hAnsiTheme="minorHAnsi" w:cstheme="minorHAnsi"/>
                <w:sz w:val="20"/>
                <w:szCs w:val="20"/>
              </w:rPr>
              <w:t>transition</w:t>
            </w:r>
            <w:r w:rsidR="009E0AB1">
              <w:rPr>
                <w:rFonts w:asciiTheme="minorHAnsi" w:hAnsiTheme="minorHAnsi" w:cstheme="minorHAnsi"/>
                <w:sz w:val="20"/>
                <w:szCs w:val="20"/>
              </w:rPr>
              <w:t>ing</w:t>
            </w:r>
            <w:r w:rsidRPr="00C334FF">
              <w:rPr>
                <w:rFonts w:asciiTheme="minorHAnsi" w:hAnsiTheme="minorHAnsi" w:cstheme="minorHAnsi"/>
                <w:sz w:val="20"/>
                <w:szCs w:val="20"/>
              </w:rPr>
              <w:t xml:space="preserve"> from a hospital-centric model of care to a decentralized outpatient care in communities and people centered model of care. A national road map to transition to people-centered model of TB care was adopted in 2017. </w:t>
            </w:r>
            <w:r>
              <w:rPr>
                <w:rFonts w:asciiTheme="minorHAnsi" w:hAnsiTheme="minorHAnsi" w:cstheme="minorHAnsi"/>
                <w:sz w:val="20"/>
                <w:szCs w:val="20"/>
              </w:rPr>
              <w:t>In the past decade, with support of donors, mainly Global F</w:t>
            </w:r>
            <w:r w:rsidR="00297706">
              <w:rPr>
                <w:rFonts w:asciiTheme="minorHAnsi" w:hAnsiTheme="minorHAnsi" w:cstheme="minorHAnsi"/>
                <w:sz w:val="20"/>
                <w:szCs w:val="20"/>
              </w:rPr>
              <w:t>und</w:t>
            </w:r>
            <w:r w:rsidR="002772A6">
              <w:rPr>
                <w:rFonts w:asciiTheme="minorHAnsi" w:hAnsiTheme="minorHAnsi" w:cstheme="minorHAnsi"/>
                <w:sz w:val="20"/>
                <w:szCs w:val="20"/>
              </w:rPr>
              <w:t xml:space="preserve"> (national and TB-REP regional grants), Stop TB Partnership and WHO</w:t>
            </w:r>
            <w:r w:rsidR="00297706">
              <w:rPr>
                <w:rFonts w:asciiTheme="minorHAnsi" w:hAnsiTheme="minorHAnsi" w:cstheme="minorHAnsi"/>
                <w:sz w:val="20"/>
                <w:szCs w:val="20"/>
              </w:rPr>
              <w:t>, a redesign of the model led to</w:t>
            </w:r>
            <w:r>
              <w:rPr>
                <w:rFonts w:asciiTheme="minorHAnsi" w:hAnsiTheme="minorHAnsi" w:cstheme="minorHAnsi"/>
                <w:sz w:val="20"/>
                <w:szCs w:val="20"/>
              </w:rPr>
              <w:t xml:space="preserve"> strengthening the role </w:t>
            </w:r>
            <w:r w:rsidR="00297706">
              <w:rPr>
                <w:rFonts w:asciiTheme="minorHAnsi" w:hAnsiTheme="minorHAnsi" w:cstheme="minorHAnsi"/>
                <w:sz w:val="20"/>
                <w:szCs w:val="20"/>
              </w:rPr>
              <w:t xml:space="preserve">of primary care and </w:t>
            </w:r>
            <w:r>
              <w:rPr>
                <w:rFonts w:asciiTheme="minorHAnsi" w:hAnsiTheme="minorHAnsi" w:cstheme="minorHAnsi"/>
                <w:sz w:val="20"/>
                <w:szCs w:val="20"/>
              </w:rPr>
              <w:t xml:space="preserve">specialist outpatient level, </w:t>
            </w:r>
            <w:r w:rsidR="00297706">
              <w:rPr>
                <w:rFonts w:asciiTheme="minorHAnsi" w:hAnsiTheme="minorHAnsi" w:cstheme="minorHAnsi"/>
                <w:sz w:val="20"/>
                <w:szCs w:val="20"/>
              </w:rPr>
              <w:t xml:space="preserve">in developing stronger patient support systems, </w:t>
            </w:r>
            <w:r>
              <w:rPr>
                <w:rFonts w:asciiTheme="minorHAnsi" w:hAnsiTheme="minorHAnsi" w:cstheme="minorHAnsi"/>
                <w:sz w:val="20"/>
                <w:szCs w:val="20"/>
              </w:rPr>
              <w:t xml:space="preserve">strengthening the role of </w:t>
            </w:r>
            <w:r w:rsidR="00297706">
              <w:rPr>
                <w:rFonts w:asciiTheme="minorHAnsi" w:hAnsiTheme="minorHAnsi" w:cstheme="minorHAnsi"/>
                <w:sz w:val="20"/>
                <w:szCs w:val="20"/>
              </w:rPr>
              <w:t xml:space="preserve">communities and </w:t>
            </w:r>
            <w:r>
              <w:rPr>
                <w:rFonts w:asciiTheme="minorHAnsi" w:hAnsiTheme="minorHAnsi" w:cstheme="minorHAnsi"/>
                <w:sz w:val="20"/>
                <w:szCs w:val="20"/>
              </w:rPr>
              <w:t xml:space="preserve">civil society engagement in both TB service delivery, advocacy and mobilization and representing patients interest in decision-making processes, as well as strengthening the core functions of the TB program (coordination, M&amp;E, lab, modern DST testing and molecular diagnostics and quality drug regimens). </w:t>
            </w:r>
          </w:p>
          <w:p w14:paraId="76B1D352" w14:textId="77777777" w:rsidR="0071110F" w:rsidRPr="008A5152" w:rsidRDefault="0071110F" w:rsidP="00781834">
            <w:pPr>
              <w:spacing w:after="0" w:line="240" w:lineRule="auto"/>
              <w:jc w:val="both"/>
              <w:rPr>
                <w:rStyle w:val="e24kjd"/>
                <w:b/>
                <w:sz w:val="20"/>
              </w:rPr>
            </w:pPr>
            <w:r w:rsidRPr="008A5152">
              <w:rPr>
                <w:rStyle w:val="e24kjd"/>
                <w:b/>
                <w:sz w:val="20"/>
              </w:rPr>
              <w:t xml:space="preserve">Figure: Evolution of TB </w:t>
            </w:r>
            <w:r>
              <w:rPr>
                <w:rStyle w:val="e24kjd"/>
                <w:b/>
                <w:sz w:val="20"/>
              </w:rPr>
              <w:t xml:space="preserve">model of care </w:t>
            </w:r>
          </w:p>
          <w:p w14:paraId="1F04E6A7" w14:textId="77777777" w:rsidR="0071110F" w:rsidRDefault="0071110F" w:rsidP="00781834">
            <w:pPr>
              <w:spacing w:line="240" w:lineRule="auto"/>
              <w:jc w:val="both"/>
              <w:rPr>
                <w:rFonts w:asciiTheme="minorHAnsi" w:hAnsiTheme="minorHAnsi" w:cstheme="minorHAnsi"/>
                <w:sz w:val="20"/>
                <w:szCs w:val="20"/>
              </w:rPr>
            </w:pPr>
          </w:p>
          <w:p w14:paraId="1A1163DF" w14:textId="373A469E" w:rsidR="0071110F" w:rsidRDefault="00DE0BC1" w:rsidP="00781834">
            <w:pPr>
              <w:spacing w:line="240" w:lineRule="auto"/>
              <w:jc w:val="both"/>
              <w:rPr>
                <w:rFonts w:asciiTheme="minorHAnsi" w:hAnsiTheme="minorHAnsi" w:cstheme="minorHAnsi"/>
                <w:sz w:val="20"/>
                <w:szCs w:val="20"/>
              </w:rPr>
            </w:pPr>
            <w:r w:rsidRPr="00DE0BC1">
              <w:rPr>
                <w:rFonts w:asciiTheme="minorHAnsi" w:hAnsiTheme="minorHAnsi" w:cstheme="minorHAnsi"/>
                <w:noProof/>
                <w:sz w:val="20"/>
                <w:szCs w:val="20"/>
              </w:rPr>
              <w:drawing>
                <wp:inline distT="0" distB="0" distL="0" distR="0" wp14:anchorId="163952CF" wp14:editId="24CDBD2E">
                  <wp:extent cx="6201644" cy="3061418"/>
                  <wp:effectExtent l="0" t="0" r="8890" b="5715"/>
                  <wp:docPr id="23" name="Picture 23" descr="C:\Users\Stela Bivol\AppData\Local\Microsoft\Windows\INetCache\Content.Outlook\837HB3RO\Model TB Moldov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la Bivol\AppData\Local\Microsoft\Windows\INetCache\Content.Outlook\837HB3RO\Model TB Moldova-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04221" cy="3062690"/>
                          </a:xfrm>
                          <a:prstGeom prst="rect">
                            <a:avLst/>
                          </a:prstGeom>
                          <a:noFill/>
                          <a:ln>
                            <a:noFill/>
                          </a:ln>
                        </pic:spPr>
                      </pic:pic>
                    </a:graphicData>
                  </a:graphic>
                </wp:inline>
              </w:drawing>
            </w:r>
          </w:p>
          <w:p w14:paraId="37542EC5" w14:textId="2A610BFF" w:rsidR="00297706" w:rsidRDefault="00297706" w:rsidP="00297706">
            <w:pPr>
              <w:pStyle w:val="Heading2"/>
              <w:numPr>
                <w:ilvl w:val="0"/>
                <w:numId w:val="0"/>
              </w:numPr>
              <w:spacing w:before="0" w:after="0" w:line="240" w:lineRule="auto"/>
              <w:ind w:left="562" w:hanging="562"/>
              <w:outlineLvl w:val="1"/>
              <w:rPr>
                <w:rFonts w:asciiTheme="minorHAnsi" w:hAnsiTheme="minorHAnsi" w:cstheme="minorHAnsi"/>
                <w:b w:val="0"/>
                <w:color w:val="404040" w:themeColor="text1"/>
                <w:sz w:val="18"/>
                <w:szCs w:val="20"/>
              </w:rPr>
            </w:pPr>
            <w:r w:rsidRPr="00297706">
              <w:rPr>
                <w:rFonts w:asciiTheme="minorHAnsi" w:hAnsiTheme="minorHAnsi" w:cstheme="minorHAnsi"/>
                <w:b w:val="0"/>
                <w:color w:val="404040" w:themeColor="text1"/>
                <w:sz w:val="18"/>
                <w:szCs w:val="20"/>
              </w:rPr>
              <w:t xml:space="preserve">Source: </w:t>
            </w:r>
            <w:r>
              <w:rPr>
                <w:rFonts w:asciiTheme="minorHAnsi" w:hAnsiTheme="minorHAnsi" w:cstheme="minorHAnsi"/>
                <w:b w:val="0"/>
                <w:color w:val="404040" w:themeColor="text1"/>
                <w:sz w:val="18"/>
                <w:szCs w:val="20"/>
              </w:rPr>
              <w:t xml:space="preserve">TB REP: </w:t>
            </w:r>
            <w:r w:rsidRPr="00297706">
              <w:rPr>
                <w:rFonts w:asciiTheme="minorHAnsi" w:hAnsiTheme="minorHAnsi" w:cstheme="minorHAnsi"/>
                <w:b w:val="0"/>
                <w:color w:val="404040" w:themeColor="text1"/>
                <w:sz w:val="18"/>
                <w:szCs w:val="20"/>
              </w:rPr>
              <w:t>Case Study</w:t>
            </w:r>
            <w:r w:rsidRPr="00297706">
              <w:rPr>
                <w:b w:val="0"/>
                <w:sz w:val="20"/>
              </w:rPr>
              <w:t xml:space="preserve"> </w:t>
            </w:r>
            <w:r w:rsidRPr="00297706">
              <w:rPr>
                <w:rFonts w:asciiTheme="minorHAnsi" w:hAnsiTheme="minorHAnsi" w:cstheme="minorHAnsi"/>
                <w:b w:val="0"/>
                <w:color w:val="404040" w:themeColor="text1"/>
                <w:sz w:val="18"/>
                <w:szCs w:val="20"/>
              </w:rPr>
              <w:t xml:space="preserve">Country case on advancing people-centered TB care in Moldova </w:t>
            </w:r>
          </w:p>
          <w:p w14:paraId="1DAD7EAD" w14:textId="77777777" w:rsidR="002772A6" w:rsidRDefault="002772A6" w:rsidP="00781834">
            <w:pPr>
              <w:jc w:val="both"/>
              <w:rPr>
                <w:rFonts w:asciiTheme="minorHAnsi" w:hAnsiTheme="minorHAnsi" w:cstheme="minorHAnsi"/>
                <w:color w:val="404040" w:themeColor="text1"/>
                <w:sz w:val="20"/>
                <w:szCs w:val="20"/>
              </w:rPr>
            </w:pPr>
          </w:p>
          <w:p w14:paraId="5C0010C2" w14:textId="4EA0E60E" w:rsidR="002772A6" w:rsidRPr="00324C68" w:rsidRDefault="0071110F" w:rsidP="00781834">
            <w:pPr>
              <w:jc w:val="both"/>
              <w:rPr>
                <w:rFonts w:asciiTheme="minorHAnsi" w:hAnsiTheme="minorHAnsi" w:cstheme="minorHAnsi"/>
                <w:sz w:val="20"/>
                <w:szCs w:val="20"/>
              </w:rPr>
            </w:pPr>
            <w:r w:rsidRPr="00324C68">
              <w:rPr>
                <w:rFonts w:asciiTheme="minorHAnsi" w:hAnsiTheme="minorHAnsi" w:cstheme="minorHAnsi"/>
                <w:sz w:val="20"/>
                <w:szCs w:val="20"/>
              </w:rPr>
              <w:t>In parallel to GF support to stronger patient support systems, the Government of Moldova has gradually</w:t>
            </w:r>
            <w:r w:rsidR="002772A6" w:rsidRPr="00324C68">
              <w:rPr>
                <w:rFonts w:asciiTheme="minorHAnsi" w:hAnsiTheme="minorHAnsi" w:cstheme="minorHAnsi"/>
                <w:sz w:val="20"/>
                <w:szCs w:val="20"/>
              </w:rPr>
              <w:t xml:space="preserve"> increase</w:t>
            </w:r>
            <w:r w:rsidR="00324C68">
              <w:rPr>
                <w:rFonts w:asciiTheme="minorHAnsi" w:hAnsiTheme="minorHAnsi" w:cstheme="minorHAnsi"/>
                <w:sz w:val="20"/>
                <w:szCs w:val="20"/>
              </w:rPr>
              <w:t>d</w:t>
            </w:r>
            <w:r w:rsidR="002772A6" w:rsidRPr="00324C68">
              <w:rPr>
                <w:rFonts w:asciiTheme="minorHAnsi" w:hAnsiTheme="minorHAnsi" w:cstheme="minorHAnsi"/>
                <w:sz w:val="20"/>
                <w:szCs w:val="20"/>
              </w:rPr>
              <w:t xml:space="preserve"> its domestic contributions</w:t>
            </w:r>
            <w:r w:rsidRPr="00324C68">
              <w:rPr>
                <w:rFonts w:asciiTheme="minorHAnsi" w:hAnsiTheme="minorHAnsi" w:cstheme="minorHAnsi"/>
                <w:sz w:val="20"/>
                <w:szCs w:val="20"/>
              </w:rPr>
              <w:t xml:space="preserve"> reduced excess bed capacity and has increased support to patient incentives (takeover from GF), translating in absolute terms to a 13% reduction in funding allocated to hospital care, a 24% increase in contribution to patient incentives and a 70% increase in PHC P4P payments in 2019 compared to 2016. However, hospitalization rates are still high, despite significant reduction in length of stay</w:t>
            </w:r>
            <w:r w:rsidR="00324C68">
              <w:rPr>
                <w:rFonts w:asciiTheme="minorHAnsi" w:hAnsiTheme="minorHAnsi" w:cstheme="minorHAnsi"/>
                <w:sz w:val="20"/>
                <w:szCs w:val="20"/>
              </w:rPr>
              <w:t xml:space="preserve"> for MDR TB</w:t>
            </w:r>
            <w:r w:rsidRPr="00324C68">
              <w:rPr>
                <w:rFonts w:asciiTheme="minorHAnsi" w:hAnsiTheme="minorHAnsi" w:cstheme="minorHAnsi"/>
                <w:sz w:val="20"/>
                <w:szCs w:val="20"/>
              </w:rPr>
              <w:t>.</w:t>
            </w:r>
            <w:r w:rsidR="00324C68">
              <w:rPr>
                <w:rFonts w:asciiTheme="minorHAnsi" w:hAnsiTheme="minorHAnsi" w:cstheme="minorHAnsi"/>
                <w:sz w:val="20"/>
                <w:szCs w:val="20"/>
              </w:rPr>
              <w:t xml:space="preserve"> Several missions recommended to reduce hospitalization in favor of outpatient provision, provided technical solutions, the country had made high level commitments and the level of Parliament and Government. However, progress is slow and reasons relate to slow change in contracting mechanisms that would not incentivize hospital stays (change per diem payment to mixed payment stimulating reduced hospital stays)</w:t>
            </w:r>
            <w:r w:rsidR="000911AC">
              <w:rPr>
                <w:rStyle w:val="FootnoteReference"/>
                <w:rFonts w:asciiTheme="minorHAnsi" w:hAnsiTheme="minorHAnsi" w:cstheme="minorHAnsi"/>
                <w:sz w:val="20"/>
                <w:szCs w:val="20"/>
              </w:rPr>
              <w:footnoteReference w:id="20"/>
            </w:r>
            <w:r w:rsidR="00324C68">
              <w:rPr>
                <w:rFonts w:asciiTheme="minorHAnsi" w:hAnsiTheme="minorHAnsi" w:cstheme="minorHAnsi"/>
                <w:sz w:val="20"/>
                <w:szCs w:val="20"/>
              </w:rPr>
              <w:t xml:space="preserve">. </w:t>
            </w:r>
          </w:p>
          <w:p w14:paraId="3E56DEC8" w14:textId="215A8ADF" w:rsidR="002772A6" w:rsidRPr="009C5A81" w:rsidRDefault="002772A6" w:rsidP="009C5A81">
            <w:pPr>
              <w:spacing w:after="0" w:line="240" w:lineRule="auto"/>
              <w:jc w:val="both"/>
              <w:rPr>
                <w:rStyle w:val="e24kjd"/>
                <w:b/>
                <w:sz w:val="18"/>
              </w:rPr>
            </w:pPr>
            <w:r w:rsidRPr="009C5A81">
              <w:rPr>
                <w:rStyle w:val="e24kjd"/>
                <w:b/>
                <w:sz w:val="20"/>
              </w:rPr>
              <w:t xml:space="preserve">Hospital admission rate 2015-2018, Percent hospital admissions, and average length of stays (days)  </w:t>
            </w:r>
          </w:p>
          <w:tbl>
            <w:tblPr>
              <w:tblW w:w="8100" w:type="dxa"/>
              <w:tblCellMar>
                <w:left w:w="0" w:type="dxa"/>
                <w:right w:w="0" w:type="dxa"/>
              </w:tblCellMar>
              <w:tblLook w:val="04A0" w:firstRow="1" w:lastRow="0" w:firstColumn="1" w:lastColumn="0" w:noHBand="0" w:noVBand="1"/>
            </w:tblPr>
            <w:tblGrid>
              <w:gridCol w:w="3510"/>
              <w:gridCol w:w="1080"/>
              <w:gridCol w:w="990"/>
              <w:gridCol w:w="1350"/>
              <w:gridCol w:w="1170"/>
            </w:tblGrid>
            <w:tr w:rsidR="002772A6" w14:paraId="7C06F98E" w14:textId="77777777" w:rsidTr="008376E7">
              <w:trPr>
                <w:trHeight w:val="358"/>
              </w:trPr>
              <w:tc>
                <w:tcPr>
                  <w:tcW w:w="3510" w:type="dxa"/>
                  <w:tcBorders>
                    <w:top w:val="single" w:sz="8" w:space="0" w:color="4472C4"/>
                    <w:left w:val="single" w:sz="8" w:space="0" w:color="4472C4"/>
                    <w:bottom w:val="single" w:sz="8" w:space="0" w:color="4472C4"/>
                    <w:right w:val="nil"/>
                  </w:tcBorders>
                  <w:shd w:val="clear" w:color="auto" w:fill="0070C0"/>
                  <w:noWrap/>
                  <w:tcMar>
                    <w:top w:w="0" w:type="dxa"/>
                    <w:left w:w="108" w:type="dxa"/>
                    <w:bottom w:w="0" w:type="dxa"/>
                    <w:right w:w="108" w:type="dxa"/>
                  </w:tcMar>
                  <w:hideMark/>
                </w:tcPr>
                <w:p w14:paraId="25AD7700" w14:textId="77777777" w:rsidR="002772A6" w:rsidRDefault="002772A6" w:rsidP="002772A6">
                  <w:pPr>
                    <w:pStyle w:val="xxydp8db1639amsonormalmrcssattr"/>
                  </w:pPr>
                  <w:r>
                    <w:rPr>
                      <w:b/>
                      <w:bCs/>
                      <w:color w:val="000000"/>
                      <w:sz w:val="20"/>
                      <w:szCs w:val="20"/>
                      <w:lang w:val="en-GB"/>
                    </w:rPr>
                    <w:t> </w:t>
                  </w:r>
                </w:p>
              </w:tc>
              <w:tc>
                <w:tcPr>
                  <w:tcW w:w="1080" w:type="dxa"/>
                  <w:tcBorders>
                    <w:top w:val="single" w:sz="8" w:space="0" w:color="4472C4"/>
                    <w:left w:val="nil"/>
                    <w:bottom w:val="nil"/>
                    <w:right w:val="nil"/>
                  </w:tcBorders>
                  <w:shd w:val="clear" w:color="auto" w:fill="0070C0"/>
                  <w:tcMar>
                    <w:top w:w="0" w:type="dxa"/>
                    <w:left w:w="108" w:type="dxa"/>
                    <w:bottom w:w="0" w:type="dxa"/>
                    <w:right w:w="108" w:type="dxa"/>
                  </w:tcMar>
                  <w:hideMark/>
                </w:tcPr>
                <w:p w14:paraId="0ABAF466" w14:textId="77777777" w:rsidR="002772A6" w:rsidRPr="00324C68" w:rsidRDefault="002772A6" w:rsidP="002772A6">
                  <w:pPr>
                    <w:pStyle w:val="xxydp8db1639amsonormalmrcssattr"/>
                    <w:jc w:val="center"/>
                    <w:rPr>
                      <w:rFonts w:asciiTheme="minorHAnsi" w:hAnsiTheme="minorHAnsi" w:cstheme="minorHAnsi"/>
                    </w:rPr>
                  </w:pPr>
                  <w:r w:rsidRPr="00324C68">
                    <w:rPr>
                      <w:rFonts w:asciiTheme="minorHAnsi" w:hAnsiTheme="minorHAnsi" w:cstheme="minorHAnsi"/>
                      <w:b/>
                      <w:bCs/>
                      <w:color w:val="FFFFFF"/>
                      <w:sz w:val="20"/>
                      <w:szCs w:val="20"/>
                      <w:lang w:val="ro-RO"/>
                    </w:rPr>
                    <w:t>2015</w:t>
                  </w:r>
                </w:p>
              </w:tc>
              <w:tc>
                <w:tcPr>
                  <w:tcW w:w="990" w:type="dxa"/>
                  <w:tcBorders>
                    <w:top w:val="single" w:sz="8" w:space="0" w:color="4472C4"/>
                    <w:left w:val="nil"/>
                    <w:bottom w:val="nil"/>
                    <w:right w:val="nil"/>
                  </w:tcBorders>
                  <w:shd w:val="clear" w:color="auto" w:fill="0070C0"/>
                  <w:tcMar>
                    <w:top w:w="0" w:type="dxa"/>
                    <w:left w:w="108" w:type="dxa"/>
                    <w:bottom w:w="0" w:type="dxa"/>
                    <w:right w:w="108" w:type="dxa"/>
                  </w:tcMar>
                  <w:hideMark/>
                </w:tcPr>
                <w:p w14:paraId="413EA5C7" w14:textId="77777777" w:rsidR="002772A6" w:rsidRPr="00324C68" w:rsidRDefault="002772A6" w:rsidP="002772A6">
                  <w:pPr>
                    <w:pStyle w:val="xxydp8db1639amsonormalmrcssattr"/>
                    <w:jc w:val="center"/>
                    <w:rPr>
                      <w:rFonts w:asciiTheme="minorHAnsi" w:hAnsiTheme="minorHAnsi" w:cstheme="minorHAnsi"/>
                    </w:rPr>
                  </w:pPr>
                  <w:r w:rsidRPr="00324C68">
                    <w:rPr>
                      <w:rFonts w:asciiTheme="minorHAnsi" w:hAnsiTheme="minorHAnsi" w:cstheme="minorHAnsi"/>
                      <w:b/>
                      <w:bCs/>
                      <w:color w:val="FFFFFF"/>
                      <w:sz w:val="20"/>
                      <w:szCs w:val="20"/>
                      <w:lang w:val="ro-RO"/>
                    </w:rPr>
                    <w:t>2016</w:t>
                  </w:r>
                </w:p>
              </w:tc>
              <w:tc>
                <w:tcPr>
                  <w:tcW w:w="1350" w:type="dxa"/>
                  <w:tcBorders>
                    <w:top w:val="single" w:sz="8" w:space="0" w:color="4472C4"/>
                    <w:left w:val="nil"/>
                    <w:bottom w:val="nil"/>
                    <w:right w:val="nil"/>
                  </w:tcBorders>
                  <w:shd w:val="clear" w:color="auto" w:fill="0070C0"/>
                  <w:tcMar>
                    <w:top w:w="0" w:type="dxa"/>
                    <w:left w:w="108" w:type="dxa"/>
                    <w:bottom w:w="0" w:type="dxa"/>
                    <w:right w:w="108" w:type="dxa"/>
                  </w:tcMar>
                  <w:hideMark/>
                </w:tcPr>
                <w:p w14:paraId="1B6A8A07" w14:textId="77777777" w:rsidR="002772A6" w:rsidRPr="00324C68" w:rsidRDefault="002772A6" w:rsidP="002772A6">
                  <w:pPr>
                    <w:pStyle w:val="xxydp8db1639amsonormalmrcssattr"/>
                    <w:jc w:val="center"/>
                    <w:rPr>
                      <w:rFonts w:asciiTheme="minorHAnsi" w:hAnsiTheme="minorHAnsi" w:cstheme="minorHAnsi"/>
                    </w:rPr>
                  </w:pPr>
                  <w:r w:rsidRPr="00324C68">
                    <w:rPr>
                      <w:rFonts w:asciiTheme="minorHAnsi" w:hAnsiTheme="minorHAnsi" w:cstheme="minorHAnsi"/>
                      <w:b/>
                      <w:bCs/>
                      <w:color w:val="FFFFFF"/>
                      <w:sz w:val="20"/>
                      <w:szCs w:val="20"/>
                      <w:lang w:val="ro-RO"/>
                    </w:rPr>
                    <w:t>2017</w:t>
                  </w:r>
                </w:p>
              </w:tc>
              <w:tc>
                <w:tcPr>
                  <w:tcW w:w="1170" w:type="dxa"/>
                  <w:tcBorders>
                    <w:top w:val="single" w:sz="8" w:space="0" w:color="4472C4"/>
                    <w:left w:val="nil"/>
                    <w:bottom w:val="nil"/>
                    <w:right w:val="nil"/>
                  </w:tcBorders>
                  <w:shd w:val="clear" w:color="auto" w:fill="0070C0"/>
                  <w:tcMar>
                    <w:top w:w="0" w:type="dxa"/>
                    <w:left w:w="108" w:type="dxa"/>
                    <w:bottom w:w="0" w:type="dxa"/>
                    <w:right w:w="108" w:type="dxa"/>
                  </w:tcMar>
                  <w:hideMark/>
                </w:tcPr>
                <w:p w14:paraId="613DF400" w14:textId="77777777" w:rsidR="002772A6" w:rsidRPr="00324C68" w:rsidRDefault="002772A6" w:rsidP="002772A6">
                  <w:pPr>
                    <w:pStyle w:val="xxydp8db1639amsonormalmrcssattr"/>
                    <w:jc w:val="center"/>
                    <w:rPr>
                      <w:rFonts w:asciiTheme="minorHAnsi" w:hAnsiTheme="minorHAnsi" w:cstheme="minorHAnsi"/>
                    </w:rPr>
                  </w:pPr>
                  <w:r w:rsidRPr="00324C68">
                    <w:rPr>
                      <w:rFonts w:asciiTheme="minorHAnsi" w:hAnsiTheme="minorHAnsi" w:cstheme="minorHAnsi"/>
                      <w:b/>
                      <w:bCs/>
                      <w:color w:val="FFFFFF"/>
                      <w:sz w:val="20"/>
                      <w:szCs w:val="20"/>
                      <w:lang w:val="ro-RO"/>
                    </w:rPr>
                    <w:t>2018</w:t>
                  </w:r>
                </w:p>
              </w:tc>
            </w:tr>
            <w:tr w:rsidR="002772A6" w:rsidRPr="00324C68" w14:paraId="33369C81" w14:textId="77777777" w:rsidTr="002772A6">
              <w:tc>
                <w:tcPr>
                  <w:tcW w:w="3510" w:type="dxa"/>
                  <w:tcBorders>
                    <w:top w:val="nil"/>
                    <w:left w:val="single" w:sz="8" w:space="0" w:color="4472C4"/>
                    <w:bottom w:val="nil"/>
                    <w:right w:val="nil"/>
                  </w:tcBorders>
                  <w:shd w:val="clear" w:color="auto" w:fill="FFFFFF"/>
                  <w:noWrap/>
                  <w:tcMar>
                    <w:top w:w="0" w:type="dxa"/>
                    <w:left w:w="108" w:type="dxa"/>
                    <w:bottom w:w="0" w:type="dxa"/>
                    <w:right w:w="108" w:type="dxa"/>
                  </w:tcMar>
                  <w:hideMark/>
                </w:tcPr>
                <w:p w14:paraId="02AB2F5E" w14:textId="77777777" w:rsidR="002772A6" w:rsidRPr="0066560C" w:rsidRDefault="002772A6" w:rsidP="002772A6">
                  <w:pPr>
                    <w:pStyle w:val="xxydp8db1639amsonormalmrcssattr"/>
                    <w:rPr>
                      <w:rFonts w:ascii="Arial" w:hAnsi="Arial" w:cs="Arial"/>
                    </w:rPr>
                  </w:pPr>
                  <w:r w:rsidRPr="0066560C">
                    <w:rPr>
                      <w:rFonts w:ascii="Arial" w:hAnsi="Arial" w:cs="Arial"/>
                      <w:b/>
                      <w:bCs/>
                      <w:color w:val="000000"/>
                      <w:sz w:val="20"/>
                      <w:szCs w:val="20"/>
                    </w:rPr>
                    <w:t>Percentage of new TB cases hospitalized</w:t>
                  </w:r>
                </w:p>
              </w:tc>
              <w:tc>
                <w:tcPr>
                  <w:tcW w:w="1080" w:type="dxa"/>
                  <w:tcMar>
                    <w:top w:w="0" w:type="dxa"/>
                    <w:left w:w="108" w:type="dxa"/>
                    <w:bottom w:w="0" w:type="dxa"/>
                    <w:right w:w="108" w:type="dxa"/>
                  </w:tcMar>
                  <w:hideMark/>
                </w:tcPr>
                <w:p w14:paraId="7C44C937" w14:textId="77777777" w:rsidR="002772A6" w:rsidRPr="00324C68" w:rsidRDefault="002772A6" w:rsidP="002772A6">
                  <w:pPr>
                    <w:pStyle w:val="xxydp8db1639amsonormalmrcssattr"/>
                    <w:jc w:val="center"/>
                    <w:rPr>
                      <w:rFonts w:ascii="Arial" w:hAnsi="Arial" w:cs="Arial"/>
                    </w:rPr>
                  </w:pPr>
                  <w:r w:rsidRPr="00324C68">
                    <w:rPr>
                      <w:rFonts w:ascii="Arial" w:hAnsi="Arial" w:cs="Arial"/>
                      <w:color w:val="000000"/>
                      <w:sz w:val="20"/>
                      <w:szCs w:val="20"/>
                      <w:lang w:val="en-GB"/>
                    </w:rPr>
                    <w:t>70.2</w:t>
                  </w:r>
                </w:p>
              </w:tc>
              <w:tc>
                <w:tcPr>
                  <w:tcW w:w="990" w:type="dxa"/>
                  <w:tcMar>
                    <w:top w:w="0" w:type="dxa"/>
                    <w:left w:w="108" w:type="dxa"/>
                    <w:bottom w:w="0" w:type="dxa"/>
                    <w:right w:w="108" w:type="dxa"/>
                  </w:tcMar>
                  <w:hideMark/>
                </w:tcPr>
                <w:p w14:paraId="75E8394B" w14:textId="77777777" w:rsidR="002772A6" w:rsidRPr="00324C68" w:rsidRDefault="002772A6" w:rsidP="002772A6">
                  <w:pPr>
                    <w:pStyle w:val="xxydp8db1639amsonormalmrcssattr"/>
                    <w:jc w:val="center"/>
                    <w:rPr>
                      <w:rFonts w:ascii="Arial" w:hAnsi="Arial" w:cs="Arial"/>
                    </w:rPr>
                  </w:pPr>
                  <w:r w:rsidRPr="00324C68">
                    <w:rPr>
                      <w:rFonts w:ascii="Arial" w:hAnsi="Arial" w:cs="Arial"/>
                      <w:color w:val="000000"/>
                      <w:sz w:val="20"/>
                      <w:szCs w:val="20"/>
                      <w:lang w:val="en-GB"/>
                    </w:rPr>
                    <w:t>69.5</w:t>
                  </w:r>
                </w:p>
              </w:tc>
              <w:tc>
                <w:tcPr>
                  <w:tcW w:w="1350" w:type="dxa"/>
                  <w:tcMar>
                    <w:top w:w="0" w:type="dxa"/>
                    <w:left w:w="108" w:type="dxa"/>
                    <w:bottom w:w="0" w:type="dxa"/>
                    <w:right w:w="108" w:type="dxa"/>
                  </w:tcMar>
                  <w:hideMark/>
                </w:tcPr>
                <w:p w14:paraId="68EADBD1" w14:textId="77777777" w:rsidR="002772A6" w:rsidRPr="00324C68" w:rsidRDefault="002772A6" w:rsidP="002772A6">
                  <w:pPr>
                    <w:pStyle w:val="xxydp8db1639amsonormalmrcssattr"/>
                    <w:jc w:val="center"/>
                    <w:rPr>
                      <w:rFonts w:ascii="Arial" w:hAnsi="Arial" w:cs="Arial"/>
                    </w:rPr>
                  </w:pPr>
                  <w:r w:rsidRPr="00324C68">
                    <w:rPr>
                      <w:rFonts w:ascii="Arial" w:hAnsi="Arial" w:cs="Arial"/>
                      <w:color w:val="000000"/>
                      <w:sz w:val="20"/>
                      <w:szCs w:val="20"/>
                      <w:lang w:val="en-GB"/>
                    </w:rPr>
                    <w:t>67.4</w:t>
                  </w:r>
                </w:p>
              </w:tc>
              <w:tc>
                <w:tcPr>
                  <w:tcW w:w="1170" w:type="dxa"/>
                  <w:tcMar>
                    <w:top w:w="0" w:type="dxa"/>
                    <w:left w:w="108" w:type="dxa"/>
                    <w:bottom w:w="0" w:type="dxa"/>
                    <w:right w:w="108" w:type="dxa"/>
                  </w:tcMar>
                  <w:hideMark/>
                </w:tcPr>
                <w:p w14:paraId="14FFDE95" w14:textId="77777777" w:rsidR="002772A6" w:rsidRPr="00324C68" w:rsidRDefault="002772A6" w:rsidP="002772A6">
                  <w:pPr>
                    <w:pStyle w:val="xxydp8db1639amsonormalmrcssattr"/>
                    <w:jc w:val="center"/>
                    <w:rPr>
                      <w:rFonts w:ascii="Arial" w:hAnsi="Arial" w:cs="Arial"/>
                    </w:rPr>
                  </w:pPr>
                  <w:r w:rsidRPr="00324C68">
                    <w:rPr>
                      <w:rFonts w:ascii="Arial" w:hAnsi="Arial" w:cs="Arial"/>
                      <w:color w:val="000000"/>
                      <w:sz w:val="20"/>
                      <w:szCs w:val="20"/>
                      <w:lang w:val="ro-RO"/>
                    </w:rPr>
                    <w:t>68.5</w:t>
                  </w:r>
                </w:p>
              </w:tc>
            </w:tr>
            <w:tr w:rsidR="002772A6" w:rsidRPr="00324C68" w14:paraId="65FB1BAA" w14:textId="77777777" w:rsidTr="002772A6">
              <w:tc>
                <w:tcPr>
                  <w:tcW w:w="3510" w:type="dxa"/>
                  <w:tcBorders>
                    <w:top w:val="single" w:sz="8" w:space="0" w:color="4472C4"/>
                    <w:left w:val="single" w:sz="8" w:space="0" w:color="4472C4"/>
                    <w:bottom w:val="single" w:sz="8" w:space="0" w:color="4472C4"/>
                    <w:right w:val="nil"/>
                  </w:tcBorders>
                  <w:shd w:val="clear" w:color="auto" w:fill="FFFFFF"/>
                  <w:noWrap/>
                  <w:tcMar>
                    <w:top w:w="0" w:type="dxa"/>
                    <w:left w:w="108" w:type="dxa"/>
                    <w:bottom w:w="0" w:type="dxa"/>
                    <w:right w:w="108" w:type="dxa"/>
                  </w:tcMar>
                  <w:hideMark/>
                </w:tcPr>
                <w:p w14:paraId="511EC25A" w14:textId="77777777" w:rsidR="002772A6" w:rsidRPr="0066560C" w:rsidRDefault="002772A6" w:rsidP="002772A6">
                  <w:pPr>
                    <w:pStyle w:val="xxydp8db1639amsonormalmrcssattr"/>
                    <w:rPr>
                      <w:rFonts w:ascii="Arial" w:hAnsi="Arial" w:cs="Arial"/>
                    </w:rPr>
                  </w:pPr>
                  <w:r w:rsidRPr="0066560C">
                    <w:rPr>
                      <w:rFonts w:ascii="Arial" w:hAnsi="Arial" w:cs="Arial"/>
                      <w:b/>
                      <w:bCs/>
                      <w:color w:val="000000"/>
                      <w:sz w:val="20"/>
                      <w:szCs w:val="20"/>
                    </w:rPr>
                    <w:t>Average length of hospital stay, new TB cases, days</w:t>
                  </w:r>
                </w:p>
              </w:tc>
              <w:tc>
                <w:tcPr>
                  <w:tcW w:w="1080" w:type="dxa"/>
                  <w:tcBorders>
                    <w:top w:val="single" w:sz="8" w:space="0" w:color="4472C4"/>
                    <w:left w:val="nil"/>
                    <w:bottom w:val="single" w:sz="8" w:space="0" w:color="4472C4"/>
                    <w:right w:val="nil"/>
                  </w:tcBorders>
                  <w:tcMar>
                    <w:top w:w="0" w:type="dxa"/>
                    <w:left w:w="108" w:type="dxa"/>
                    <w:bottom w:w="0" w:type="dxa"/>
                    <w:right w:w="108" w:type="dxa"/>
                  </w:tcMar>
                  <w:hideMark/>
                </w:tcPr>
                <w:p w14:paraId="2412C718" w14:textId="77777777" w:rsidR="002772A6" w:rsidRPr="00324C68" w:rsidRDefault="002772A6" w:rsidP="002772A6">
                  <w:pPr>
                    <w:pStyle w:val="xxydp8db1639amsonormalmrcssattr"/>
                    <w:jc w:val="center"/>
                    <w:rPr>
                      <w:rFonts w:ascii="Arial" w:hAnsi="Arial" w:cs="Arial"/>
                    </w:rPr>
                  </w:pPr>
                  <w:r w:rsidRPr="00324C68">
                    <w:rPr>
                      <w:rFonts w:ascii="Arial" w:hAnsi="Arial" w:cs="Arial"/>
                      <w:color w:val="000000"/>
                      <w:sz w:val="20"/>
                      <w:szCs w:val="20"/>
                      <w:lang w:val="ro-RO"/>
                    </w:rPr>
                    <w:t>67.3</w:t>
                  </w:r>
                </w:p>
              </w:tc>
              <w:tc>
                <w:tcPr>
                  <w:tcW w:w="990" w:type="dxa"/>
                  <w:tcBorders>
                    <w:top w:val="single" w:sz="8" w:space="0" w:color="4472C4"/>
                    <w:left w:val="nil"/>
                    <w:bottom w:val="single" w:sz="8" w:space="0" w:color="4472C4"/>
                    <w:right w:val="nil"/>
                  </w:tcBorders>
                  <w:tcMar>
                    <w:top w:w="0" w:type="dxa"/>
                    <w:left w:w="108" w:type="dxa"/>
                    <w:bottom w:w="0" w:type="dxa"/>
                    <w:right w:w="108" w:type="dxa"/>
                  </w:tcMar>
                  <w:hideMark/>
                </w:tcPr>
                <w:p w14:paraId="7F6CB9BC" w14:textId="77777777" w:rsidR="002772A6" w:rsidRPr="00324C68" w:rsidRDefault="002772A6" w:rsidP="002772A6">
                  <w:pPr>
                    <w:pStyle w:val="xxydp8db1639amsonormalmrcssattr"/>
                    <w:jc w:val="center"/>
                    <w:rPr>
                      <w:rFonts w:ascii="Arial" w:hAnsi="Arial" w:cs="Arial"/>
                    </w:rPr>
                  </w:pPr>
                  <w:r w:rsidRPr="00324C68">
                    <w:rPr>
                      <w:rFonts w:ascii="Arial" w:hAnsi="Arial" w:cs="Arial"/>
                      <w:color w:val="000000"/>
                      <w:sz w:val="20"/>
                      <w:szCs w:val="20"/>
                      <w:lang w:val="ro-RO"/>
                    </w:rPr>
                    <w:t>66</w:t>
                  </w:r>
                </w:p>
              </w:tc>
              <w:tc>
                <w:tcPr>
                  <w:tcW w:w="1350" w:type="dxa"/>
                  <w:tcBorders>
                    <w:top w:val="single" w:sz="8" w:space="0" w:color="4472C4"/>
                    <w:left w:val="nil"/>
                    <w:bottom w:val="single" w:sz="8" w:space="0" w:color="4472C4"/>
                    <w:right w:val="nil"/>
                  </w:tcBorders>
                  <w:tcMar>
                    <w:top w:w="0" w:type="dxa"/>
                    <w:left w:w="108" w:type="dxa"/>
                    <w:bottom w:w="0" w:type="dxa"/>
                    <w:right w:w="108" w:type="dxa"/>
                  </w:tcMar>
                  <w:hideMark/>
                </w:tcPr>
                <w:p w14:paraId="091E4F38" w14:textId="77777777" w:rsidR="002772A6" w:rsidRPr="00324C68" w:rsidRDefault="002772A6" w:rsidP="002772A6">
                  <w:pPr>
                    <w:pStyle w:val="xxydp8db1639amsonormalmrcssattr"/>
                    <w:jc w:val="center"/>
                    <w:rPr>
                      <w:rFonts w:ascii="Arial" w:hAnsi="Arial" w:cs="Arial"/>
                    </w:rPr>
                  </w:pPr>
                  <w:r w:rsidRPr="00324C68">
                    <w:rPr>
                      <w:rFonts w:ascii="Arial" w:hAnsi="Arial" w:cs="Arial"/>
                      <w:color w:val="000000"/>
                      <w:sz w:val="20"/>
                      <w:szCs w:val="20"/>
                      <w:lang w:val="ro-RO"/>
                    </w:rPr>
                    <w:t>64.8</w:t>
                  </w:r>
                </w:p>
              </w:tc>
              <w:tc>
                <w:tcPr>
                  <w:tcW w:w="1170" w:type="dxa"/>
                  <w:tcBorders>
                    <w:top w:val="single" w:sz="8" w:space="0" w:color="4472C4"/>
                    <w:left w:val="nil"/>
                    <w:bottom w:val="single" w:sz="8" w:space="0" w:color="4472C4"/>
                    <w:right w:val="nil"/>
                  </w:tcBorders>
                  <w:tcMar>
                    <w:top w:w="0" w:type="dxa"/>
                    <w:left w:w="108" w:type="dxa"/>
                    <w:bottom w:w="0" w:type="dxa"/>
                    <w:right w:w="108" w:type="dxa"/>
                  </w:tcMar>
                  <w:hideMark/>
                </w:tcPr>
                <w:p w14:paraId="6AD1DCCD" w14:textId="77777777" w:rsidR="002772A6" w:rsidRPr="00324C68" w:rsidRDefault="002772A6" w:rsidP="002772A6">
                  <w:pPr>
                    <w:pStyle w:val="xxydp8db1639amsonormalmrcssattr"/>
                    <w:jc w:val="center"/>
                    <w:rPr>
                      <w:rFonts w:ascii="Arial" w:hAnsi="Arial" w:cs="Arial"/>
                    </w:rPr>
                  </w:pPr>
                  <w:r w:rsidRPr="00324C68">
                    <w:rPr>
                      <w:rFonts w:ascii="Arial" w:hAnsi="Arial" w:cs="Arial"/>
                      <w:color w:val="000000"/>
                      <w:sz w:val="20"/>
                      <w:szCs w:val="20"/>
                      <w:lang w:val="ro-RO"/>
                    </w:rPr>
                    <w:t>56.8</w:t>
                  </w:r>
                </w:p>
              </w:tc>
            </w:tr>
            <w:tr w:rsidR="002772A6" w:rsidRPr="00324C68" w14:paraId="3850F088" w14:textId="77777777" w:rsidTr="002772A6">
              <w:tc>
                <w:tcPr>
                  <w:tcW w:w="3510" w:type="dxa"/>
                  <w:tcBorders>
                    <w:top w:val="nil"/>
                    <w:left w:val="single" w:sz="8" w:space="0" w:color="4472C4"/>
                    <w:bottom w:val="nil"/>
                    <w:right w:val="nil"/>
                  </w:tcBorders>
                  <w:shd w:val="clear" w:color="auto" w:fill="FFFFFF"/>
                  <w:noWrap/>
                  <w:tcMar>
                    <w:top w:w="0" w:type="dxa"/>
                    <w:left w:w="108" w:type="dxa"/>
                    <w:bottom w:w="0" w:type="dxa"/>
                    <w:right w:w="108" w:type="dxa"/>
                  </w:tcMar>
                  <w:hideMark/>
                </w:tcPr>
                <w:p w14:paraId="6D61321B" w14:textId="77777777" w:rsidR="002772A6" w:rsidRPr="0066560C" w:rsidRDefault="002772A6" w:rsidP="002772A6">
                  <w:pPr>
                    <w:pStyle w:val="xxydp8db1639amsonormalmrcssattr"/>
                    <w:rPr>
                      <w:rFonts w:ascii="Arial" w:hAnsi="Arial" w:cs="Arial"/>
                    </w:rPr>
                  </w:pPr>
                  <w:r w:rsidRPr="0066560C">
                    <w:rPr>
                      <w:rFonts w:ascii="Arial" w:hAnsi="Arial" w:cs="Arial"/>
                      <w:b/>
                      <w:bCs/>
                      <w:color w:val="000000"/>
                      <w:sz w:val="20"/>
                      <w:szCs w:val="20"/>
                    </w:rPr>
                    <w:t>Percentage of MDR-TB patients hospitalized</w:t>
                  </w:r>
                </w:p>
              </w:tc>
              <w:tc>
                <w:tcPr>
                  <w:tcW w:w="1080" w:type="dxa"/>
                  <w:tcMar>
                    <w:top w:w="0" w:type="dxa"/>
                    <w:left w:w="108" w:type="dxa"/>
                    <w:bottom w:w="0" w:type="dxa"/>
                    <w:right w:w="108" w:type="dxa"/>
                  </w:tcMar>
                  <w:hideMark/>
                </w:tcPr>
                <w:p w14:paraId="44CC1E7C" w14:textId="77777777" w:rsidR="002772A6" w:rsidRPr="00324C68" w:rsidRDefault="002772A6" w:rsidP="002772A6">
                  <w:pPr>
                    <w:pStyle w:val="xxydp8db1639amsonormalmrcssattr"/>
                    <w:jc w:val="center"/>
                    <w:rPr>
                      <w:rFonts w:ascii="Arial" w:hAnsi="Arial" w:cs="Arial"/>
                    </w:rPr>
                  </w:pPr>
                  <w:r w:rsidRPr="00324C68">
                    <w:rPr>
                      <w:rFonts w:ascii="Arial" w:hAnsi="Arial" w:cs="Arial"/>
                      <w:color w:val="000000"/>
                      <w:sz w:val="20"/>
                      <w:szCs w:val="20"/>
                      <w:lang w:val="ro-RO"/>
                    </w:rPr>
                    <w:t>87.8</w:t>
                  </w:r>
                </w:p>
              </w:tc>
              <w:tc>
                <w:tcPr>
                  <w:tcW w:w="990" w:type="dxa"/>
                  <w:tcMar>
                    <w:top w:w="0" w:type="dxa"/>
                    <w:left w:w="108" w:type="dxa"/>
                    <w:bottom w:w="0" w:type="dxa"/>
                    <w:right w:w="108" w:type="dxa"/>
                  </w:tcMar>
                  <w:hideMark/>
                </w:tcPr>
                <w:p w14:paraId="65BA4B71" w14:textId="77777777" w:rsidR="002772A6" w:rsidRPr="00324C68" w:rsidRDefault="002772A6" w:rsidP="002772A6">
                  <w:pPr>
                    <w:pStyle w:val="xxydp8db1639amsonormalmrcssattr"/>
                    <w:jc w:val="center"/>
                    <w:rPr>
                      <w:rFonts w:ascii="Arial" w:hAnsi="Arial" w:cs="Arial"/>
                    </w:rPr>
                  </w:pPr>
                  <w:r w:rsidRPr="00324C68">
                    <w:rPr>
                      <w:rFonts w:ascii="Arial" w:hAnsi="Arial" w:cs="Arial"/>
                      <w:color w:val="000000"/>
                      <w:sz w:val="20"/>
                      <w:szCs w:val="20"/>
                      <w:lang w:val="ro-RO"/>
                    </w:rPr>
                    <w:t>86.1</w:t>
                  </w:r>
                </w:p>
              </w:tc>
              <w:tc>
                <w:tcPr>
                  <w:tcW w:w="1350" w:type="dxa"/>
                  <w:tcMar>
                    <w:top w:w="0" w:type="dxa"/>
                    <w:left w:w="108" w:type="dxa"/>
                    <w:bottom w:w="0" w:type="dxa"/>
                    <w:right w:w="108" w:type="dxa"/>
                  </w:tcMar>
                  <w:hideMark/>
                </w:tcPr>
                <w:p w14:paraId="36ED2A6F" w14:textId="77777777" w:rsidR="002772A6" w:rsidRPr="00324C68" w:rsidRDefault="002772A6" w:rsidP="002772A6">
                  <w:pPr>
                    <w:pStyle w:val="xxydp8db1639amsonormalmrcssattr"/>
                    <w:jc w:val="center"/>
                    <w:rPr>
                      <w:rFonts w:ascii="Arial" w:hAnsi="Arial" w:cs="Arial"/>
                    </w:rPr>
                  </w:pPr>
                  <w:r w:rsidRPr="00324C68">
                    <w:rPr>
                      <w:rFonts w:ascii="Arial" w:hAnsi="Arial" w:cs="Arial"/>
                      <w:color w:val="000000"/>
                      <w:sz w:val="20"/>
                      <w:szCs w:val="20"/>
                      <w:lang w:val="ro-RO"/>
                    </w:rPr>
                    <w:t>86.3</w:t>
                  </w:r>
                </w:p>
              </w:tc>
              <w:tc>
                <w:tcPr>
                  <w:tcW w:w="1170" w:type="dxa"/>
                  <w:tcMar>
                    <w:top w:w="0" w:type="dxa"/>
                    <w:left w:w="108" w:type="dxa"/>
                    <w:bottom w:w="0" w:type="dxa"/>
                    <w:right w:w="108" w:type="dxa"/>
                  </w:tcMar>
                  <w:hideMark/>
                </w:tcPr>
                <w:p w14:paraId="4381ABE1" w14:textId="77777777" w:rsidR="002772A6" w:rsidRPr="00324C68" w:rsidRDefault="002772A6" w:rsidP="002772A6">
                  <w:pPr>
                    <w:pStyle w:val="xxydp8db1639amsonormalmrcssattr"/>
                    <w:jc w:val="center"/>
                    <w:rPr>
                      <w:rFonts w:ascii="Arial" w:hAnsi="Arial" w:cs="Arial"/>
                    </w:rPr>
                  </w:pPr>
                  <w:r w:rsidRPr="00324C68">
                    <w:rPr>
                      <w:rFonts w:ascii="Arial" w:hAnsi="Arial" w:cs="Arial"/>
                      <w:color w:val="000000"/>
                      <w:sz w:val="20"/>
                      <w:szCs w:val="20"/>
                      <w:lang w:val="ro-RO"/>
                    </w:rPr>
                    <w:t>80.4</w:t>
                  </w:r>
                </w:p>
              </w:tc>
            </w:tr>
            <w:tr w:rsidR="002772A6" w:rsidRPr="00324C68" w14:paraId="465B5291" w14:textId="77777777" w:rsidTr="002772A6">
              <w:tc>
                <w:tcPr>
                  <w:tcW w:w="3510" w:type="dxa"/>
                  <w:tcBorders>
                    <w:top w:val="single" w:sz="8" w:space="0" w:color="4472C4"/>
                    <w:left w:val="single" w:sz="8" w:space="0" w:color="4472C4"/>
                    <w:bottom w:val="single" w:sz="8" w:space="0" w:color="4472C4"/>
                    <w:right w:val="nil"/>
                  </w:tcBorders>
                  <w:shd w:val="clear" w:color="auto" w:fill="FFFFFF"/>
                  <w:noWrap/>
                  <w:tcMar>
                    <w:top w:w="0" w:type="dxa"/>
                    <w:left w:w="108" w:type="dxa"/>
                    <w:bottom w:w="0" w:type="dxa"/>
                    <w:right w:w="108" w:type="dxa"/>
                  </w:tcMar>
                  <w:hideMark/>
                </w:tcPr>
                <w:p w14:paraId="142850F3" w14:textId="77777777" w:rsidR="002772A6" w:rsidRPr="0066560C" w:rsidRDefault="002772A6" w:rsidP="002772A6">
                  <w:pPr>
                    <w:pStyle w:val="xxydp8db1639amsonormalmrcssattr"/>
                    <w:rPr>
                      <w:rFonts w:ascii="Arial" w:hAnsi="Arial" w:cs="Arial"/>
                    </w:rPr>
                  </w:pPr>
                  <w:r w:rsidRPr="0066560C">
                    <w:rPr>
                      <w:rFonts w:ascii="Arial" w:hAnsi="Arial" w:cs="Arial"/>
                      <w:b/>
                      <w:bCs/>
                      <w:color w:val="000000"/>
                      <w:sz w:val="20"/>
                      <w:szCs w:val="20"/>
                    </w:rPr>
                    <w:t>Average length of hospital stay, MDR-TB cases, days</w:t>
                  </w:r>
                </w:p>
              </w:tc>
              <w:tc>
                <w:tcPr>
                  <w:tcW w:w="1080" w:type="dxa"/>
                  <w:tcBorders>
                    <w:top w:val="single" w:sz="8" w:space="0" w:color="4472C4"/>
                    <w:left w:val="nil"/>
                    <w:bottom w:val="single" w:sz="8" w:space="0" w:color="4472C4"/>
                    <w:right w:val="nil"/>
                  </w:tcBorders>
                  <w:noWrap/>
                  <w:tcMar>
                    <w:top w:w="0" w:type="dxa"/>
                    <w:left w:w="108" w:type="dxa"/>
                    <w:bottom w:w="0" w:type="dxa"/>
                    <w:right w:w="108" w:type="dxa"/>
                  </w:tcMar>
                  <w:hideMark/>
                </w:tcPr>
                <w:p w14:paraId="69B62EF3" w14:textId="77777777" w:rsidR="002772A6" w:rsidRPr="00324C68" w:rsidRDefault="002772A6" w:rsidP="002772A6">
                  <w:pPr>
                    <w:pStyle w:val="xxydp8db1639amsonormalmrcssattr"/>
                    <w:jc w:val="center"/>
                    <w:rPr>
                      <w:rFonts w:ascii="Arial" w:hAnsi="Arial" w:cs="Arial"/>
                    </w:rPr>
                  </w:pPr>
                  <w:r w:rsidRPr="00324C68">
                    <w:rPr>
                      <w:rFonts w:ascii="Arial" w:hAnsi="Arial" w:cs="Arial"/>
                      <w:color w:val="000000"/>
                      <w:sz w:val="20"/>
                      <w:szCs w:val="20"/>
                      <w:lang w:val="ro-RO"/>
                    </w:rPr>
                    <w:t>188.7</w:t>
                  </w:r>
                </w:p>
              </w:tc>
              <w:tc>
                <w:tcPr>
                  <w:tcW w:w="990" w:type="dxa"/>
                  <w:tcBorders>
                    <w:top w:val="single" w:sz="8" w:space="0" w:color="4472C4"/>
                    <w:left w:val="nil"/>
                    <w:bottom w:val="single" w:sz="8" w:space="0" w:color="4472C4"/>
                    <w:right w:val="nil"/>
                  </w:tcBorders>
                  <w:noWrap/>
                  <w:tcMar>
                    <w:top w:w="0" w:type="dxa"/>
                    <w:left w:w="108" w:type="dxa"/>
                    <w:bottom w:w="0" w:type="dxa"/>
                    <w:right w:w="108" w:type="dxa"/>
                  </w:tcMar>
                  <w:hideMark/>
                </w:tcPr>
                <w:p w14:paraId="0D3414B8" w14:textId="77777777" w:rsidR="002772A6" w:rsidRPr="00324C68" w:rsidRDefault="002772A6" w:rsidP="002772A6">
                  <w:pPr>
                    <w:pStyle w:val="xxydp8db1639amsonormalmrcssattr"/>
                    <w:jc w:val="center"/>
                    <w:rPr>
                      <w:rFonts w:ascii="Arial" w:hAnsi="Arial" w:cs="Arial"/>
                    </w:rPr>
                  </w:pPr>
                  <w:r w:rsidRPr="00324C68">
                    <w:rPr>
                      <w:rFonts w:ascii="Arial" w:hAnsi="Arial" w:cs="Arial"/>
                      <w:color w:val="000000"/>
                      <w:sz w:val="20"/>
                      <w:szCs w:val="20"/>
                      <w:lang w:val="ro-RO"/>
                    </w:rPr>
                    <w:t>172.3</w:t>
                  </w:r>
                </w:p>
              </w:tc>
              <w:tc>
                <w:tcPr>
                  <w:tcW w:w="1350" w:type="dxa"/>
                  <w:tcBorders>
                    <w:top w:val="single" w:sz="8" w:space="0" w:color="4472C4"/>
                    <w:left w:val="nil"/>
                    <w:bottom w:val="single" w:sz="8" w:space="0" w:color="4472C4"/>
                    <w:right w:val="nil"/>
                  </w:tcBorders>
                  <w:noWrap/>
                  <w:tcMar>
                    <w:top w:w="0" w:type="dxa"/>
                    <w:left w:w="108" w:type="dxa"/>
                    <w:bottom w:w="0" w:type="dxa"/>
                    <w:right w:w="108" w:type="dxa"/>
                  </w:tcMar>
                  <w:hideMark/>
                </w:tcPr>
                <w:p w14:paraId="220B94A9" w14:textId="77777777" w:rsidR="002772A6" w:rsidRPr="00324C68" w:rsidRDefault="002772A6" w:rsidP="002772A6">
                  <w:pPr>
                    <w:pStyle w:val="xxydp8db1639amsonormalmrcssattr"/>
                    <w:jc w:val="center"/>
                    <w:rPr>
                      <w:rFonts w:ascii="Arial" w:hAnsi="Arial" w:cs="Arial"/>
                    </w:rPr>
                  </w:pPr>
                  <w:r w:rsidRPr="00324C68">
                    <w:rPr>
                      <w:rFonts w:ascii="Arial" w:hAnsi="Arial" w:cs="Arial"/>
                      <w:color w:val="000000"/>
                      <w:sz w:val="20"/>
                      <w:szCs w:val="20"/>
                      <w:lang w:val="ro-RO"/>
                    </w:rPr>
                    <w:t>147.2</w:t>
                  </w:r>
                </w:p>
              </w:tc>
              <w:tc>
                <w:tcPr>
                  <w:tcW w:w="1170" w:type="dxa"/>
                  <w:tcBorders>
                    <w:top w:val="single" w:sz="8" w:space="0" w:color="4472C4"/>
                    <w:left w:val="nil"/>
                    <w:bottom w:val="single" w:sz="8" w:space="0" w:color="4472C4"/>
                    <w:right w:val="nil"/>
                  </w:tcBorders>
                  <w:noWrap/>
                  <w:tcMar>
                    <w:top w:w="0" w:type="dxa"/>
                    <w:left w:w="108" w:type="dxa"/>
                    <w:bottom w:w="0" w:type="dxa"/>
                    <w:right w:w="108" w:type="dxa"/>
                  </w:tcMar>
                  <w:hideMark/>
                </w:tcPr>
                <w:p w14:paraId="3152EB9D" w14:textId="77777777" w:rsidR="002772A6" w:rsidRPr="00324C68" w:rsidRDefault="002772A6" w:rsidP="002772A6">
                  <w:pPr>
                    <w:pStyle w:val="xxydp8db1639amsonormalmrcssattr"/>
                    <w:jc w:val="center"/>
                    <w:rPr>
                      <w:rFonts w:ascii="Arial" w:hAnsi="Arial" w:cs="Arial"/>
                    </w:rPr>
                  </w:pPr>
                  <w:r w:rsidRPr="00324C68">
                    <w:rPr>
                      <w:rFonts w:ascii="Arial" w:hAnsi="Arial" w:cs="Arial"/>
                      <w:color w:val="000000"/>
                      <w:sz w:val="20"/>
                      <w:szCs w:val="20"/>
                      <w:lang w:val="ro-RO"/>
                    </w:rPr>
                    <w:t>102</w:t>
                  </w:r>
                </w:p>
              </w:tc>
            </w:tr>
          </w:tbl>
          <w:p w14:paraId="34F4793F" w14:textId="07B67EDA" w:rsidR="002772A6" w:rsidRDefault="009C5A81" w:rsidP="00781834">
            <w:pPr>
              <w:jc w:val="both"/>
              <w:rPr>
                <w:rStyle w:val="e24kjd"/>
                <w:rFonts w:asciiTheme="majorHAnsi" w:hAnsiTheme="majorHAnsi" w:cstheme="majorHAnsi"/>
                <w:sz w:val="20"/>
              </w:rPr>
            </w:pPr>
            <w:r>
              <w:rPr>
                <w:rStyle w:val="e24kjd"/>
                <w:rFonts w:asciiTheme="majorHAnsi" w:hAnsiTheme="majorHAnsi" w:cstheme="majorHAnsi"/>
                <w:sz w:val="20"/>
              </w:rPr>
              <w:t xml:space="preserve">Source: NTCP annual </w:t>
            </w:r>
            <w:r w:rsidR="006D0D17">
              <w:rPr>
                <w:rStyle w:val="e24kjd"/>
                <w:rFonts w:asciiTheme="majorHAnsi" w:hAnsiTheme="majorHAnsi" w:cstheme="majorHAnsi"/>
                <w:sz w:val="20"/>
              </w:rPr>
              <w:t>reports</w:t>
            </w:r>
          </w:p>
          <w:p w14:paraId="7E098E77" w14:textId="25D268F3" w:rsidR="0071110F" w:rsidRPr="00324C68" w:rsidRDefault="00183185" w:rsidP="00781834">
            <w:pPr>
              <w:jc w:val="both"/>
              <w:rPr>
                <w:rFonts w:asciiTheme="minorHAnsi" w:hAnsiTheme="minorHAnsi" w:cstheme="minorHAnsi"/>
                <w:sz w:val="20"/>
                <w:szCs w:val="20"/>
              </w:rPr>
            </w:pPr>
            <w:r w:rsidRPr="00324C68">
              <w:rPr>
                <w:rFonts w:asciiTheme="minorHAnsi" w:hAnsiTheme="minorHAnsi" w:cstheme="minorHAnsi"/>
                <w:sz w:val="20"/>
                <w:szCs w:val="20"/>
              </w:rPr>
              <w:t>There</w:t>
            </w:r>
            <w:r w:rsidR="0071110F" w:rsidRPr="00324C68">
              <w:rPr>
                <w:rFonts w:asciiTheme="minorHAnsi" w:hAnsiTheme="minorHAnsi" w:cstheme="minorHAnsi"/>
                <w:sz w:val="20"/>
                <w:szCs w:val="20"/>
              </w:rPr>
              <w:t xml:space="preserve"> is </w:t>
            </w:r>
            <w:r w:rsidR="00324C68">
              <w:rPr>
                <w:rFonts w:asciiTheme="minorHAnsi" w:hAnsiTheme="minorHAnsi" w:cstheme="minorHAnsi"/>
                <w:sz w:val="20"/>
                <w:szCs w:val="20"/>
              </w:rPr>
              <w:t xml:space="preserve">a </w:t>
            </w:r>
            <w:r w:rsidR="0071110F" w:rsidRPr="00324C68">
              <w:rPr>
                <w:rFonts w:asciiTheme="minorHAnsi" w:hAnsiTheme="minorHAnsi" w:cstheme="minorHAnsi"/>
                <w:sz w:val="20"/>
                <w:szCs w:val="20"/>
              </w:rPr>
              <w:t xml:space="preserve">need </w:t>
            </w:r>
            <w:r w:rsidRPr="00324C68">
              <w:rPr>
                <w:rFonts w:asciiTheme="minorHAnsi" w:hAnsiTheme="minorHAnsi" w:cstheme="minorHAnsi"/>
                <w:sz w:val="20"/>
                <w:szCs w:val="20"/>
              </w:rPr>
              <w:t xml:space="preserve">of </w:t>
            </w:r>
            <w:r w:rsidR="0071110F" w:rsidRPr="00324C68">
              <w:rPr>
                <w:rFonts w:asciiTheme="minorHAnsi" w:hAnsiTheme="minorHAnsi" w:cstheme="minorHAnsi"/>
                <w:sz w:val="20"/>
                <w:szCs w:val="20"/>
              </w:rPr>
              <w:t xml:space="preserve">a strong political commitment to the roadmap </w:t>
            </w:r>
            <w:r w:rsidRPr="00324C68">
              <w:rPr>
                <w:rFonts w:asciiTheme="minorHAnsi" w:hAnsiTheme="minorHAnsi" w:cstheme="minorHAnsi"/>
                <w:sz w:val="20"/>
                <w:szCs w:val="20"/>
              </w:rPr>
              <w:t xml:space="preserve">implementation, particularly related to changes in payment mechanism and </w:t>
            </w:r>
            <w:r w:rsidR="0071110F" w:rsidRPr="00324C68">
              <w:rPr>
                <w:rFonts w:asciiTheme="minorHAnsi" w:hAnsiTheme="minorHAnsi" w:cstheme="minorHAnsi"/>
                <w:sz w:val="20"/>
                <w:szCs w:val="20"/>
              </w:rPr>
              <w:t xml:space="preserve">strategic purchasing function. </w:t>
            </w:r>
            <w:r w:rsidRPr="00324C68">
              <w:rPr>
                <w:rFonts w:asciiTheme="minorHAnsi" w:hAnsiTheme="minorHAnsi" w:cstheme="minorHAnsi"/>
                <w:sz w:val="20"/>
                <w:szCs w:val="20"/>
              </w:rPr>
              <w:t xml:space="preserve">In the next phase the country will prioritize aligning needs to </w:t>
            </w:r>
            <w:r w:rsidRPr="00324C68">
              <w:rPr>
                <w:rFonts w:asciiTheme="minorHAnsi" w:hAnsiTheme="minorHAnsi" w:cstheme="minorHAnsi"/>
                <w:sz w:val="20"/>
                <w:szCs w:val="20"/>
              </w:rPr>
              <w:lastRenderedPageBreak/>
              <w:t>resources available for levels of care and</w:t>
            </w:r>
            <w:r w:rsidR="0071110F" w:rsidRPr="00324C68">
              <w:rPr>
                <w:rFonts w:asciiTheme="minorHAnsi" w:hAnsiTheme="minorHAnsi" w:cstheme="minorHAnsi"/>
                <w:sz w:val="20"/>
                <w:szCs w:val="20"/>
              </w:rPr>
              <w:t xml:space="preserve"> of medical and supportive service </w:t>
            </w:r>
            <w:r w:rsidRPr="00324C68">
              <w:rPr>
                <w:rFonts w:asciiTheme="minorHAnsi" w:hAnsiTheme="minorHAnsi" w:cstheme="minorHAnsi"/>
                <w:sz w:val="20"/>
                <w:szCs w:val="20"/>
              </w:rPr>
              <w:t xml:space="preserve">packages </w:t>
            </w:r>
            <w:r w:rsidR="0071110F" w:rsidRPr="00324C68">
              <w:rPr>
                <w:rFonts w:asciiTheme="minorHAnsi" w:hAnsiTheme="minorHAnsi" w:cstheme="minorHAnsi"/>
                <w:sz w:val="20"/>
                <w:szCs w:val="20"/>
              </w:rPr>
              <w:t>as the basis to exercise strategic purchasing function according to the principle “money follows the patient”.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995"/>
            </w:tblGrid>
            <w:tr w:rsidR="0071110F" w14:paraId="424F5E62" w14:textId="77777777" w:rsidTr="00781834">
              <w:tc>
                <w:tcPr>
                  <w:tcW w:w="5245" w:type="dxa"/>
                </w:tcPr>
                <w:p w14:paraId="4FAB7759" w14:textId="77777777" w:rsidR="0071110F" w:rsidRDefault="0071110F" w:rsidP="00781834">
                  <w:pPr>
                    <w:jc w:val="center"/>
                    <w:rPr>
                      <w:rFonts w:asciiTheme="minorHAnsi" w:hAnsiTheme="minorHAnsi" w:cstheme="minorHAnsi"/>
                      <w:b/>
                      <w:color w:val="404040" w:themeColor="text1"/>
                      <w:sz w:val="20"/>
                      <w:szCs w:val="20"/>
                    </w:rPr>
                  </w:pPr>
                  <w:r>
                    <w:rPr>
                      <w:rFonts w:asciiTheme="minorHAnsi" w:hAnsiTheme="minorHAnsi" w:cstheme="minorHAnsi"/>
                      <w:b/>
                      <w:color w:val="404040" w:themeColor="text1"/>
                      <w:sz w:val="20"/>
                      <w:szCs w:val="20"/>
                    </w:rPr>
                    <w:t>Number of TB beds (total and MDR) 2014-2019</w:t>
                  </w:r>
                </w:p>
              </w:tc>
              <w:tc>
                <w:tcPr>
                  <w:tcW w:w="4995" w:type="dxa"/>
                </w:tcPr>
                <w:p w14:paraId="000E5E96" w14:textId="2865F597" w:rsidR="0071110F" w:rsidRDefault="0071110F" w:rsidP="00183185">
                  <w:pPr>
                    <w:jc w:val="center"/>
                    <w:rPr>
                      <w:rFonts w:asciiTheme="minorHAnsi" w:hAnsiTheme="minorHAnsi" w:cstheme="minorHAnsi"/>
                      <w:b/>
                      <w:color w:val="404040" w:themeColor="text1"/>
                      <w:sz w:val="20"/>
                      <w:szCs w:val="20"/>
                    </w:rPr>
                  </w:pPr>
                  <w:r>
                    <w:rPr>
                      <w:rFonts w:asciiTheme="minorHAnsi" w:hAnsiTheme="minorHAnsi" w:cstheme="minorHAnsi"/>
                      <w:b/>
                      <w:color w:val="404040" w:themeColor="text1"/>
                      <w:sz w:val="20"/>
                      <w:szCs w:val="20"/>
                    </w:rPr>
                    <w:t>Expenditures for PHC bonus payments and patient incentives 2014-2019</w:t>
                  </w:r>
                </w:p>
              </w:tc>
            </w:tr>
            <w:tr w:rsidR="0071110F" w14:paraId="3D36543E" w14:textId="77777777" w:rsidTr="00781834">
              <w:tc>
                <w:tcPr>
                  <w:tcW w:w="5245" w:type="dxa"/>
                </w:tcPr>
                <w:p w14:paraId="79E4B0CA" w14:textId="77777777" w:rsidR="0071110F" w:rsidRDefault="0071110F" w:rsidP="00781834">
                  <w:pPr>
                    <w:jc w:val="both"/>
                    <w:rPr>
                      <w:rFonts w:asciiTheme="minorHAnsi" w:hAnsiTheme="minorHAnsi" w:cstheme="minorHAnsi"/>
                      <w:b/>
                      <w:color w:val="404040" w:themeColor="text1"/>
                      <w:sz w:val="20"/>
                      <w:szCs w:val="20"/>
                    </w:rPr>
                  </w:pPr>
                  <w:r>
                    <w:rPr>
                      <w:noProof/>
                    </w:rPr>
                    <w:drawing>
                      <wp:inline distT="0" distB="0" distL="0" distR="0" wp14:anchorId="6BC26D7C" wp14:editId="24BC7340">
                        <wp:extent cx="3448050" cy="2428875"/>
                        <wp:effectExtent l="0" t="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995" w:type="dxa"/>
                </w:tcPr>
                <w:p w14:paraId="555F1F08" w14:textId="4571C676" w:rsidR="0071110F" w:rsidRDefault="0071110F" w:rsidP="00781834">
                  <w:pPr>
                    <w:jc w:val="both"/>
                    <w:rPr>
                      <w:rFonts w:asciiTheme="minorHAnsi" w:hAnsiTheme="minorHAnsi" w:cstheme="minorHAnsi"/>
                      <w:b/>
                      <w:color w:val="404040" w:themeColor="text1"/>
                      <w:sz w:val="20"/>
                      <w:szCs w:val="20"/>
                    </w:rPr>
                  </w:pPr>
                  <w:r>
                    <w:rPr>
                      <w:noProof/>
                    </w:rPr>
                    <w:drawing>
                      <wp:inline distT="0" distB="0" distL="0" distR="0" wp14:anchorId="1B222937" wp14:editId="5C428141">
                        <wp:extent cx="3276600" cy="2438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684A9C4C" w14:textId="035D1025" w:rsidR="0071110F" w:rsidRPr="00592C19" w:rsidRDefault="0071110F" w:rsidP="00781834">
            <w:pPr>
              <w:jc w:val="both"/>
              <w:rPr>
                <w:rFonts w:asciiTheme="minorHAnsi" w:hAnsiTheme="minorHAnsi" w:cstheme="minorHAnsi"/>
                <w:color w:val="404040" w:themeColor="text1"/>
                <w:sz w:val="20"/>
                <w:szCs w:val="20"/>
              </w:rPr>
            </w:pPr>
            <w:r w:rsidRPr="00592C19">
              <w:rPr>
                <w:rFonts w:asciiTheme="minorHAnsi" w:hAnsiTheme="minorHAnsi" w:cstheme="minorHAnsi"/>
                <w:color w:val="404040" w:themeColor="text1"/>
                <w:sz w:val="20"/>
                <w:szCs w:val="20"/>
              </w:rPr>
              <w:t>Source: NT</w:t>
            </w:r>
            <w:r w:rsidR="00297706">
              <w:rPr>
                <w:rFonts w:asciiTheme="minorHAnsi" w:hAnsiTheme="minorHAnsi" w:cstheme="minorHAnsi"/>
                <w:color w:val="404040" w:themeColor="text1"/>
                <w:sz w:val="20"/>
                <w:szCs w:val="20"/>
              </w:rPr>
              <w:t>C</w:t>
            </w:r>
            <w:r w:rsidRPr="00592C19">
              <w:rPr>
                <w:rFonts w:asciiTheme="minorHAnsi" w:hAnsiTheme="minorHAnsi" w:cstheme="minorHAnsi"/>
                <w:color w:val="404040" w:themeColor="text1"/>
                <w:sz w:val="20"/>
                <w:szCs w:val="20"/>
              </w:rPr>
              <w:t xml:space="preserve">P </w:t>
            </w:r>
            <w:r w:rsidR="009E0AB1">
              <w:rPr>
                <w:rFonts w:asciiTheme="minorHAnsi" w:hAnsiTheme="minorHAnsi" w:cstheme="minorHAnsi"/>
                <w:color w:val="404040" w:themeColor="text1"/>
                <w:sz w:val="20"/>
                <w:szCs w:val="20"/>
              </w:rPr>
              <w:t>annual reporting</w:t>
            </w:r>
          </w:p>
          <w:p w14:paraId="48E577D4" w14:textId="2632D19D" w:rsidR="00FD7E0E" w:rsidRPr="00693E24" w:rsidRDefault="0071110F" w:rsidP="00FD7E0E">
            <w:pPr>
              <w:jc w:val="both"/>
              <w:rPr>
                <w:rFonts w:asciiTheme="majorHAnsi" w:hAnsiTheme="majorHAnsi" w:cstheme="majorHAnsi"/>
                <w:sz w:val="20"/>
                <w:szCs w:val="20"/>
              </w:rPr>
            </w:pPr>
            <w:r w:rsidRPr="00C334FF">
              <w:rPr>
                <w:rFonts w:asciiTheme="minorHAnsi" w:hAnsiTheme="minorHAnsi" w:cstheme="minorHAnsi"/>
                <w:b/>
                <w:color w:val="404040" w:themeColor="text1"/>
                <w:sz w:val="20"/>
                <w:szCs w:val="20"/>
              </w:rPr>
              <w:t>Early detection</w:t>
            </w:r>
            <w:r>
              <w:rPr>
                <w:rFonts w:asciiTheme="minorHAnsi" w:hAnsiTheme="minorHAnsi" w:cstheme="minorHAnsi"/>
                <w:b/>
                <w:color w:val="404040" w:themeColor="text1"/>
                <w:sz w:val="20"/>
                <w:szCs w:val="20"/>
              </w:rPr>
              <w:t xml:space="preserve">: </w:t>
            </w:r>
            <w:r w:rsidRPr="00693E24">
              <w:rPr>
                <w:rFonts w:asciiTheme="majorHAnsi" w:eastAsia="Calibri" w:hAnsiTheme="majorHAnsi" w:cstheme="majorHAnsi"/>
                <w:bCs/>
                <w:sz w:val="20"/>
                <w:szCs w:val="20"/>
              </w:rPr>
              <w:t>Based on the number of WHO estimated TB incident cases as well as TB cases notified through national TB surveillance system, around 500 TB patients were missing in 2018 (WHO global TB database 2018).</w:t>
            </w:r>
            <w:r>
              <w:t xml:space="preserve"> </w:t>
            </w:r>
            <w:r w:rsidR="00324C68">
              <w:rPr>
                <w:rFonts w:asciiTheme="majorHAnsi" w:eastAsia="Calibri" w:hAnsiTheme="majorHAnsi" w:cstheme="majorHAnsi"/>
                <w:bCs/>
                <w:sz w:val="20"/>
                <w:szCs w:val="20"/>
              </w:rPr>
              <w:t>H</w:t>
            </w:r>
            <w:r w:rsidRPr="007969F5">
              <w:rPr>
                <w:rFonts w:asciiTheme="majorHAnsi" w:eastAsia="Calibri" w:hAnsiTheme="majorHAnsi" w:cstheme="majorHAnsi"/>
                <w:bCs/>
                <w:sz w:val="20"/>
                <w:szCs w:val="20"/>
              </w:rPr>
              <w:t>owever, these estimates should be interpreted with some caution given the overestimated general population size as mentioned above</w:t>
            </w:r>
            <w:r w:rsidR="00324C68">
              <w:rPr>
                <w:rFonts w:asciiTheme="majorHAnsi" w:eastAsia="Calibri" w:hAnsiTheme="majorHAnsi" w:cstheme="majorHAnsi"/>
                <w:bCs/>
                <w:sz w:val="20"/>
                <w:szCs w:val="20"/>
              </w:rPr>
              <w:t xml:space="preserve"> and a possible revision of correctional factor assumptions</w:t>
            </w:r>
            <w:r>
              <w:rPr>
                <w:rFonts w:asciiTheme="majorHAnsi" w:eastAsia="Calibri" w:hAnsiTheme="majorHAnsi" w:cstheme="majorHAnsi"/>
                <w:bCs/>
                <w:sz w:val="20"/>
                <w:szCs w:val="20"/>
              </w:rPr>
              <w:t>.</w:t>
            </w:r>
            <w:r w:rsidRPr="00693E24">
              <w:rPr>
                <w:rFonts w:asciiTheme="majorHAnsi" w:eastAsia="Calibri" w:hAnsiTheme="majorHAnsi" w:cstheme="majorHAnsi"/>
                <w:bCs/>
                <w:sz w:val="20"/>
                <w:szCs w:val="20"/>
              </w:rPr>
              <w:t xml:space="preserve"> During the recent years, </w:t>
            </w:r>
            <w:r w:rsidRPr="00693E24">
              <w:rPr>
                <w:rFonts w:asciiTheme="majorHAnsi" w:hAnsiTheme="majorHAnsi" w:cstheme="majorHAnsi"/>
                <w:sz w:val="20"/>
                <w:szCs w:val="20"/>
              </w:rPr>
              <w:t>the TB notification rate for all TB cases decreased steadily from 103.5/100 000 (4</w:t>
            </w:r>
            <w:r w:rsidR="00324C68">
              <w:rPr>
                <w:rFonts w:asciiTheme="majorHAnsi" w:hAnsiTheme="majorHAnsi" w:cstheme="majorHAnsi"/>
                <w:sz w:val="20"/>
                <w:szCs w:val="20"/>
              </w:rPr>
              <w:t>,</w:t>
            </w:r>
            <w:r w:rsidRPr="00693E24">
              <w:rPr>
                <w:rFonts w:asciiTheme="majorHAnsi" w:hAnsiTheme="majorHAnsi" w:cstheme="majorHAnsi"/>
                <w:sz w:val="20"/>
                <w:szCs w:val="20"/>
              </w:rPr>
              <w:t>211) in 2015</w:t>
            </w:r>
            <w:r>
              <w:rPr>
                <w:rFonts w:asciiTheme="majorHAnsi" w:hAnsiTheme="majorHAnsi" w:cstheme="majorHAnsi"/>
                <w:sz w:val="20"/>
                <w:szCs w:val="20"/>
              </w:rPr>
              <w:t xml:space="preserve"> to 82.5/100 000 (</w:t>
            </w:r>
            <w:r w:rsidR="00324C68">
              <w:rPr>
                <w:rFonts w:asciiTheme="majorHAnsi" w:hAnsiTheme="majorHAnsi" w:cstheme="majorHAnsi"/>
                <w:sz w:val="20"/>
                <w:szCs w:val="20"/>
              </w:rPr>
              <w:t>,</w:t>
            </w:r>
            <w:r>
              <w:rPr>
                <w:rFonts w:asciiTheme="majorHAnsi" w:hAnsiTheme="majorHAnsi" w:cstheme="majorHAnsi"/>
                <w:sz w:val="20"/>
                <w:szCs w:val="20"/>
              </w:rPr>
              <w:t>3313) in 2019, according to NTP data.</w:t>
            </w:r>
            <w:r w:rsidR="00FD7E0E" w:rsidRPr="00693E24">
              <w:rPr>
                <w:rFonts w:asciiTheme="majorHAnsi" w:hAnsiTheme="majorHAnsi" w:cstheme="majorHAnsi"/>
                <w:sz w:val="20"/>
                <w:szCs w:val="20"/>
              </w:rPr>
              <w:t xml:space="preserve"> Case detection is conducted in accordance with the National clinical protocol (the latest version was approved in 2020). </w:t>
            </w:r>
          </w:p>
          <w:p w14:paraId="6AD9CE7F" w14:textId="77777777" w:rsidR="0071110F" w:rsidRDefault="0071110F" w:rsidP="00781834">
            <w:pPr>
              <w:jc w:val="both"/>
              <w:rPr>
                <w:rFonts w:asciiTheme="minorHAnsi" w:hAnsiTheme="minorHAnsi" w:cstheme="minorHAnsi"/>
                <w:sz w:val="20"/>
                <w:szCs w:val="20"/>
              </w:rPr>
            </w:pPr>
            <w:r w:rsidRPr="008A6361">
              <w:rPr>
                <w:rFonts w:asciiTheme="majorHAnsi" w:hAnsiTheme="majorHAnsi" w:cstheme="majorHAnsi"/>
                <w:sz w:val="20"/>
                <w:szCs w:val="20"/>
              </w:rPr>
              <w:t>TB patients are mainly detected through passive case-finding, i.e., by examining people who seek medical care at health facilities for symptoms. PHC/family doctors at the primary care level in both rural and urban settings identify and refer patients with presumptive TB for further diagnosis at the secondary level facilities, in accordance with the PCMC</w:t>
            </w:r>
            <w:r w:rsidRPr="008A6361">
              <w:rPr>
                <w:sz w:val="20"/>
                <w:szCs w:val="20"/>
              </w:rPr>
              <w:t>,</w:t>
            </w:r>
            <w:r w:rsidRPr="008A6361">
              <w:rPr>
                <w:rStyle w:val="FootnoteReference"/>
                <w:rFonts w:eastAsia="Calibri" w:cstheme="minorHAnsi"/>
                <w:bCs/>
                <w:sz w:val="20"/>
                <w:szCs w:val="20"/>
              </w:rPr>
              <w:footnoteReference w:id="21"/>
            </w:r>
            <w:r w:rsidRPr="008A6361">
              <w:rPr>
                <w:sz w:val="20"/>
                <w:szCs w:val="20"/>
              </w:rPr>
              <w:t xml:space="preserve"> as well as the screening/ diagnostic algorithms (i.e., GeneXpert testing, microscopy, CXR) defined in the TB national clinical protocols for adults and children.</w:t>
            </w:r>
            <w:r w:rsidRPr="008A6361">
              <w:rPr>
                <w:rStyle w:val="FootnoteReference"/>
                <w:rFonts w:eastAsia="Calibri" w:cstheme="minorHAnsi"/>
                <w:bCs/>
                <w:sz w:val="20"/>
                <w:szCs w:val="20"/>
              </w:rPr>
              <w:footnoteReference w:id="22"/>
            </w:r>
            <w:r w:rsidRPr="008A6361">
              <w:rPr>
                <w:sz w:val="20"/>
                <w:szCs w:val="20"/>
              </w:rPr>
              <w:t xml:space="preserve"> Xpert MTB/RIF test is first diagnostic test for all (new) people with TB symptoms, with 95% of new and relapse cases tested with it at the time of diagnosis in 2018.</w:t>
            </w:r>
            <w:r w:rsidRPr="008A6361">
              <w:rPr>
                <w:rStyle w:val="FootnoteReference"/>
                <w:rFonts w:eastAsia="Calibri" w:cstheme="minorHAnsi"/>
                <w:bCs/>
                <w:sz w:val="20"/>
                <w:szCs w:val="20"/>
              </w:rPr>
              <w:footnoteReference w:id="23"/>
            </w:r>
            <w:r w:rsidRPr="00C334FF">
              <w:rPr>
                <w:rFonts w:asciiTheme="minorHAnsi" w:hAnsiTheme="minorHAnsi" w:cstheme="minorHAnsi"/>
                <w:sz w:val="20"/>
                <w:szCs w:val="20"/>
              </w:rPr>
              <w:t xml:space="preserve"> </w:t>
            </w:r>
          </w:p>
          <w:p w14:paraId="15FDBB4B" w14:textId="10568706" w:rsidR="0071110F" w:rsidRDefault="0071110F" w:rsidP="00781834">
            <w:pPr>
              <w:jc w:val="both"/>
              <w:rPr>
                <w:rFonts w:asciiTheme="minorHAnsi" w:eastAsia="Calibri" w:hAnsiTheme="minorHAnsi" w:cstheme="minorHAnsi"/>
                <w:bCs/>
                <w:sz w:val="20"/>
                <w:szCs w:val="20"/>
              </w:rPr>
            </w:pPr>
            <w:r w:rsidRPr="008A6361">
              <w:rPr>
                <w:rFonts w:asciiTheme="minorHAnsi" w:hAnsiTheme="minorHAnsi" w:cstheme="minorHAnsi"/>
                <w:b/>
                <w:sz w:val="20"/>
                <w:szCs w:val="20"/>
              </w:rPr>
              <w:t xml:space="preserve">Facility-based </w:t>
            </w:r>
            <w:r w:rsidR="00FD7E0E">
              <w:rPr>
                <w:rFonts w:asciiTheme="minorHAnsi" w:hAnsiTheme="minorHAnsi" w:cstheme="minorHAnsi"/>
                <w:b/>
                <w:sz w:val="20"/>
                <w:szCs w:val="20"/>
              </w:rPr>
              <w:t>ACF</w:t>
            </w:r>
            <w:r>
              <w:rPr>
                <w:rFonts w:eastAsia="Calibri" w:cstheme="minorHAnsi"/>
                <w:bCs/>
              </w:rPr>
              <w:t>:</w:t>
            </w:r>
            <w:r w:rsidRPr="00C334FF">
              <w:rPr>
                <w:rFonts w:asciiTheme="minorHAnsi" w:hAnsiTheme="minorHAnsi" w:cstheme="minorHAnsi"/>
                <w:sz w:val="20"/>
                <w:szCs w:val="20"/>
              </w:rPr>
              <w:t xml:space="preserve"> the responsibility for ACF lies with family doctors</w:t>
            </w:r>
            <w:r w:rsidR="00FD7E0E">
              <w:rPr>
                <w:rFonts w:asciiTheme="minorHAnsi" w:hAnsiTheme="minorHAnsi" w:cstheme="minorHAnsi"/>
                <w:sz w:val="20"/>
                <w:szCs w:val="20"/>
              </w:rPr>
              <w:t xml:space="preserve"> who</w:t>
            </w:r>
            <w:r>
              <w:rPr>
                <w:rFonts w:asciiTheme="minorHAnsi" w:hAnsiTheme="minorHAnsi" w:cstheme="minorHAnsi"/>
                <w:sz w:val="20"/>
                <w:szCs w:val="20"/>
              </w:rPr>
              <w:t xml:space="preserve"> conduct screening of thr</w:t>
            </w:r>
            <w:r w:rsidR="00FD7E0E">
              <w:rPr>
                <w:rFonts w:asciiTheme="minorHAnsi" w:hAnsiTheme="minorHAnsi" w:cstheme="minorHAnsi"/>
                <w:sz w:val="20"/>
                <w:szCs w:val="20"/>
              </w:rPr>
              <w:t xml:space="preserve">ee categories high risk groups. priority groups, </w:t>
            </w:r>
            <w:r>
              <w:rPr>
                <w:rFonts w:asciiTheme="minorHAnsi" w:hAnsiTheme="minorHAnsi" w:cstheme="minorHAnsi"/>
                <w:sz w:val="20"/>
                <w:szCs w:val="20"/>
              </w:rPr>
              <w:t>and mandated groups.</w:t>
            </w:r>
            <w:r>
              <w:rPr>
                <w:rStyle w:val="FootnoteReference"/>
                <w:rFonts w:eastAsia="Calibri" w:cstheme="minorHAnsi"/>
                <w:bCs/>
              </w:rPr>
              <w:footnoteReference w:id="24"/>
            </w:r>
            <w:r w:rsidRPr="002E2FC2">
              <w:rPr>
                <w:rFonts w:asciiTheme="minorHAnsi" w:hAnsiTheme="minorHAnsi" w:cstheme="minorHAnsi"/>
                <w:sz w:val="20"/>
                <w:szCs w:val="20"/>
              </w:rPr>
              <w:t xml:space="preserve"> </w:t>
            </w:r>
            <w:r>
              <w:rPr>
                <w:rFonts w:asciiTheme="minorHAnsi" w:hAnsiTheme="minorHAnsi" w:cstheme="minorHAnsi"/>
                <w:sz w:val="20"/>
                <w:szCs w:val="20"/>
              </w:rPr>
              <w:t>R</w:t>
            </w:r>
            <w:r w:rsidRPr="002E2FC2">
              <w:rPr>
                <w:rFonts w:asciiTheme="minorHAnsi" w:hAnsiTheme="minorHAnsi" w:cstheme="minorHAnsi"/>
                <w:sz w:val="20"/>
                <w:szCs w:val="20"/>
              </w:rPr>
              <w:t xml:space="preserve">eliable data on the coverage with TB screening among KP as the size of KP groups is not </w:t>
            </w:r>
            <w:r>
              <w:rPr>
                <w:rFonts w:asciiTheme="minorHAnsi" w:hAnsiTheme="minorHAnsi" w:cstheme="minorHAnsi"/>
                <w:sz w:val="20"/>
                <w:szCs w:val="20"/>
              </w:rPr>
              <w:t xml:space="preserve">available, limits analysis of coverage and targeting. There are certain challenges in this case finding modality, </w:t>
            </w:r>
            <w:r w:rsidRPr="00C334FF">
              <w:rPr>
                <w:rFonts w:asciiTheme="minorHAnsi" w:hAnsiTheme="minorHAnsi" w:cstheme="minorHAnsi"/>
                <w:sz w:val="20"/>
                <w:szCs w:val="20"/>
              </w:rPr>
              <w:t>including shortage of family doctors, challenges to reach certain KP groups and get them examined, improper reimbursement mechanisms for the cost of screening examinations, insufficient incentives to screen all KP. Additional factors that impacted ACF coverage are financial barriers among KP related both to transport costs, but also charge on CXR for people not covered by health insurance.</w:t>
            </w:r>
            <w:r w:rsidR="00FD7E0E">
              <w:rPr>
                <w:rFonts w:asciiTheme="minorHAnsi" w:hAnsiTheme="minorHAnsi" w:cstheme="minorHAnsi"/>
                <w:sz w:val="20"/>
                <w:szCs w:val="20"/>
              </w:rPr>
              <w:t xml:space="preserve"> Therefore, additional support to those outside reac</w:t>
            </w:r>
            <w:r w:rsidR="000911AC">
              <w:rPr>
                <w:rFonts w:asciiTheme="minorHAnsi" w:hAnsiTheme="minorHAnsi" w:cstheme="minorHAnsi"/>
                <w:sz w:val="20"/>
                <w:szCs w:val="20"/>
              </w:rPr>
              <w:t>h of GP is needed and the key role in paradigm shift</w:t>
            </w:r>
            <w:r w:rsidR="00FD7E0E">
              <w:rPr>
                <w:rFonts w:asciiTheme="minorHAnsi" w:hAnsiTheme="minorHAnsi" w:cstheme="minorHAnsi"/>
                <w:sz w:val="20"/>
                <w:szCs w:val="20"/>
              </w:rPr>
              <w:t xml:space="preserve"> role of CSO</w:t>
            </w:r>
            <w:r w:rsidR="000911AC">
              <w:rPr>
                <w:rFonts w:asciiTheme="minorHAnsi" w:hAnsiTheme="minorHAnsi" w:cstheme="minorHAnsi"/>
                <w:sz w:val="20"/>
                <w:szCs w:val="20"/>
              </w:rPr>
              <w:t xml:space="preserve">-led responses </w:t>
            </w:r>
            <w:r w:rsidR="00FD7E0E">
              <w:rPr>
                <w:rFonts w:asciiTheme="minorHAnsi" w:hAnsiTheme="minorHAnsi" w:cstheme="minorHAnsi"/>
                <w:sz w:val="20"/>
                <w:szCs w:val="20"/>
              </w:rPr>
              <w:t>is obvious.</w:t>
            </w:r>
          </w:p>
          <w:p w14:paraId="4206EB09" w14:textId="7C5B2059" w:rsidR="0071110F" w:rsidRPr="00C334FF" w:rsidRDefault="0071110F" w:rsidP="00781834">
            <w:pPr>
              <w:jc w:val="both"/>
              <w:rPr>
                <w:rFonts w:asciiTheme="minorHAnsi" w:hAnsiTheme="minorHAnsi" w:cstheme="minorHAnsi"/>
                <w:sz w:val="20"/>
                <w:szCs w:val="20"/>
              </w:rPr>
            </w:pPr>
            <w:r w:rsidRPr="002E2FC2">
              <w:rPr>
                <w:rFonts w:asciiTheme="minorHAnsi" w:hAnsiTheme="minorHAnsi" w:cstheme="minorHAnsi"/>
                <w:b/>
                <w:sz w:val="20"/>
                <w:szCs w:val="20"/>
              </w:rPr>
              <w:t>TB contact investigation (CI)</w:t>
            </w:r>
            <w:r w:rsidRPr="007D27E6">
              <w:rPr>
                <w:rFonts w:eastAsia="Calibri" w:cstheme="minorHAnsi"/>
                <w:bCs/>
              </w:rPr>
              <w:t xml:space="preserve"> </w:t>
            </w:r>
            <w:r w:rsidRPr="002E2FC2">
              <w:rPr>
                <w:rFonts w:asciiTheme="minorHAnsi" w:hAnsiTheme="minorHAnsi" w:cstheme="minorHAnsi"/>
                <w:sz w:val="20"/>
                <w:szCs w:val="20"/>
              </w:rPr>
              <w:t>is conducted at district level jointly by phthisio</w:t>
            </w:r>
            <w:r>
              <w:rPr>
                <w:rFonts w:asciiTheme="minorHAnsi" w:hAnsiTheme="minorHAnsi" w:cstheme="minorHAnsi"/>
                <w:sz w:val="20"/>
                <w:szCs w:val="20"/>
              </w:rPr>
              <w:t>-</w:t>
            </w:r>
            <w:r w:rsidRPr="002E2FC2">
              <w:rPr>
                <w:rFonts w:asciiTheme="minorHAnsi" w:hAnsiTheme="minorHAnsi" w:cstheme="minorHAnsi"/>
                <w:sz w:val="20"/>
                <w:szCs w:val="20"/>
              </w:rPr>
              <w:t xml:space="preserve">pneumologist </w:t>
            </w:r>
            <w:r>
              <w:rPr>
                <w:rFonts w:asciiTheme="minorHAnsi" w:hAnsiTheme="minorHAnsi" w:cstheme="minorHAnsi"/>
                <w:sz w:val="20"/>
                <w:szCs w:val="20"/>
              </w:rPr>
              <w:t>and</w:t>
            </w:r>
            <w:r w:rsidRPr="002E2FC2">
              <w:rPr>
                <w:rFonts w:asciiTheme="minorHAnsi" w:hAnsiTheme="minorHAnsi" w:cstheme="minorHAnsi"/>
                <w:sz w:val="20"/>
                <w:szCs w:val="20"/>
              </w:rPr>
              <w:t xml:space="preserve"> epidemiologist among</w:t>
            </w:r>
            <w:r>
              <w:rPr>
                <w:rFonts w:asciiTheme="minorHAnsi" w:hAnsiTheme="minorHAnsi" w:cstheme="minorHAnsi"/>
                <w:sz w:val="20"/>
                <w:szCs w:val="20"/>
              </w:rPr>
              <w:t xml:space="preserve"> household </w:t>
            </w:r>
            <w:r w:rsidRPr="002E2FC2">
              <w:rPr>
                <w:rFonts w:asciiTheme="minorHAnsi" w:hAnsiTheme="minorHAnsi" w:cstheme="minorHAnsi"/>
                <w:sz w:val="20"/>
                <w:szCs w:val="20"/>
              </w:rPr>
              <w:t>contacts</w:t>
            </w:r>
            <w:r>
              <w:rPr>
                <w:rFonts w:asciiTheme="minorHAnsi" w:hAnsiTheme="minorHAnsi" w:cstheme="minorHAnsi"/>
                <w:sz w:val="20"/>
                <w:szCs w:val="20"/>
              </w:rPr>
              <w:t>, including children,</w:t>
            </w:r>
            <w:r w:rsidRPr="002E2FC2">
              <w:rPr>
                <w:rFonts w:asciiTheme="minorHAnsi" w:hAnsiTheme="minorHAnsi" w:cstheme="minorHAnsi"/>
                <w:sz w:val="20"/>
                <w:szCs w:val="20"/>
              </w:rPr>
              <w:t xml:space="preserve"> referred</w:t>
            </w:r>
            <w:r w:rsidRPr="002E2FC2">
              <w:rPr>
                <w:rFonts w:eastAsia="Calibri" w:cstheme="minorHAnsi"/>
                <w:bCs/>
                <w:sz w:val="20"/>
                <w:szCs w:val="20"/>
              </w:rPr>
              <w:t xml:space="preserve"> from the PHC level. The CI cascade data for 2015 -2019 among household/close contacts show</w:t>
            </w:r>
            <w:r>
              <w:rPr>
                <w:rFonts w:eastAsia="Calibri" w:cstheme="minorHAnsi"/>
                <w:bCs/>
                <w:sz w:val="20"/>
                <w:szCs w:val="20"/>
              </w:rPr>
              <w:t>s</w:t>
            </w:r>
            <w:r w:rsidRPr="002E2FC2">
              <w:rPr>
                <w:rFonts w:eastAsia="Calibri" w:cstheme="minorHAnsi"/>
                <w:bCs/>
                <w:sz w:val="20"/>
                <w:szCs w:val="20"/>
              </w:rPr>
              <w:t xml:space="preserve"> persistent high coverage (&gt;90%) of TB screening among contacts. At the same time, the yield of TB cases among household contacts has been low (1.2% in 2017 and 2018; 1.1.% in 2019).</w:t>
            </w:r>
            <w:r w:rsidRPr="002E2FC2">
              <w:rPr>
                <w:rStyle w:val="FootnoteReference"/>
                <w:rFonts w:eastAsia="Calibri" w:cstheme="minorHAnsi"/>
                <w:bCs/>
                <w:sz w:val="20"/>
                <w:szCs w:val="20"/>
              </w:rPr>
              <w:footnoteReference w:id="25"/>
            </w:r>
            <w:r>
              <w:rPr>
                <w:rFonts w:eastAsia="Calibri" w:cstheme="minorHAnsi"/>
                <w:bCs/>
                <w:sz w:val="20"/>
                <w:szCs w:val="20"/>
              </w:rPr>
              <w:t xml:space="preserve"> M</w:t>
            </w:r>
            <w:r w:rsidRPr="002E2FC2">
              <w:rPr>
                <w:rFonts w:eastAsia="Calibri" w:cstheme="minorHAnsi"/>
                <w:bCs/>
                <w:sz w:val="20"/>
                <w:szCs w:val="20"/>
              </w:rPr>
              <w:t xml:space="preserve">ore granular cascade data </w:t>
            </w:r>
            <w:r>
              <w:rPr>
                <w:rFonts w:eastAsia="Calibri" w:cstheme="minorHAnsi"/>
                <w:bCs/>
                <w:sz w:val="20"/>
                <w:szCs w:val="20"/>
              </w:rPr>
              <w:t>needs to be available</w:t>
            </w:r>
            <w:r w:rsidRPr="002E2FC2">
              <w:rPr>
                <w:rFonts w:eastAsia="Calibri" w:cstheme="minorHAnsi"/>
                <w:bCs/>
                <w:sz w:val="20"/>
                <w:szCs w:val="20"/>
              </w:rPr>
              <w:t>, particularly  among different types of contacts as well through different operational modalities/settings</w:t>
            </w:r>
            <w:r w:rsidR="00DD5AD7">
              <w:rPr>
                <w:rFonts w:eastAsia="Calibri" w:cstheme="minorHAnsi"/>
                <w:bCs/>
                <w:sz w:val="20"/>
                <w:szCs w:val="20"/>
              </w:rPr>
              <w:t>.</w:t>
            </w:r>
            <w:r w:rsidRPr="002E2FC2">
              <w:rPr>
                <w:rFonts w:asciiTheme="minorHAnsi" w:eastAsia="Calibri" w:hAnsiTheme="minorHAnsi" w:cstheme="minorHAnsi"/>
                <w:bCs/>
                <w:sz w:val="20"/>
                <w:szCs w:val="20"/>
              </w:rPr>
              <w:t xml:space="preserve"> </w:t>
            </w:r>
          </w:p>
          <w:p w14:paraId="1E739A5A" w14:textId="77777777" w:rsidR="0071110F" w:rsidRDefault="0071110F" w:rsidP="00781834">
            <w:pPr>
              <w:jc w:val="both"/>
              <w:rPr>
                <w:rFonts w:asciiTheme="minorHAnsi" w:hAnsiTheme="minorHAnsi" w:cstheme="minorHAnsi"/>
                <w:sz w:val="20"/>
                <w:szCs w:val="20"/>
              </w:rPr>
            </w:pPr>
            <w:r w:rsidRPr="002E2FC2">
              <w:rPr>
                <w:rFonts w:asciiTheme="minorHAnsi" w:hAnsiTheme="minorHAnsi" w:cstheme="minorHAnsi"/>
                <w:b/>
                <w:sz w:val="20"/>
                <w:szCs w:val="20"/>
              </w:rPr>
              <w:lastRenderedPageBreak/>
              <w:t xml:space="preserve">Mobile </w:t>
            </w:r>
            <w:r>
              <w:rPr>
                <w:rFonts w:asciiTheme="minorHAnsi" w:hAnsiTheme="minorHAnsi" w:cstheme="minorHAnsi"/>
                <w:b/>
                <w:sz w:val="20"/>
                <w:szCs w:val="20"/>
              </w:rPr>
              <w:t>C</w:t>
            </w:r>
            <w:r w:rsidRPr="002E2FC2">
              <w:rPr>
                <w:rFonts w:asciiTheme="minorHAnsi" w:hAnsiTheme="minorHAnsi" w:cstheme="minorHAnsi"/>
                <w:b/>
                <w:sz w:val="20"/>
                <w:szCs w:val="20"/>
              </w:rPr>
              <w:t>XR</w:t>
            </w:r>
            <w:r>
              <w:rPr>
                <w:rFonts w:asciiTheme="minorHAnsi" w:hAnsiTheme="minorHAnsi" w:cstheme="minorHAnsi"/>
                <w:sz w:val="20"/>
                <w:szCs w:val="20"/>
              </w:rPr>
              <w:t xml:space="preserve">: </w:t>
            </w:r>
            <w:r w:rsidRPr="00C334FF">
              <w:rPr>
                <w:rFonts w:asciiTheme="minorHAnsi" w:hAnsiTheme="minorHAnsi" w:cstheme="minorHAnsi"/>
                <w:sz w:val="20"/>
                <w:szCs w:val="20"/>
              </w:rPr>
              <w:t xml:space="preserve">Since 2018, the NTP started an ACF with CXR screening by using mobile van to reach people at high risk for TB in remote rural communities and prisons. </w:t>
            </w:r>
            <w:r w:rsidRPr="00C334FF">
              <w:rPr>
                <w:rFonts w:asciiTheme="minorHAnsi" w:eastAsia="Calibri" w:hAnsiTheme="minorHAnsi" w:cstheme="minorHAnsi"/>
                <w:bCs/>
                <w:sz w:val="20"/>
                <w:szCs w:val="20"/>
              </w:rPr>
              <w:t xml:space="preserve">In 2019, 34,172 people were screened through mobile outreach, with 166 patients diagnosed with TB (486 cases per 100,000). </w:t>
            </w:r>
          </w:p>
          <w:p w14:paraId="53F53F9E" w14:textId="2C8B163E" w:rsidR="0071110F" w:rsidRDefault="0071110F" w:rsidP="00781834">
            <w:pPr>
              <w:jc w:val="both"/>
              <w:rPr>
                <w:rFonts w:asciiTheme="minorHAnsi" w:hAnsiTheme="minorHAnsi" w:cstheme="minorHAnsi"/>
                <w:sz w:val="20"/>
                <w:szCs w:val="20"/>
              </w:rPr>
            </w:pPr>
            <w:r w:rsidRPr="007D773E">
              <w:rPr>
                <w:rFonts w:asciiTheme="minorHAnsi" w:hAnsiTheme="minorHAnsi" w:cstheme="minorHAnsi"/>
                <w:b/>
                <w:sz w:val="20"/>
                <w:szCs w:val="20"/>
              </w:rPr>
              <w:t>TB case-finding in communities</w:t>
            </w:r>
            <w:r>
              <w:rPr>
                <w:rFonts w:asciiTheme="minorHAnsi" w:hAnsiTheme="minorHAnsi" w:cstheme="minorHAnsi"/>
                <w:b/>
                <w:sz w:val="20"/>
                <w:szCs w:val="20"/>
              </w:rPr>
              <w:t xml:space="preserve">: </w:t>
            </w:r>
            <w:r w:rsidRPr="00C334FF">
              <w:rPr>
                <w:rFonts w:asciiTheme="minorHAnsi" w:hAnsiTheme="minorHAnsi" w:cstheme="minorHAnsi"/>
                <w:sz w:val="20"/>
                <w:szCs w:val="20"/>
              </w:rPr>
              <w:t>NGOs</w:t>
            </w:r>
            <w:r w:rsidR="00E96984">
              <w:rPr>
                <w:rFonts w:asciiTheme="minorHAnsi" w:hAnsiTheme="minorHAnsi" w:cstheme="minorHAnsi"/>
                <w:sz w:val="20"/>
                <w:szCs w:val="20"/>
              </w:rPr>
              <w:t xml:space="preserve"> conduct ACF in key populations</w:t>
            </w:r>
            <w:r w:rsidRPr="00C334FF">
              <w:rPr>
                <w:rFonts w:asciiTheme="minorHAnsi" w:hAnsiTheme="minorHAnsi" w:cstheme="minorHAnsi"/>
                <w:sz w:val="20"/>
                <w:szCs w:val="20"/>
              </w:rPr>
              <w:t xml:space="preserve">, including </w:t>
            </w:r>
            <w:r>
              <w:rPr>
                <w:rFonts w:asciiTheme="minorHAnsi" w:hAnsiTheme="minorHAnsi" w:cstheme="minorHAnsi"/>
                <w:sz w:val="20"/>
                <w:szCs w:val="20"/>
              </w:rPr>
              <w:t>homeless</w:t>
            </w:r>
            <w:r w:rsidRPr="00C334FF">
              <w:rPr>
                <w:rFonts w:asciiTheme="minorHAnsi" w:hAnsiTheme="minorHAnsi" w:cstheme="minorHAnsi"/>
                <w:sz w:val="20"/>
                <w:szCs w:val="20"/>
              </w:rPr>
              <w:t>, PLHIV, PWID and prisoners</w:t>
            </w:r>
            <w:r w:rsidR="00E96984">
              <w:rPr>
                <w:rFonts w:asciiTheme="minorHAnsi" w:hAnsiTheme="minorHAnsi" w:cstheme="minorHAnsi"/>
                <w:sz w:val="20"/>
                <w:szCs w:val="20"/>
              </w:rPr>
              <w:t xml:space="preserve"> since </w:t>
            </w:r>
            <w:r w:rsidRPr="00FD7E0E">
              <w:rPr>
                <w:rFonts w:asciiTheme="minorHAnsi" w:hAnsiTheme="minorHAnsi" w:cstheme="minorHAnsi"/>
                <w:sz w:val="20"/>
                <w:szCs w:val="20"/>
              </w:rPr>
              <w:t>2011</w:t>
            </w:r>
            <w:r w:rsidRPr="00C334FF">
              <w:rPr>
                <w:rFonts w:asciiTheme="minorHAnsi" w:hAnsiTheme="minorHAnsi" w:cstheme="minorHAnsi"/>
                <w:sz w:val="20"/>
                <w:szCs w:val="20"/>
              </w:rPr>
              <w:t xml:space="preserve"> with the Global Fund support</w:t>
            </w:r>
            <w:r w:rsidR="00A07EE4">
              <w:rPr>
                <w:rFonts w:asciiTheme="minorHAnsi" w:hAnsiTheme="minorHAnsi" w:cstheme="minorHAnsi"/>
                <w:sz w:val="20"/>
                <w:szCs w:val="20"/>
              </w:rPr>
              <w:t xml:space="preserve"> and Stop TB Partnership TB REACH Initiative</w:t>
            </w:r>
            <w:r w:rsidR="00E96984">
              <w:rPr>
                <w:rFonts w:asciiTheme="minorHAnsi" w:hAnsiTheme="minorHAnsi" w:cstheme="minorHAnsi"/>
                <w:sz w:val="20"/>
                <w:szCs w:val="20"/>
              </w:rPr>
              <w:t xml:space="preserve"> and</w:t>
            </w:r>
            <w:r w:rsidRPr="00C334FF">
              <w:rPr>
                <w:rFonts w:asciiTheme="minorHAnsi" w:hAnsiTheme="minorHAnsi" w:cstheme="minorHAnsi"/>
                <w:sz w:val="20"/>
                <w:szCs w:val="20"/>
              </w:rPr>
              <w:t xml:space="preserve"> have demonstrated their value in TB care among hard to reach KP and vulnerable groups. Within the NGO-implemented programs, the rates of TB cases per 100,000 people screened were 1,365 for homeless, 614 for PLHIV, and 1,416 for prisoners, compared to 1,676 for contacts in ACF undertaken by the health system.</w:t>
            </w:r>
            <w:r w:rsidR="00B420E9">
              <w:rPr>
                <w:rStyle w:val="FootnoteReference"/>
                <w:rFonts w:asciiTheme="minorHAnsi" w:hAnsiTheme="minorHAnsi" w:cstheme="minorHAnsi"/>
                <w:sz w:val="20"/>
                <w:szCs w:val="20"/>
              </w:rPr>
              <w:footnoteReference w:id="26"/>
            </w:r>
            <w:r w:rsidRPr="00C334FF">
              <w:rPr>
                <w:rFonts w:asciiTheme="minorHAnsi" w:hAnsiTheme="minorHAnsi" w:cstheme="minorHAnsi"/>
                <w:sz w:val="20"/>
                <w:szCs w:val="20"/>
              </w:rPr>
              <w:t xml:space="preserve"> </w:t>
            </w:r>
          </w:p>
          <w:p w14:paraId="029670D6" w14:textId="77777777" w:rsidR="0071110F" w:rsidRDefault="0071110F" w:rsidP="00781834">
            <w:pPr>
              <w:jc w:val="both"/>
              <w:rPr>
                <w:rFonts w:asciiTheme="minorHAnsi" w:hAnsiTheme="minorHAnsi" w:cstheme="minorHAnsi"/>
                <w:sz w:val="20"/>
                <w:szCs w:val="20"/>
              </w:rPr>
            </w:pPr>
            <w:r w:rsidRPr="007D773E">
              <w:rPr>
                <w:rFonts w:asciiTheme="minorHAnsi" w:hAnsiTheme="minorHAnsi" w:cstheme="minorHAnsi"/>
                <w:b/>
                <w:sz w:val="20"/>
                <w:szCs w:val="20"/>
              </w:rPr>
              <w:t>TB case-finding in communities</w:t>
            </w:r>
          </w:p>
          <w:tbl>
            <w:tblPr>
              <w:tblStyle w:val="ListTable3-Accent5"/>
              <w:tblW w:w="10045" w:type="dxa"/>
              <w:tblLook w:val="04A0" w:firstRow="1" w:lastRow="0" w:firstColumn="1" w:lastColumn="0" w:noHBand="0" w:noVBand="1"/>
            </w:tblPr>
            <w:tblGrid>
              <w:gridCol w:w="1653"/>
              <w:gridCol w:w="832"/>
              <w:gridCol w:w="894"/>
              <w:gridCol w:w="780"/>
              <w:gridCol w:w="1095"/>
              <w:gridCol w:w="661"/>
              <w:gridCol w:w="717"/>
              <w:gridCol w:w="1039"/>
              <w:gridCol w:w="1128"/>
              <w:gridCol w:w="1246"/>
            </w:tblGrid>
            <w:tr w:rsidR="0071110F" w:rsidRPr="00C334FF" w14:paraId="3431F3C9" w14:textId="77777777" w:rsidTr="008376E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653" w:type="dxa"/>
                  <w:vMerge w:val="restart"/>
                  <w:shd w:val="clear" w:color="auto" w:fill="0070C0"/>
                </w:tcPr>
                <w:p w14:paraId="60736C73" w14:textId="77777777" w:rsidR="0071110F" w:rsidRPr="00C334FF" w:rsidRDefault="0071110F" w:rsidP="00781834">
                  <w:pPr>
                    <w:rPr>
                      <w:rFonts w:asciiTheme="minorHAnsi" w:hAnsiTheme="minorHAnsi" w:cstheme="minorHAnsi"/>
                      <w:sz w:val="20"/>
                      <w:szCs w:val="20"/>
                      <w:lang w:eastAsia="en-GB"/>
                    </w:rPr>
                  </w:pPr>
                </w:p>
              </w:tc>
              <w:tc>
                <w:tcPr>
                  <w:tcW w:w="2506" w:type="dxa"/>
                  <w:gridSpan w:val="3"/>
                  <w:shd w:val="clear" w:color="auto" w:fill="0070C0"/>
                  <w:noWrap/>
                </w:tcPr>
                <w:p w14:paraId="47146626" w14:textId="0C6220CD" w:rsidR="0071110F" w:rsidRPr="00C334FF" w:rsidRDefault="0071110F" w:rsidP="007818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 xml:space="preserve">NGO activities – homeless in </w:t>
                  </w:r>
                  <w:r w:rsidR="008376E7">
                    <w:rPr>
                      <w:rFonts w:asciiTheme="minorHAnsi" w:hAnsiTheme="minorHAnsi" w:cstheme="minorHAnsi"/>
                      <w:sz w:val="20"/>
                      <w:szCs w:val="20"/>
                      <w:lang w:eastAsia="en-GB"/>
                    </w:rPr>
                    <w:t>Chisinau</w:t>
                  </w:r>
                </w:p>
              </w:tc>
              <w:tc>
                <w:tcPr>
                  <w:tcW w:w="1095" w:type="dxa"/>
                  <w:shd w:val="clear" w:color="auto" w:fill="0070C0"/>
                </w:tcPr>
                <w:p w14:paraId="749F9FA3" w14:textId="77777777" w:rsidR="0071110F" w:rsidRPr="00C334FF" w:rsidRDefault="0071110F" w:rsidP="007818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 xml:space="preserve">PLHIV screened for TB </w:t>
                  </w:r>
                </w:p>
              </w:tc>
              <w:tc>
                <w:tcPr>
                  <w:tcW w:w="1378" w:type="dxa"/>
                  <w:gridSpan w:val="2"/>
                  <w:shd w:val="clear" w:color="auto" w:fill="0070C0"/>
                </w:tcPr>
                <w:p w14:paraId="2ABC1645" w14:textId="572EDFF1" w:rsidR="0071110F" w:rsidRPr="00C334FF" w:rsidRDefault="008376E7" w:rsidP="008376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Pr>
                      <w:rFonts w:asciiTheme="minorHAnsi" w:hAnsiTheme="minorHAnsi" w:cstheme="minorHAnsi"/>
                      <w:sz w:val="20"/>
                      <w:szCs w:val="20"/>
                      <w:lang w:eastAsia="en-GB"/>
                    </w:rPr>
                    <w:t>NGO in Balti</w:t>
                  </w:r>
                </w:p>
              </w:tc>
              <w:tc>
                <w:tcPr>
                  <w:tcW w:w="3413" w:type="dxa"/>
                  <w:gridSpan w:val="3"/>
                  <w:shd w:val="clear" w:color="auto" w:fill="0070C0"/>
                </w:tcPr>
                <w:p w14:paraId="0CAF17D5" w14:textId="7D86B51C" w:rsidR="0071110F" w:rsidRPr="00C334FF" w:rsidRDefault="0071110F" w:rsidP="0078183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K</w:t>
                  </w:r>
                  <w:r w:rsidR="008376E7">
                    <w:rPr>
                      <w:rFonts w:asciiTheme="minorHAnsi" w:hAnsiTheme="minorHAnsi" w:cstheme="minorHAnsi"/>
                      <w:sz w:val="20"/>
                      <w:szCs w:val="20"/>
                      <w:lang w:eastAsia="en-GB"/>
                    </w:rPr>
                    <w:t>P/activity</w:t>
                  </w:r>
                </w:p>
              </w:tc>
            </w:tr>
            <w:tr w:rsidR="0071110F" w:rsidRPr="00C334FF" w14:paraId="0332C937" w14:textId="77777777" w:rsidTr="008376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vMerge/>
                  <w:shd w:val="clear" w:color="auto" w:fill="0070C0"/>
                  <w:hideMark/>
                </w:tcPr>
                <w:p w14:paraId="7B6242B4" w14:textId="77777777" w:rsidR="0071110F" w:rsidRPr="00C334FF" w:rsidRDefault="0071110F" w:rsidP="00781834">
                  <w:pPr>
                    <w:rPr>
                      <w:rFonts w:asciiTheme="minorHAnsi" w:hAnsiTheme="minorHAnsi" w:cstheme="minorHAnsi"/>
                      <w:sz w:val="20"/>
                      <w:szCs w:val="20"/>
                      <w:lang w:eastAsia="en-GB"/>
                    </w:rPr>
                  </w:pPr>
                </w:p>
              </w:tc>
              <w:tc>
                <w:tcPr>
                  <w:tcW w:w="832" w:type="dxa"/>
                  <w:shd w:val="clear" w:color="auto" w:fill="0070C0"/>
                  <w:noWrap/>
                  <w:hideMark/>
                </w:tcPr>
                <w:p w14:paraId="03A5E7AF" w14:textId="77777777" w:rsidR="0071110F" w:rsidRPr="00E96984" w:rsidRDefault="0071110F" w:rsidP="007A63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lang w:eastAsia="en-GB"/>
                    </w:rPr>
                  </w:pPr>
                  <w:r w:rsidRPr="00E96984">
                    <w:rPr>
                      <w:rFonts w:asciiTheme="minorHAnsi" w:hAnsiTheme="minorHAnsi" w:cstheme="minorHAnsi"/>
                      <w:color w:val="FFFFFF" w:themeColor="background1"/>
                      <w:sz w:val="20"/>
                      <w:szCs w:val="20"/>
                      <w:lang w:eastAsia="en-GB"/>
                    </w:rPr>
                    <w:t>2017</w:t>
                  </w:r>
                </w:p>
              </w:tc>
              <w:tc>
                <w:tcPr>
                  <w:tcW w:w="894" w:type="dxa"/>
                  <w:shd w:val="clear" w:color="auto" w:fill="0070C0"/>
                  <w:noWrap/>
                  <w:hideMark/>
                </w:tcPr>
                <w:p w14:paraId="0EB5D475" w14:textId="77777777" w:rsidR="0071110F" w:rsidRPr="00E96984" w:rsidRDefault="0071110F" w:rsidP="007A63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lang w:eastAsia="en-GB"/>
                    </w:rPr>
                  </w:pPr>
                  <w:r w:rsidRPr="00E96984">
                    <w:rPr>
                      <w:rFonts w:asciiTheme="minorHAnsi" w:hAnsiTheme="minorHAnsi" w:cstheme="minorHAnsi"/>
                      <w:color w:val="FFFFFF" w:themeColor="background1"/>
                      <w:sz w:val="20"/>
                      <w:szCs w:val="20"/>
                      <w:lang w:eastAsia="en-GB"/>
                    </w:rPr>
                    <w:t>2018</w:t>
                  </w:r>
                </w:p>
              </w:tc>
              <w:tc>
                <w:tcPr>
                  <w:tcW w:w="780" w:type="dxa"/>
                  <w:shd w:val="clear" w:color="auto" w:fill="0070C0"/>
                  <w:noWrap/>
                  <w:hideMark/>
                </w:tcPr>
                <w:p w14:paraId="70A44299" w14:textId="77777777" w:rsidR="0071110F" w:rsidRPr="00E96984" w:rsidRDefault="0071110F" w:rsidP="007A63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lang w:eastAsia="en-GB"/>
                    </w:rPr>
                  </w:pPr>
                  <w:r w:rsidRPr="00E96984">
                    <w:rPr>
                      <w:rFonts w:asciiTheme="minorHAnsi" w:hAnsiTheme="minorHAnsi" w:cstheme="minorHAnsi"/>
                      <w:color w:val="FFFFFF" w:themeColor="background1"/>
                      <w:sz w:val="20"/>
                      <w:szCs w:val="20"/>
                      <w:lang w:eastAsia="en-GB"/>
                    </w:rPr>
                    <w:t>2019</w:t>
                  </w:r>
                </w:p>
              </w:tc>
              <w:tc>
                <w:tcPr>
                  <w:tcW w:w="1095" w:type="dxa"/>
                  <w:shd w:val="clear" w:color="auto" w:fill="0070C0"/>
                </w:tcPr>
                <w:p w14:paraId="689BED54" w14:textId="77777777" w:rsidR="0071110F" w:rsidRPr="00E96984" w:rsidRDefault="0071110F" w:rsidP="007A63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lang w:eastAsia="en-GB"/>
                    </w:rPr>
                  </w:pPr>
                  <w:r w:rsidRPr="00E96984">
                    <w:rPr>
                      <w:rFonts w:asciiTheme="minorHAnsi" w:hAnsiTheme="minorHAnsi" w:cstheme="minorHAnsi"/>
                      <w:color w:val="FFFFFF" w:themeColor="background1"/>
                      <w:sz w:val="20"/>
                      <w:szCs w:val="20"/>
                      <w:lang w:eastAsia="en-GB"/>
                    </w:rPr>
                    <w:t>2019</w:t>
                  </w:r>
                </w:p>
              </w:tc>
              <w:tc>
                <w:tcPr>
                  <w:tcW w:w="661" w:type="dxa"/>
                  <w:shd w:val="clear" w:color="auto" w:fill="0070C0"/>
                </w:tcPr>
                <w:p w14:paraId="40EC9232" w14:textId="77777777" w:rsidR="0071110F" w:rsidRPr="00E96984" w:rsidRDefault="0071110F" w:rsidP="007A63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lang w:eastAsia="en-GB"/>
                    </w:rPr>
                  </w:pPr>
                  <w:r w:rsidRPr="00E96984">
                    <w:rPr>
                      <w:rFonts w:asciiTheme="minorHAnsi" w:hAnsiTheme="minorHAnsi" w:cstheme="minorHAnsi"/>
                      <w:color w:val="FFFFFF" w:themeColor="background1"/>
                      <w:sz w:val="20"/>
                      <w:szCs w:val="20"/>
                      <w:lang w:eastAsia="en-GB"/>
                    </w:rPr>
                    <w:t>2018</w:t>
                  </w:r>
                </w:p>
              </w:tc>
              <w:tc>
                <w:tcPr>
                  <w:tcW w:w="717" w:type="dxa"/>
                  <w:shd w:val="clear" w:color="auto" w:fill="0070C0"/>
                </w:tcPr>
                <w:p w14:paraId="4EB16A78" w14:textId="77777777" w:rsidR="0071110F" w:rsidRPr="00E96984" w:rsidRDefault="0071110F" w:rsidP="007A63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lang w:eastAsia="en-GB"/>
                    </w:rPr>
                  </w:pPr>
                  <w:r w:rsidRPr="00E96984">
                    <w:rPr>
                      <w:rFonts w:asciiTheme="minorHAnsi" w:hAnsiTheme="minorHAnsi" w:cstheme="minorHAnsi"/>
                      <w:color w:val="FFFFFF" w:themeColor="background1"/>
                      <w:sz w:val="20"/>
                      <w:szCs w:val="20"/>
                      <w:lang w:eastAsia="en-GB"/>
                    </w:rPr>
                    <w:t>2019</w:t>
                  </w:r>
                </w:p>
              </w:tc>
              <w:tc>
                <w:tcPr>
                  <w:tcW w:w="1039" w:type="dxa"/>
                  <w:shd w:val="clear" w:color="auto" w:fill="0070C0"/>
                </w:tcPr>
                <w:p w14:paraId="074E636D" w14:textId="77777777" w:rsidR="0071110F" w:rsidRPr="00E96984" w:rsidRDefault="0071110F" w:rsidP="007A63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lang w:eastAsia="en-GB"/>
                    </w:rPr>
                  </w:pPr>
                  <w:r w:rsidRPr="00E96984">
                    <w:rPr>
                      <w:rFonts w:asciiTheme="minorHAnsi" w:hAnsiTheme="minorHAnsi" w:cstheme="minorHAnsi"/>
                      <w:color w:val="FFFFFF" w:themeColor="background1"/>
                      <w:sz w:val="20"/>
                      <w:szCs w:val="20"/>
                      <w:lang w:eastAsia="en-GB"/>
                    </w:rPr>
                    <w:t>2018 contacts</w:t>
                  </w:r>
                </w:p>
              </w:tc>
              <w:tc>
                <w:tcPr>
                  <w:tcW w:w="1128" w:type="dxa"/>
                  <w:shd w:val="clear" w:color="auto" w:fill="0070C0"/>
                </w:tcPr>
                <w:p w14:paraId="6548FA4D" w14:textId="77777777" w:rsidR="0071110F" w:rsidRPr="00E96984" w:rsidRDefault="0071110F" w:rsidP="007A63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lang w:eastAsia="en-GB"/>
                    </w:rPr>
                  </w:pPr>
                  <w:r w:rsidRPr="00E96984">
                    <w:rPr>
                      <w:rFonts w:asciiTheme="minorHAnsi" w:hAnsiTheme="minorHAnsi" w:cstheme="minorHAnsi"/>
                      <w:color w:val="FFFFFF" w:themeColor="background1"/>
                      <w:sz w:val="20"/>
                      <w:szCs w:val="20"/>
                      <w:lang w:eastAsia="en-GB"/>
                    </w:rPr>
                    <w:t>2018 prisoners</w:t>
                  </w:r>
                </w:p>
              </w:tc>
              <w:tc>
                <w:tcPr>
                  <w:tcW w:w="1246" w:type="dxa"/>
                  <w:shd w:val="clear" w:color="auto" w:fill="0070C0"/>
                </w:tcPr>
                <w:p w14:paraId="3BB75488" w14:textId="77777777" w:rsidR="0071110F" w:rsidRPr="00E96984" w:rsidRDefault="0071110F" w:rsidP="007A63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20"/>
                      <w:szCs w:val="20"/>
                      <w:lang w:eastAsia="en-GB"/>
                    </w:rPr>
                  </w:pPr>
                  <w:r w:rsidRPr="00E96984">
                    <w:rPr>
                      <w:rFonts w:asciiTheme="minorHAnsi" w:hAnsiTheme="minorHAnsi" w:cstheme="minorHAnsi"/>
                      <w:color w:val="FFFFFF" w:themeColor="background1"/>
                      <w:sz w:val="20"/>
                      <w:szCs w:val="20"/>
                      <w:lang w:eastAsia="en-GB"/>
                    </w:rPr>
                    <w:t>2019 mobile van</w:t>
                  </w:r>
                </w:p>
              </w:tc>
            </w:tr>
            <w:tr w:rsidR="0071110F" w:rsidRPr="00C334FF" w14:paraId="1F011EF5" w14:textId="77777777" w:rsidTr="00183185">
              <w:trPr>
                <w:trHeight w:val="377"/>
              </w:trPr>
              <w:tc>
                <w:tcPr>
                  <w:cnfStyle w:val="001000000000" w:firstRow="0" w:lastRow="0" w:firstColumn="1" w:lastColumn="0" w:oddVBand="0" w:evenVBand="0" w:oddHBand="0" w:evenHBand="0" w:firstRowFirstColumn="0" w:firstRowLastColumn="0" w:lastRowFirstColumn="0" w:lastRowLastColumn="0"/>
                  <w:tcW w:w="1653" w:type="dxa"/>
                  <w:hideMark/>
                </w:tcPr>
                <w:p w14:paraId="4E5DF45C" w14:textId="77777777" w:rsidR="0071110F" w:rsidRPr="00C334FF" w:rsidRDefault="0071110F" w:rsidP="00781834">
                  <w:pPr>
                    <w:rPr>
                      <w:rFonts w:asciiTheme="minorHAnsi" w:hAnsiTheme="minorHAnsi" w:cstheme="minorHAnsi"/>
                      <w:sz w:val="20"/>
                      <w:szCs w:val="20"/>
                      <w:lang w:eastAsia="en-GB"/>
                    </w:rPr>
                  </w:pPr>
                  <w:r w:rsidRPr="00C334FF">
                    <w:rPr>
                      <w:rFonts w:asciiTheme="minorHAnsi" w:hAnsiTheme="minorHAnsi" w:cstheme="minorHAnsi"/>
                      <w:sz w:val="20"/>
                      <w:szCs w:val="20"/>
                      <w:lang w:eastAsia="en-GB"/>
                    </w:rPr>
                    <w:t>People screened</w:t>
                  </w:r>
                </w:p>
              </w:tc>
              <w:tc>
                <w:tcPr>
                  <w:tcW w:w="832" w:type="dxa"/>
                  <w:noWrap/>
                  <w:hideMark/>
                </w:tcPr>
                <w:p w14:paraId="05743BCE" w14:textId="77777777" w:rsidR="0071110F" w:rsidRPr="00C334FF" w:rsidRDefault="0071110F" w:rsidP="007818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1,452</w:t>
                  </w:r>
                </w:p>
              </w:tc>
              <w:tc>
                <w:tcPr>
                  <w:tcW w:w="894" w:type="dxa"/>
                  <w:noWrap/>
                  <w:hideMark/>
                </w:tcPr>
                <w:p w14:paraId="5726F1CD" w14:textId="77777777" w:rsidR="0071110F" w:rsidRPr="00C334FF" w:rsidRDefault="0071110F" w:rsidP="007818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1,532</w:t>
                  </w:r>
                </w:p>
              </w:tc>
              <w:tc>
                <w:tcPr>
                  <w:tcW w:w="780" w:type="dxa"/>
                  <w:noWrap/>
                  <w:hideMark/>
                </w:tcPr>
                <w:p w14:paraId="0C172682" w14:textId="77777777" w:rsidR="0071110F" w:rsidRPr="00C334FF" w:rsidRDefault="0071110F" w:rsidP="007818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1,538</w:t>
                  </w:r>
                </w:p>
              </w:tc>
              <w:tc>
                <w:tcPr>
                  <w:tcW w:w="1095" w:type="dxa"/>
                </w:tcPr>
                <w:p w14:paraId="6F2D0551" w14:textId="77777777" w:rsidR="0071110F" w:rsidRPr="00C334FF" w:rsidRDefault="0071110F" w:rsidP="007818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2,443</w:t>
                  </w:r>
                </w:p>
              </w:tc>
              <w:tc>
                <w:tcPr>
                  <w:tcW w:w="661" w:type="dxa"/>
                </w:tcPr>
                <w:p w14:paraId="2D31E831" w14:textId="77777777" w:rsidR="0071110F" w:rsidRPr="00C334FF" w:rsidRDefault="0071110F" w:rsidP="007818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264</w:t>
                  </w:r>
                </w:p>
              </w:tc>
              <w:tc>
                <w:tcPr>
                  <w:tcW w:w="717" w:type="dxa"/>
                </w:tcPr>
                <w:p w14:paraId="6EA56BB3" w14:textId="77777777" w:rsidR="0071110F" w:rsidRPr="00C334FF" w:rsidRDefault="0071110F" w:rsidP="007818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1,021</w:t>
                  </w:r>
                </w:p>
              </w:tc>
              <w:tc>
                <w:tcPr>
                  <w:tcW w:w="1039" w:type="dxa"/>
                </w:tcPr>
                <w:p w14:paraId="5B21B24E" w14:textId="77777777" w:rsidR="0071110F" w:rsidRPr="00C334FF" w:rsidRDefault="0071110F" w:rsidP="007818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17,958</w:t>
                  </w:r>
                </w:p>
              </w:tc>
              <w:tc>
                <w:tcPr>
                  <w:tcW w:w="1128" w:type="dxa"/>
                </w:tcPr>
                <w:p w14:paraId="36C232FA" w14:textId="77777777" w:rsidR="0071110F" w:rsidRPr="00C334FF" w:rsidRDefault="0071110F" w:rsidP="007818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6</w:t>
                  </w:r>
                  <w:r>
                    <w:rPr>
                      <w:rFonts w:asciiTheme="minorHAnsi" w:hAnsiTheme="minorHAnsi" w:cstheme="minorHAnsi"/>
                      <w:sz w:val="20"/>
                      <w:szCs w:val="20"/>
                      <w:lang w:eastAsia="en-GB"/>
                    </w:rPr>
                    <w:t>,</w:t>
                  </w:r>
                  <w:r w:rsidRPr="00C334FF">
                    <w:rPr>
                      <w:rFonts w:asciiTheme="minorHAnsi" w:hAnsiTheme="minorHAnsi" w:cstheme="minorHAnsi"/>
                      <w:sz w:val="20"/>
                      <w:szCs w:val="20"/>
                      <w:lang w:eastAsia="en-GB"/>
                    </w:rPr>
                    <w:t>991</w:t>
                  </w:r>
                </w:p>
              </w:tc>
              <w:tc>
                <w:tcPr>
                  <w:tcW w:w="1246" w:type="dxa"/>
                </w:tcPr>
                <w:p w14:paraId="532A7616" w14:textId="77777777" w:rsidR="0071110F" w:rsidRPr="00C334FF" w:rsidRDefault="0071110F" w:rsidP="007818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34,172</w:t>
                  </w:r>
                </w:p>
              </w:tc>
            </w:tr>
            <w:tr w:rsidR="0071110F" w:rsidRPr="00C334FF" w14:paraId="57155CFC" w14:textId="77777777" w:rsidTr="001831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tcPr>
                <w:p w14:paraId="090D653D" w14:textId="77777777" w:rsidR="0071110F" w:rsidRPr="00C334FF" w:rsidRDefault="0071110F" w:rsidP="00781834">
                  <w:pPr>
                    <w:rPr>
                      <w:rFonts w:asciiTheme="minorHAnsi" w:hAnsiTheme="minorHAnsi" w:cstheme="minorHAnsi"/>
                      <w:sz w:val="20"/>
                      <w:szCs w:val="20"/>
                      <w:lang w:eastAsia="en-GB"/>
                    </w:rPr>
                  </w:pPr>
                  <w:r w:rsidRPr="00C334FF">
                    <w:rPr>
                      <w:rFonts w:asciiTheme="minorHAnsi" w:hAnsiTheme="minorHAnsi" w:cstheme="minorHAnsi"/>
                      <w:sz w:val="20"/>
                      <w:szCs w:val="20"/>
                      <w:lang w:eastAsia="en-GB"/>
                    </w:rPr>
                    <w:t>Tested for TB (% of screened)</w:t>
                  </w:r>
                </w:p>
              </w:tc>
              <w:tc>
                <w:tcPr>
                  <w:tcW w:w="832" w:type="dxa"/>
                  <w:noWrap/>
                </w:tcPr>
                <w:p w14:paraId="61F18C88" w14:textId="77777777" w:rsidR="0071110F" w:rsidRPr="00C334FF" w:rsidRDefault="0071110F" w:rsidP="007818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449 (31%)</w:t>
                  </w:r>
                </w:p>
              </w:tc>
              <w:tc>
                <w:tcPr>
                  <w:tcW w:w="894" w:type="dxa"/>
                  <w:noWrap/>
                </w:tcPr>
                <w:p w14:paraId="0AA9202A" w14:textId="77777777" w:rsidR="0071110F" w:rsidRPr="00C334FF" w:rsidRDefault="0071110F" w:rsidP="007818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378 (25%)</w:t>
                  </w:r>
                </w:p>
              </w:tc>
              <w:tc>
                <w:tcPr>
                  <w:tcW w:w="780" w:type="dxa"/>
                  <w:noWrap/>
                </w:tcPr>
                <w:p w14:paraId="1543AE2C" w14:textId="77777777" w:rsidR="0071110F" w:rsidRPr="00C334FF" w:rsidRDefault="0071110F" w:rsidP="007818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362 (24%)</w:t>
                  </w:r>
                </w:p>
              </w:tc>
              <w:tc>
                <w:tcPr>
                  <w:tcW w:w="1095" w:type="dxa"/>
                </w:tcPr>
                <w:p w14:paraId="607D8953" w14:textId="77777777" w:rsidR="0071110F" w:rsidRPr="00C334FF" w:rsidDel="00092E30" w:rsidRDefault="0071110F" w:rsidP="007818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465 (19%)</w:t>
                  </w:r>
                </w:p>
              </w:tc>
              <w:tc>
                <w:tcPr>
                  <w:tcW w:w="661" w:type="dxa"/>
                </w:tcPr>
                <w:p w14:paraId="4B0A2FF6" w14:textId="77777777" w:rsidR="0071110F" w:rsidRPr="00C334FF" w:rsidRDefault="0071110F" w:rsidP="007818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w:t>
                  </w:r>
                </w:p>
              </w:tc>
              <w:tc>
                <w:tcPr>
                  <w:tcW w:w="717" w:type="dxa"/>
                </w:tcPr>
                <w:p w14:paraId="60DEBF0A" w14:textId="77777777" w:rsidR="0071110F" w:rsidRPr="00C334FF" w:rsidRDefault="0071110F" w:rsidP="007818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w:t>
                  </w:r>
                </w:p>
              </w:tc>
              <w:tc>
                <w:tcPr>
                  <w:tcW w:w="1039" w:type="dxa"/>
                </w:tcPr>
                <w:p w14:paraId="5C53D832" w14:textId="77777777" w:rsidR="0071110F" w:rsidRPr="00C334FF" w:rsidRDefault="0071110F" w:rsidP="007818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628 (3%)</w:t>
                  </w:r>
                </w:p>
              </w:tc>
              <w:tc>
                <w:tcPr>
                  <w:tcW w:w="1128" w:type="dxa"/>
                </w:tcPr>
                <w:p w14:paraId="1799CFC8" w14:textId="77777777" w:rsidR="0071110F" w:rsidRPr="00C334FF" w:rsidRDefault="0071110F" w:rsidP="007818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Not available</w:t>
                  </w:r>
                </w:p>
              </w:tc>
              <w:tc>
                <w:tcPr>
                  <w:tcW w:w="1246" w:type="dxa"/>
                </w:tcPr>
                <w:p w14:paraId="02C4E86D" w14:textId="77777777" w:rsidR="0071110F" w:rsidRPr="00C334FF" w:rsidRDefault="0071110F" w:rsidP="007818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5,888 (17%)</w:t>
                  </w:r>
                </w:p>
              </w:tc>
            </w:tr>
            <w:tr w:rsidR="0071110F" w:rsidRPr="00C334FF" w14:paraId="7000FBA5" w14:textId="77777777" w:rsidTr="00183185">
              <w:trPr>
                <w:trHeight w:val="300"/>
              </w:trPr>
              <w:tc>
                <w:tcPr>
                  <w:cnfStyle w:val="001000000000" w:firstRow="0" w:lastRow="0" w:firstColumn="1" w:lastColumn="0" w:oddVBand="0" w:evenVBand="0" w:oddHBand="0" w:evenHBand="0" w:firstRowFirstColumn="0" w:firstRowLastColumn="0" w:lastRowFirstColumn="0" w:lastRowLastColumn="0"/>
                  <w:tcW w:w="1653" w:type="dxa"/>
                  <w:hideMark/>
                </w:tcPr>
                <w:p w14:paraId="699D2303" w14:textId="77777777" w:rsidR="0071110F" w:rsidRPr="00C334FF" w:rsidRDefault="0071110F" w:rsidP="00781834">
                  <w:pPr>
                    <w:rPr>
                      <w:rFonts w:asciiTheme="minorHAnsi" w:hAnsiTheme="minorHAnsi" w:cstheme="minorHAnsi"/>
                      <w:sz w:val="20"/>
                      <w:szCs w:val="20"/>
                      <w:lang w:eastAsia="en-GB"/>
                    </w:rPr>
                  </w:pPr>
                  <w:r w:rsidRPr="00C334FF">
                    <w:rPr>
                      <w:rFonts w:asciiTheme="minorHAnsi" w:hAnsiTheme="minorHAnsi" w:cstheme="minorHAnsi"/>
                      <w:sz w:val="20"/>
                      <w:szCs w:val="20"/>
                      <w:lang w:eastAsia="en-GB"/>
                    </w:rPr>
                    <w:t>TB diagnosed (% of tested)</w:t>
                  </w:r>
                </w:p>
              </w:tc>
              <w:tc>
                <w:tcPr>
                  <w:tcW w:w="832" w:type="dxa"/>
                  <w:noWrap/>
                  <w:hideMark/>
                </w:tcPr>
                <w:p w14:paraId="4C551769" w14:textId="77777777" w:rsidR="0071110F" w:rsidRPr="00C334FF" w:rsidRDefault="0071110F" w:rsidP="007818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18 (4%)</w:t>
                  </w:r>
                </w:p>
              </w:tc>
              <w:tc>
                <w:tcPr>
                  <w:tcW w:w="894" w:type="dxa"/>
                  <w:noWrap/>
                  <w:hideMark/>
                </w:tcPr>
                <w:p w14:paraId="776FF181" w14:textId="77777777" w:rsidR="0071110F" w:rsidRPr="00C334FF" w:rsidRDefault="0071110F" w:rsidP="007818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15 (4%)</w:t>
                  </w:r>
                </w:p>
              </w:tc>
              <w:tc>
                <w:tcPr>
                  <w:tcW w:w="780" w:type="dxa"/>
                  <w:noWrap/>
                  <w:hideMark/>
                </w:tcPr>
                <w:p w14:paraId="1C90E451" w14:textId="77777777" w:rsidR="0071110F" w:rsidRPr="00C334FF" w:rsidRDefault="0071110F" w:rsidP="007818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21 (6%)</w:t>
                  </w:r>
                </w:p>
              </w:tc>
              <w:tc>
                <w:tcPr>
                  <w:tcW w:w="1095" w:type="dxa"/>
                </w:tcPr>
                <w:p w14:paraId="7D93B40A" w14:textId="77777777" w:rsidR="0071110F" w:rsidRPr="00C334FF" w:rsidRDefault="0071110F" w:rsidP="007818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342 (74%)</w:t>
                  </w:r>
                </w:p>
              </w:tc>
              <w:tc>
                <w:tcPr>
                  <w:tcW w:w="661" w:type="dxa"/>
                </w:tcPr>
                <w:p w14:paraId="266EE1D0" w14:textId="77777777" w:rsidR="0071110F" w:rsidRPr="00C334FF" w:rsidRDefault="0071110F" w:rsidP="007818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2</w:t>
                  </w:r>
                </w:p>
              </w:tc>
              <w:tc>
                <w:tcPr>
                  <w:tcW w:w="717" w:type="dxa"/>
                </w:tcPr>
                <w:p w14:paraId="06D9BDE9" w14:textId="77777777" w:rsidR="0071110F" w:rsidRPr="00C334FF" w:rsidRDefault="0071110F" w:rsidP="007818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11</w:t>
                  </w:r>
                </w:p>
              </w:tc>
              <w:tc>
                <w:tcPr>
                  <w:tcW w:w="1039" w:type="dxa"/>
                </w:tcPr>
                <w:p w14:paraId="6A5742D9" w14:textId="77777777" w:rsidR="0071110F" w:rsidRPr="00C334FF" w:rsidRDefault="0071110F" w:rsidP="007818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580 (92%)</w:t>
                  </w:r>
                </w:p>
              </w:tc>
              <w:tc>
                <w:tcPr>
                  <w:tcW w:w="1128" w:type="dxa"/>
                </w:tcPr>
                <w:p w14:paraId="30AC694E" w14:textId="77777777" w:rsidR="0071110F" w:rsidRPr="00C334FF" w:rsidRDefault="0071110F" w:rsidP="007818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5997 (86%)</w:t>
                  </w:r>
                </w:p>
              </w:tc>
              <w:tc>
                <w:tcPr>
                  <w:tcW w:w="1246" w:type="dxa"/>
                </w:tcPr>
                <w:p w14:paraId="6150B372" w14:textId="77777777" w:rsidR="0071110F" w:rsidRPr="00C334FF" w:rsidRDefault="0071110F" w:rsidP="007818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Not available</w:t>
                  </w:r>
                </w:p>
              </w:tc>
            </w:tr>
            <w:tr w:rsidR="0071110F" w:rsidRPr="00C334FF" w14:paraId="21C90FA2" w14:textId="77777777" w:rsidTr="001831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3" w:type="dxa"/>
                  <w:hideMark/>
                </w:tcPr>
                <w:p w14:paraId="70C2E3F9" w14:textId="77777777" w:rsidR="0071110F" w:rsidRPr="00C334FF" w:rsidRDefault="0071110F" w:rsidP="00781834">
                  <w:pPr>
                    <w:rPr>
                      <w:rFonts w:asciiTheme="minorHAnsi" w:hAnsiTheme="minorHAnsi" w:cstheme="minorHAnsi"/>
                      <w:sz w:val="20"/>
                      <w:szCs w:val="20"/>
                      <w:lang w:eastAsia="en-GB"/>
                    </w:rPr>
                  </w:pPr>
                  <w:r w:rsidRPr="00C334FF">
                    <w:rPr>
                      <w:rFonts w:asciiTheme="minorHAnsi" w:hAnsiTheme="minorHAnsi" w:cstheme="minorHAnsi"/>
                      <w:sz w:val="20"/>
                      <w:szCs w:val="20"/>
                      <w:lang w:eastAsia="en-GB"/>
                    </w:rPr>
                    <w:t>TB per 100,000 screened</w:t>
                  </w:r>
                </w:p>
              </w:tc>
              <w:tc>
                <w:tcPr>
                  <w:tcW w:w="832" w:type="dxa"/>
                  <w:noWrap/>
                  <w:hideMark/>
                </w:tcPr>
                <w:p w14:paraId="7FB0AB2F" w14:textId="77777777" w:rsidR="0071110F" w:rsidRPr="00C334FF" w:rsidRDefault="0071110F" w:rsidP="007818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1,240</w:t>
                  </w:r>
                </w:p>
              </w:tc>
              <w:tc>
                <w:tcPr>
                  <w:tcW w:w="894" w:type="dxa"/>
                  <w:noWrap/>
                  <w:hideMark/>
                </w:tcPr>
                <w:p w14:paraId="37A42149" w14:textId="77777777" w:rsidR="0071110F" w:rsidRPr="00C334FF" w:rsidRDefault="0071110F" w:rsidP="007818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979</w:t>
                  </w:r>
                </w:p>
              </w:tc>
              <w:tc>
                <w:tcPr>
                  <w:tcW w:w="780" w:type="dxa"/>
                  <w:noWrap/>
                  <w:hideMark/>
                </w:tcPr>
                <w:p w14:paraId="2E9DC70F" w14:textId="77777777" w:rsidR="0071110F" w:rsidRPr="00C334FF" w:rsidRDefault="0071110F" w:rsidP="007818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1,365</w:t>
                  </w:r>
                </w:p>
              </w:tc>
              <w:tc>
                <w:tcPr>
                  <w:tcW w:w="1095" w:type="dxa"/>
                </w:tcPr>
                <w:p w14:paraId="75EA669C" w14:textId="77777777" w:rsidR="0071110F" w:rsidRPr="00C334FF" w:rsidRDefault="0071110F" w:rsidP="007818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15 (4%)</w:t>
                  </w:r>
                </w:p>
              </w:tc>
              <w:tc>
                <w:tcPr>
                  <w:tcW w:w="661" w:type="dxa"/>
                </w:tcPr>
                <w:p w14:paraId="3C6F588C" w14:textId="77777777" w:rsidR="0071110F" w:rsidRPr="00C334FF" w:rsidRDefault="0071110F" w:rsidP="007818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758</w:t>
                  </w:r>
                </w:p>
              </w:tc>
              <w:tc>
                <w:tcPr>
                  <w:tcW w:w="717" w:type="dxa"/>
                </w:tcPr>
                <w:p w14:paraId="16A4BFAA" w14:textId="77777777" w:rsidR="0071110F" w:rsidRPr="00C334FF" w:rsidRDefault="0071110F" w:rsidP="007818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1,077</w:t>
                  </w:r>
                </w:p>
              </w:tc>
              <w:tc>
                <w:tcPr>
                  <w:tcW w:w="1039" w:type="dxa"/>
                </w:tcPr>
                <w:p w14:paraId="49599734" w14:textId="77777777" w:rsidR="0071110F" w:rsidRPr="00C334FF" w:rsidRDefault="0071110F" w:rsidP="007818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301 (52%)</w:t>
                  </w:r>
                </w:p>
              </w:tc>
              <w:tc>
                <w:tcPr>
                  <w:tcW w:w="1128" w:type="dxa"/>
                </w:tcPr>
                <w:p w14:paraId="0D0A7372" w14:textId="77777777" w:rsidR="0071110F" w:rsidRPr="00C334FF" w:rsidRDefault="0071110F" w:rsidP="007818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99 (2%)</w:t>
                  </w:r>
                </w:p>
              </w:tc>
              <w:tc>
                <w:tcPr>
                  <w:tcW w:w="1246" w:type="dxa"/>
                </w:tcPr>
                <w:p w14:paraId="64FB8FD0" w14:textId="77777777" w:rsidR="0071110F" w:rsidRPr="00C334FF" w:rsidRDefault="0071110F" w:rsidP="007818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en-GB"/>
                    </w:rPr>
                  </w:pPr>
                  <w:r w:rsidRPr="00C334FF">
                    <w:rPr>
                      <w:rFonts w:asciiTheme="minorHAnsi" w:hAnsiTheme="minorHAnsi" w:cstheme="minorHAnsi"/>
                      <w:sz w:val="20"/>
                      <w:szCs w:val="20"/>
                      <w:lang w:eastAsia="en-GB"/>
                    </w:rPr>
                    <w:t>166</w:t>
                  </w:r>
                </w:p>
              </w:tc>
            </w:tr>
          </w:tbl>
          <w:p w14:paraId="39697100" w14:textId="77777777" w:rsidR="0071110F" w:rsidRPr="00A52B71" w:rsidRDefault="0071110F" w:rsidP="00781834">
            <w:pPr>
              <w:rPr>
                <w:rFonts w:asciiTheme="minorHAnsi" w:hAnsiTheme="minorHAnsi" w:cstheme="minorHAnsi"/>
                <w:sz w:val="18"/>
                <w:szCs w:val="20"/>
              </w:rPr>
            </w:pPr>
            <w:r w:rsidRPr="00A52B71">
              <w:rPr>
                <w:rFonts w:asciiTheme="minorHAnsi" w:hAnsiTheme="minorHAnsi" w:cstheme="minorHAnsi"/>
                <w:sz w:val="18"/>
                <w:szCs w:val="20"/>
              </w:rPr>
              <w:t xml:space="preserve">Source: </w:t>
            </w:r>
            <w:r w:rsidRPr="00230069">
              <w:rPr>
                <w:rFonts w:asciiTheme="minorHAnsi" w:hAnsiTheme="minorHAnsi" w:cstheme="minorHAnsi"/>
                <w:sz w:val="18"/>
                <w:szCs w:val="20"/>
              </w:rPr>
              <w:t>APMG TB Evaluation Report 2020</w:t>
            </w:r>
            <w:r>
              <w:rPr>
                <w:rFonts w:asciiTheme="minorHAnsi" w:hAnsiTheme="minorHAnsi" w:cstheme="minorHAnsi"/>
                <w:sz w:val="18"/>
                <w:szCs w:val="20"/>
              </w:rPr>
              <w:t>, data from NTCP and PAS Center reporting</w:t>
            </w:r>
          </w:p>
          <w:p w14:paraId="1D20DADA" w14:textId="485E6C6F" w:rsidR="0071110F" w:rsidRDefault="0071110F" w:rsidP="00781834">
            <w:pPr>
              <w:jc w:val="both"/>
              <w:rPr>
                <w:rFonts w:asciiTheme="minorHAnsi" w:hAnsiTheme="minorHAnsi" w:cstheme="minorHAnsi"/>
                <w:sz w:val="20"/>
                <w:szCs w:val="20"/>
              </w:rPr>
            </w:pPr>
            <w:r w:rsidRPr="00C334FF">
              <w:rPr>
                <w:rFonts w:asciiTheme="minorHAnsi" w:hAnsiTheme="minorHAnsi" w:cstheme="minorHAnsi"/>
                <w:sz w:val="20"/>
                <w:szCs w:val="20"/>
              </w:rPr>
              <w:t xml:space="preserve">As revealed by </w:t>
            </w:r>
            <w:r w:rsidR="00183185">
              <w:rPr>
                <w:rFonts w:asciiTheme="minorHAnsi" w:hAnsiTheme="minorHAnsi" w:cstheme="minorHAnsi"/>
                <w:sz w:val="20"/>
                <w:szCs w:val="20"/>
              </w:rPr>
              <w:t xml:space="preserve">a </w:t>
            </w:r>
            <w:r w:rsidRPr="00C334FF">
              <w:rPr>
                <w:rFonts w:asciiTheme="minorHAnsi" w:hAnsiTheme="minorHAnsi" w:cstheme="minorHAnsi"/>
                <w:sz w:val="20"/>
                <w:szCs w:val="20"/>
              </w:rPr>
              <w:t xml:space="preserve">costing </w:t>
            </w:r>
            <w:r w:rsidRPr="00DD5AD7">
              <w:rPr>
                <w:rFonts w:asciiTheme="minorHAnsi" w:hAnsiTheme="minorHAnsi" w:cstheme="minorHAnsi"/>
                <w:sz w:val="20"/>
                <w:szCs w:val="20"/>
              </w:rPr>
              <w:t>study (</w:t>
            </w:r>
            <w:r w:rsidR="00DD5AD7" w:rsidRPr="00DD5AD7">
              <w:rPr>
                <w:rFonts w:asciiTheme="minorHAnsi" w:hAnsiTheme="minorHAnsi" w:cstheme="minorHAnsi"/>
                <w:i/>
                <w:sz w:val="20"/>
                <w:szCs w:val="20"/>
              </w:rPr>
              <w:t>Annex 8 CIF 2019, Costing of TB transition components</w:t>
            </w:r>
            <w:r>
              <w:rPr>
                <w:rFonts w:asciiTheme="minorHAnsi" w:hAnsiTheme="minorHAnsi" w:cstheme="minorHAnsi"/>
                <w:sz w:val="20"/>
                <w:szCs w:val="20"/>
              </w:rPr>
              <w:t>)</w:t>
            </w:r>
            <w:r w:rsidRPr="00C334FF">
              <w:rPr>
                <w:rFonts w:asciiTheme="minorHAnsi" w:hAnsiTheme="minorHAnsi" w:cstheme="minorHAnsi"/>
                <w:sz w:val="20"/>
                <w:szCs w:val="20"/>
              </w:rPr>
              <w:t xml:space="preserve">, the funding gap for 2020 for community and civil society is the largest in proportional terms. </w:t>
            </w:r>
            <w:r w:rsidR="00183185">
              <w:rPr>
                <w:rFonts w:asciiTheme="minorHAnsi" w:hAnsiTheme="minorHAnsi" w:cstheme="minorHAnsi"/>
                <w:sz w:val="20"/>
                <w:szCs w:val="20"/>
              </w:rPr>
              <w:t>The TB Evaluation report 2020 highlighted that f</w:t>
            </w:r>
            <w:r w:rsidRPr="00C334FF">
              <w:rPr>
                <w:rFonts w:asciiTheme="minorHAnsi" w:hAnsiTheme="minorHAnsi" w:cstheme="minorHAnsi"/>
                <w:sz w:val="20"/>
                <w:szCs w:val="20"/>
              </w:rPr>
              <w:t xml:space="preserve">unding limitations, subsequently, affected case finding: in 2016 and 2017, </w:t>
            </w:r>
            <w:r w:rsidRPr="002362E7">
              <w:rPr>
                <w:rFonts w:asciiTheme="minorHAnsi" w:hAnsiTheme="minorHAnsi" w:cstheme="minorHAnsi"/>
                <w:sz w:val="20"/>
                <w:szCs w:val="20"/>
              </w:rPr>
              <w:t>1</w:t>
            </w:r>
            <w:r w:rsidR="002362E7" w:rsidRPr="002362E7">
              <w:rPr>
                <w:rFonts w:asciiTheme="minorHAnsi" w:hAnsiTheme="minorHAnsi" w:cstheme="minorHAnsi"/>
                <w:sz w:val="20"/>
                <w:szCs w:val="20"/>
              </w:rPr>
              <w:t>1</w:t>
            </w:r>
            <w:r w:rsidRPr="00C334FF">
              <w:rPr>
                <w:rFonts w:asciiTheme="minorHAnsi" w:hAnsiTheme="minorHAnsi" w:cstheme="minorHAnsi"/>
                <w:sz w:val="20"/>
                <w:szCs w:val="20"/>
              </w:rPr>
              <w:t xml:space="preserve"> NGOs were involved in ACF </w:t>
            </w:r>
            <w:r w:rsidR="002362E7">
              <w:rPr>
                <w:rFonts w:asciiTheme="minorHAnsi" w:hAnsiTheme="minorHAnsi" w:cstheme="minorHAnsi"/>
                <w:sz w:val="20"/>
                <w:szCs w:val="20"/>
              </w:rPr>
              <w:t xml:space="preserve">(in KPs and other groups) </w:t>
            </w:r>
            <w:r w:rsidRPr="00C334FF">
              <w:rPr>
                <w:rFonts w:asciiTheme="minorHAnsi" w:hAnsiTheme="minorHAnsi" w:cstheme="minorHAnsi"/>
                <w:sz w:val="20"/>
                <w:szCs w:val="20"/>
              </w:rPr>
              <w:t xml:space="preserve">resulting in screening of 3,108 people </w:t>
            </w:r>
            <w:r w:rsidRPr="002362E7">
              <w:rPr>
                <w:rFonts w:asciiTheme="minorHAnsi" w:hAnsiTheme="minorHAnsi" w:cstheme="minorHAnsi"/>
                <w:sz w:val="20"/>
                <w:szCs w:val="20"/>
              </w:rPr>
              <w:t>and detection of 115 TB patients, a rate of 3,700 per 100,000. The same numbers for the 2018 and 2019 period were: 1</w:t>
            </w:r>
            <w:r w:rsidR="002362E7" w:rsidRPr="002362E7">
              <w:rPr>
                <w:rFonts w:asciiTheme="minorHAnsi" w:hAnsiTheme="minorHAnsi" w:cstheme="minorHAnsi"/>
                <w:sz w:val="20"/>
                <w:szCs w:val="20"/>
              </w:rPr>
              <w:t>0</w:t>
            </w:r>
            <w:r w:rsidRPr="002362E7">
              <w:rPr>
                <w:rFonts w:asciiTheme="minorHAnsi" w:hAnsiTheme="minorHAnsi" w:cstheme="minorHAnsi"/>
                <w:sz w:val="20"/>
                <w:szCs w:val="20"/>
              </w:rPr>
              <w:t xml:space="preserve"> NGOs</w:t>
            </w:r>
            <w:r w:rsidRPr="00C334FF">
              <w:rPr>
                <w:rFonts w:asciiTheme="minorHAnsi" w:hAnsiTheme="minorHAnsi" w:cstheme="minorHAnsi"/>
                <w:sz w:val="20"/>
                <w:szCs w:val="20"/>
              </w:rPr>
              <w:t xml:space="preserve">, 953 people screened and 23 TB patients diagnosed, a rate of 2,413 per 100,000. Given that it is unlikely the governmental health services will be able to take over ACF in hard-to-reach groups addressed by NGOs, insufficient involvement of the latest may severely affect case finding in KP. </w:t>
            </w:r>
          </w:p>
          <w:p w14:paraId="7835F1BC" w14:textId="3042E61C" w:rsidR="00230069" w:rsidRPr="00C334FF" w:rsidRDefault="00FD7E0E" w:rsidP="00230069">
            <w:pPr>
              <w:jc w:val="both"/>
              <w:rPr>
                <w:rFonts w:asciiTheme="minorHAnsi" w:hAnsiTheme="minorHAnsi" w:cstheme="minorHAnsi"/>
                <w:sz w:val="20"/>
                <w:szCs w:val="20"/>
              </w:rPr>
            </w:pPr>
            <w:r w:rsidRPr="00230069">
              <w:t xml:space="preserve">In </w:t>
            </w:r>
            <w:r w:rsidRPr="00230069">
              <w:rPr>
                <w:rFonts w:asciiTheme="minorHAnsi" w:hAnsiTheme="minorHAnsi" w:cstheme="minorHAnsi"/>
                <w:sz w:val="20"/>
                <w:szCs w:val="20"/>
              </w:rPr>
              <w:t xml:space="preserve">addition to designated key populations where higher incidence is notes, a number of priority and </w:t>
            </w:r>
            <w:r w:rsidR="008912E9" w:rsidRPr="00230069">
              <w:rPr>
                <w:rFonts w:asciiTheme="minorHAnsi" w:hAnsiTheme="minorHAnsi" w:cstheme="minorHAnsi"/>
                <w:sz w:val="20"/>
                <w:szCs w:val="20"/>
              </w:rPr>
              <w:t>vulnerable</w:t>
            </w:r>
            <w:r w:rsidRPr="00230069">
              <w:rPr>
                <w:rFonts w:asciiTheme="minorHAnsi" w:hAnsiTheme="minorHAnsi" w:cstheme="minorHAnsi"/>
                <w:sz w:val="20"/>
                <w:szCs w:val="20"/>
              </w:rPr>
              <w:t xml:space="preserve"> populations were also screened in previous efforts but data was not disaggregated by group</w:t>
            </w:r>
            <w:r w:rsidR="00230069">
              <w:rPr>
                <w:rFonts w:asciiTheme="minorHAnsi" w:hAnsiTheme="minorHAnsi" w:cstheme="minorHAnsi"/>
                <w:sz w:val="20"/>
                <w:szCs w:val="20"/>
              </w:rPr>
              <w:t xml:space="preserve">s, i.e. migrants, Roma, low-income, but support stopped because of insufficient funding. </w:t>
            </w:r>
            <w:r w:rsidR="00230069" w:rsidRPr="00230069">
              <w:rPr>
                <w:rFonts w:asciiTheme="minorHAnsi" w:hAnsiTheme="minorHAnsi" w:cstheme="minorHAnsi"/>
                <w:sz w:val="20"/>
                <w:szCs w:val="20"/>
              </w:rPr>
              <w:t>Currently, there are no activities focused on Roma people. There have been some practices</w:t>
            </w:r>
            <w:r w:rsidR="00230069">
              <w:rPr>
                <w:rFonts w:asciiTheme="minorHAnsi" w:hAnsiTheme="minorHAnsi" w:cstheme="minorHAnsi"/>
                <w:sz w:val="20"/>
                <w:szCs w:val="20"/>
              </w:rPr>
              <w:t xml:space="preserve"> in this area, during 2010-2012. Roma,</w:t>
            </w:r>
            <w:r w:rsidR="00230069" w:rsidRPr="00230069">
              <w:rPr>
                <w:rFonts w:asciiTheme="minorHAnsi" w:hAnsiTheme="minorHAnsi" w:cstheme="minorHAnsi"/>
                <w:sz w:val="20"/>
                <w:szCs w:val="20"/>
              </w:rPr>
              <w:t xml:space="preserve"> being a closed</w:t>
            </w:r>
            <w:r w:rsidR="00230069">
              <w:rPr>
                <w:rFonts w:asciiTheme="minorHAnsi" w:hAnsiTheme="minorHAnsi" w:cstheme="minorHAnsi"/>
                <w:sz w:val="20"/>
                <w:szCs w:val="20"/>
              </w:rPr>
              <w:t xml:space="preserve"> community </w:t>
            </w:r>
            <w:r w:rsidR="00230069" w:rsidRPr="00230069">
              <w:rPr>
                <w:rFonts w:asciiTheme="minorHAnsi" w:hAnsiTheme="minorHAnsi" w:cstheme="minorHAnsi"/>
                <w:sz w:val="20"/>
                <w:szCs w:val="20"/>
              </w:rPr>
              <w:t xml:space="preserve">with own traditions and culture (some of them prohibiting accessing health services) </w:t>
            </w:r>
            <w:r w:rsidR="00230069">
              <w:rPr>
                <w:rFonts w:asciiTheme="minorHAnsi" w:hAnsiTheme="minorHAnsi" w:cstheme="minorHAnsi"/>
                <w:sz w:val="20"/>
                <w:szCs w:val="20"/>
              </w:rPr>
              <w:t>needs specific tailoring of interventions that are culturally sensitive and require</w:t>
            </w:r>
            <w:r w:rsidR="00E96984">
              <w:rPr>
                <w:rFonts w:asciiTheme="minorHAnsi" w:hAnsiTheme="minorHAnsi" w:cstheme="minorHAnsi"/>
                <w:sz w:val="20"/>
                <w:szCs w:val="20"/>
              </w:rPr>
              <w:t>s</w:t>
            </w:r>
            <w:r w:rsidR="00230069" w:rsidRPr="00230069">
              <w:rPr>
                <w:rFonts w:asciiTheme="minorHAnsi" w:hAnsiTheme="minorHAnsi" w:cstheme="minorHAnsi"/>
                <w:sz w:val="20"/>
                <w:szCs w:val="20"/>
              </w:rPr>
              <w:t xml:space="preserve"> involvement of community mediators.</w:t>
            </w:r>
          </w:p>
          <w:p w14:paraId="63AC955B" w14:textId="38574202" w:rsidR="0071110F" w:rsidRPr="00301186" w:rsidRDefault="0071110F" w:rsidP="00781834">
            <w:pPr>
              <w:jc w:val="both"/>
              <w:rPr>
                <w:rFonts w:asciiTheme="minorHAnsi" w:hAnsiTheme="minorHAnsi" w:cstheme="minorHAnsi"/>
                <w:sz w:val="20"/>
                <w:szCs w:val="20"/>
              </w:rPr>
            </w:pPr>
            <w:r w:rsidRPr="00C334FF">
              <w:rPr>
                <w:rFonts w:asciiTheme="minorHAnsi" w:hAnsiTheme="minorHAnsi" w:cstheme="minorHAnsi"/>
                <w:b/>
                <w:color w:val="404040" w:themeColor="text1"/>
                <w:sz w:val="20"/>
                <w:szCs w:val="20"/>
              </w:rPr>
              <w:t>Diagnosis</w:t>
            </w:r>
            <w:r>
              <w:rPr>
                <w:rFonts w:asciiTheme="minorHAnsi" w:hAnsiTheme="minorHAnsi" w:cstheme="minorHAnsi"/>
                <w:b/>
                <w:color w:val="404040" w:themeColor="text1"/>
                <w:sz w:val="20"/>
                <w:szCs w:val="20"/>
              </w:rPr>
              <w:t xml:space="preserve">: </w:t>
            </w:r>
            <w:r w:rsidRPr="00301186">
              <w:rPr>
                <w:rFonts w:asciiTheme="minorHAnsi" w:hAnsiTheme="minorHAnsi" w:cstheme="minorHAnsi"/>
                <w:sz w:val="20"/>
                <w:szCs w:val="20"/>
              </w:rPr>
              <w:t>The laboratory network covers the whole country and includes 59 microscopy centers located at TB outpatient facilities at the district level, out of which 57 are equipped with Xpert; three regional reference laboratories that perform culture tests and DST; and national reference laboratory. The diagnostic algorithm has both smear microscopy and Xpert as the first line test for people with TB symptoms. Xpert MTB/RIF was introduced in the Republi</w:t>
            </w:r>
            <w:r w:rsidR="00E96984">
              <w:rPr>
                <w:rFonts w:asciiTheme="minorHAnsi" w:hAnsiTheme="minorHAnsi" w:cstheme="minorHAnsi"/>
                <w:sz w:val="20"/>
                <w:szCs w:val="20"/>
              </w:rPr>
              <w:t xml:space="preserve">c of Moldova in 2012 with support of STP TB REACH and then rolled </w:t>
            </w:r>
            <w:r w:rsidRPr="00301186">
              <w:rPr>
                <w:rFonts w:asciiTheme="minorHAnsi" w:hAnsiTheme="minorHAnsi" w:cstheme="minorHAnsi"/>
                <w:sz w:val="20"/>
                <w:szCs w:val="20"/>
              </w:rPr>
              <w:t xml:space="preserve">out </w:t>
            </w:r>
            <w:r w:rsidR="00E96984">
              <w:rPr>
                <w:rFonts w:asciiTheme="minorHAnsi" w:hAnsiTheme="minorHAnsi" w:cstheme="minorHAnsi"/>
                <w:sz w:val="20"/>
                <w:szCs w:val="20"/>
              </w:rPr>
              <w:t xml:space="preserve">with GF support </w:t>
            </w:r>
            <w:r w:rsidRPr="00301186">
              <w:rPr>
                <w:rFonts w:asciiTheme="minorHAnsi" w:hAnsiTheme="minorHAnsi" w:cstheme="minorHAnsi"/>
                <w:sz w:val="20"/>
                <w:szCs w:val="20"/>
              </w:rPr>
              <w:t>towards almost universal coverage, including penitentiary system and HIV service</w:t>
            </w:r>
            <w:r w:rsidR="00E96984">
              <w:rPr>
                <w:rFonts w:asciiTheme="minorHAnsi" w:hAnsiTheme="minorHAnsi" w:cstheme="minorHAnsi"/>
                <w:sz w:val="20"/>
                <w:szCs w:val="20"/>
              </w:rPr>
              <w:t>s</w:t>
            </w:r>
            <w:r w:rsidRPr="00301186">
              <w:rPr>
                <w:rFonts w:asciiTheme="minorHAnsi" w:hAnsiTheme="minorHAnsi" w:cstheme="minorHAnsi"/>
                <w:sz w:val="20"/>
                <w:szCs w:val="20"/>
              </w:rPr>
              <w:t>. The widespread use of Xpert MTB/RIF has improved diagnostic testing and shortened the time to MDR-TB detection and treatment.</w:t>
            </w:r>
            <w:r>
              <w:rPr>
                <w:rFonts w:asciiTheme="minorHAnsi" w:hAnsiTheme="minorHAnsi" w:cstheme="minorHAnsi"/>
                <w:sz w:val="20"/>
                <w:szCs w:val="20"/>
              </w:rPr>
              <w:t xml:space="preserve"> </w:t>
            </w:r>
            <w:r w:rsidR="00E96984" w:rsidRPr="00301186">
              <w:rPr>
                <w:rFonts w:asciiTheme="minorHAnsi" w:hAnsiTheme="minorHAnsi" w:cstheme="minorHAnsi"/>
                <w:sz w:val="20"/>
                <w:szCs w:val="20"/>
              </w:rPr>
              <w:t>In 2018, 95% of notified new and relapse TB patients were</w:t>
            </w:r>
            <w:r w:rsidR="00E96984">
              <w:rPr>
                <w:rFonts w:asciiTheme="minorHAnsi" w:hAnsiTheme="minorHAnsi" w:cstheme="minorHAnsi"/>
                <w:sz w:val="20"/>
                <w:szCs w:val="20"/>
              </w:rPr>
              <w:t xml:space="preserve"> tested using Xpert MTB/RIF.</w:t>
            </w:r>
            <w:r w:rsidR="00E96984" w:rsidRPr="00301186">
              <w:rPr>
                <w:rFonts w:asciiTheme="minorHAnsi" w:hAnsiTheme="minorHAnsi" w:cstheme="minorHAnsi"/>
                <w:sz w:val="20"/>
                <w:szCs w:val="20"/>
              </w:rPr>
              <w:t xml:space="preserve"> </w:t>
            </w:r>
            <w:r w:rsidRPr="00301186">
              <w:rPr>
                <w:rFonts w:asciiTheme="minorHAnsi" w:hAnsiTheme="minorHAnsi" w:cstheme="minorHAnsi"/>
                <w:sz w:val="20"/>
                <w:szCs w:val="20"/>
              </w:rPr>
              <w:t xml:space="preserve">In line with the transition from GF to domestic funding, the government covers all consumables for smear microscopy, as well as a large part of the GeneXpert cartridges (in 2019, 40% of the needs </w:t>
            </w:r>
            <w:r w:rsidR="00183185">
              <w:rPr>
                <w:rFonts w:asciiTheme="minorHAnsi" w:hAnsiTheme="minorHAnsi" w:cstheme="minorHAnsi"/>
                <w:sz w:val="20"/>
                <w:szCs w:val="20"/>
              </w:rPr>
              <w:t>for the Right Bank)</w:t>
            </w:r>
            <w:r w:rsidRPr="00301186">
              <w:rPr>
                <w:rFonts w:asciiTheme="minorHAnsi" w:hAnsiTheme="minorHAnsi" w:cstheme="minorHAnsi"/>
                <w:sz w:val="20"/>
                <w:szCs w:val="20"/>
              </w:rPr>
              <w:t>. Given the existing co</w:t>
            </w:r>
            <w:r w:rsidR="00E96984">
              <w:rPr>
                <w:rFonts w:asciiTheme="minorHAnsi" w:hAnsiTheme="minorHAnsi" w:cstheme="minorHAnsi"/>
                <w:sz w:val="20"/>
                <w:szCs w:val="20"/>
              </w:rPr>
              <w:t>-</w:t>
            </w:r>
            <w:r w:rsidRPr="00301186">
              <w:rPr>
                <w:rFonts w:asciiTheme="minorHAnsi" w:hAnsiTheme="minorHAnsi" w:cstheme="minorHAnsi"/>
                <w:sz w:val="20"/>
                <w:szCs w:val="20"/>
              </w:rPr>
              <w:t>morbidity profile, the country also plans to use Xpert as multi-disease integrated platforms, namely TB/HIV/HCV/COVID-19.</w:t>
            </w:r>
          </w:p>
          <w:p w14:paraId="3B8FC87B" w14:textId="124B0EE2" w:rsidR="0071110F" w:rsidRPr="00C334FF" w:rsidRDefault="00E96984" w:rsidP="00781834">
            <w:pPr>
              <w:jc w:val="both"/>
              <w:rPr>
                <w:rFonts w:asciiTheme="minorHAnsi" w:hAnsiTheme="minorHAnsi" w:cstheme="minorHAnsi"/>
                <w:sz w:val="20"/>
                <w:szCs w:val="20"/>
              </w:rPr>
            </w:pPr>
            <w:r w:rsidRPr="007B02C4">
              <w:rPr>
                <w:rFonts w:asciiTheme="minorHAnsi" w:hAnsiTheme="minorHAnsi" w:cstheme="minorHAnsi"/>
                <w:b/>
                <w:sz w:val="20"/>
                <w:szCs w:val="20"/>
              </w:rPr>
              <w:t>High DST coverage</w:t>
            </w:r>
            <w:r>
              <w:rPr>
                <w:rFonts w:asciiTheme="minorHAnsi" w:hAnsiTheme="minorHAnsi" w:cstheme="minorHAnsi"/>
                <w:sz w:val="20"/>
                <w:szCs w:val="20"/>
              </w:rPr>
              <w:t xml:space="preserve">: </w:t>
            </w:r>
            <w:r w:rsidR="0071110F" w:rsidRPr="00301186">
              <w:rPr>
                <w:rFonts w:asciiTheme="minorHAnsi" w:hAnsiTheme="minorHAnsi" w:cstheme="minorHAnsi"/>
                <w:sz w:val="20"/>
                <w:szCs w:val="20"/>
              </w:rPr>
              <w:t>97% of bacteriologically confirmed new TB cases, and 80% of bacteriologically confirmed previously treated cases, were tested for RR, respectively; 83% of RR-/MDR-TB cases were tested for resistance to second-line drugs.</w:t>
            </w:r>
            <w:r>
              <w:rPr>
                <w:rFonts w:asciiTheme="minorHAnsi" w:hAnsiTheme="minorHAnsi" w:cstheme="minorHAnsi"/>
                <w:sz w:val="20"/>
                <w:szCs w:val="20"/>
              </w:rPr>
              <w:t xml:space="preserve"> </w:t>
            </w:r>
            <w:r w:rsidR="0071110F" w:rsidRPr="00C334FF">
              <w:rPr>
                <w:rFonts w:asciiTheme="minorHAnsi" w:hAnsiTheme="minorHAnsi" w:cstheme="minorHAnsi"/>
                <w:sz w:val="20"/>
                <w:szCs w:val="20"/>
              </w:rPr>
              <w:t>The coverage of FLD DS</w:t>
            </w:r>
            <w:r w:rsidR="0071110F">
              <w:rPr>
                <w:rFonts w:asciiTheme="minorHAnsi" w:hAnsiTheme="minorHAnsi" w:cstheme="minorHAnsi"/>
                <w:sz w:val="20"/>
                <w:szCs w:val="20"/>
              </w:rPr>
              <w:t xml:space="preserve">T for susceptible pulmonary TB </w:t>
            </w:r>
            <w:r w:rsidR="0071110F" w:rsidRPr="00C334FF">
              <w:rPr>
                <w:rFonts w:asciiTheme="minorHAnsi" w:hAnsiTheme="minorHAnsi" w:cstheme="minorHAnsi"/>
                <w:sz w:val="20"/>
                <w:szCs w:val="20"/>
              </w:rPr>
              <w:t>increas</w:t>
            </w:r>
            <w:r w:rsidR="0071110F">
              <w:rPr>
                <w:rFonts w:asciiTheme="minorHAnsi" w:hAnsiTheme="minorHAnsi" w:cstheme="minorHAnsi"/>
                <w:sz w:val="20"/>
                <w:szCs w:val="20"/>
              </w:rPr>
              <w:t>ed</w:t>
            </w:r>
            <w:r w:rsidR="0071110F" w:rsidRPr="00C334FF">
              <w:rPr>
                <w:rFonts w:asciiTheme="minorHAnsi" w:hAnsiTheme="minorHAnsi" w:cstheme="minorHAnsi"/>
                <w:sz w:val="20"/>
                <w:szCs w:val="20"/>
              </w:rPr>
              <w:t xml:space="preserve"> from 68% in 2014 to 76% in </w:t>
            </w:r>
            <w:r w:rsidR="0071110F" w:rsidRPr="00C334FF">
              <w:rPr>
                <w:rFonts w:asciiTheme="minorHAnsi" w:hAnsiTheme="minorHAnsi" w:cstheme="minorHAnsi"/>
                <w:sz w:val="20"/>
                <w:szCs w:val="20"/>
              </w:rPr>
              <w:lastRenderedPageBreak/>
              <w:t xml:space="preserve">2018, and also for extra-pulmonary TB, from 10% in 2014 to 21% in 2018. The coverage of SLD DST for MDR-TB patients </w:t>
            </w:r>
            <w:r w:rsidR="0071110F">
              <w:rPr>
                <w:rFonts w:asciiTheme="minorHAnsi" w:hAnsiTheme="minorHAnsi" w:cstheme="minorHAnsi"/>
                <w:sz w:val="20"/>
                <w:szCs w:val="20"/>
              </w:rPr>
              <w:t xml:space="preserve">increased </w:t>
            </w:r>
            <w:r w:rsidR="0071110F" w:rsidRPr="00C334FF">
              <w:rPr>
                <w:rFonts w:asciiTheme="minorHAnsi" w:hAnsiTheme="minorHAnsi" w:cstheme="minorHAnsi"/>
                <w:sz w:val="20"/>
                <w:szCs w:val="20"/>
              </w:rPr>
              <w:t xml:space="preserve">from 58% in 2014 to 71% in 2018 for pulmonary TB and from 17% to 70% for extra-pulmonary TB. Eighty-two percent of XDR-TB patients had SLD-DST in 2018. </w:t>
            </w:r>
          </w:p>
          <w:p w14:paraId="20A7F91B" w14:textId="77777777" w:rsidR="000F2330" w:rsidRDefault="000F2330" w:rsidP="000F2330">
            <w:pPr>
              <w:jc w:val="both"/>
            </w:pPr>
            <w:r>
              <w:rPr>
                <w:rStyle w:val="e24kjd"/>
                <w:rFonts w:asciiTheme="majorHAnsi" w:hAnsiTheme="majorHAnsi" w:cstheme="majorHAnsi"/>
                <w:b/>
                <w:sz w:val="20"/>
              </w:rPr>
              <w:t>TB l</w:t>
            </w:r>
            <w:r w:rsidRPr="00041775">
              <w:rPr>
                <w:rStyle w:val="e24kjd"/>
                <w:rFonts w:asciiTheme="majorHAnsi" w:hAnsiTheme="majorHAnsi" w:cstheme="majorHAnsi"/>
                <w:b/>
                <w:sz w:val="20"/>
              </w:rPr>
              <w:t>ab</w:t>
            </w:r>
            <w:r>
              <w:rPr>
                <w:rStyle w:val="e24kjd"/>
                <w:rFonts w:asciiTheme="majorHAnsi" w:hAnsiTheme="majorHAnsi" w:cstheme="majorHAnsi"/>
                <w:b/>
                <w:sz w:val="20"/>
              </w:rPr>
              <w:t>oratory network</w:t>
            </w:r>
            <w:r w:rsidRPr="005675B9">
              <w:rPr>
                <w:rStyle w:val="e24kjd"/>
                <w:rFonts w:asciiTheme="majorHAnsi" w:hAnsiTheme="majorHAnsi" w:cstheme="majorHAnsi"/>
                <w:sz w:val="20"/>
              </w:rPr>
              <w:t xml:space="preserve">: </w:t>
            </w:r>
            <w:r>
              <w:rPr>
                <w:rStyle w:val="e24kjd"/>
                <w:rFonts w:asciiTheme="majorHAnsi" w:hAnsiTheme="majorHAnsi" w:cstheme="majorHAnsi"/>
                <w:sz w:val="20"/>
              </w:rPr>
              <w:t>TB</w:t>
            </w:r>
            <w:r w:rsidRPr="005675B9">
              <w:rPr>
                <w:rStyle w:val="e24kjd"/>
                <w:rFonts w:asciiTheme="majorHAnsi" w:hAnsiTheme="majorHAnsi" w:cstheme="majorHAnsi"/>
                <w:sz w:val="20"/>
              </w:rPr>
              <w:t xml:space="preserve"> lab network</w:t>
            </w:r>
            <w:r>
              <w:rPr>
                <w:rStyle w:val="e24kjd"/>
                <w:rFonts w:asciiTheme="majorHAnsi" w:hAnsiTheme="majorHAnsi" w:cstheme="majorHAnsi"/>
                <w:sz w:val="20"/>
              </w:rPr>
              <w:t xml:space="preserve"> in line with international standards was </w:t>
            </w:r>
            <w:r w:rsidRPr="005675B9">
              <w:rPr>
                <w:rStyle w:val="e24kjd"/>
                <w:rFonts w:asciiTheme="majorHAnsi" w:hAnsiTheme="majorHAnsi" w:cstheme="majorHAnsi"/>
                <w:sz w:val="20"/>
              </w:rPr>
              <w:t xml:space="preserve">established </w:t>
            </w:r>
            <w:r>
              <w:rPr>
                <w:rStyle w:val="e24kjd"/>
                <w:rFonts w:asciiTheme="majorHAnsi" w:hAnsiTheme="majorHAnsi" w:cstheme="majorHAnsi"/>
                <w:sz w:val="20"/>
              </w:rPr>
              <w:t>in</w:t>
            </w:r>
            <w:r w:rsidRPr="005675B9">
              <w:rPr>
                <w:rStyle w:val="e24kjd"/>
                <w:rFonts w:asciiTheme="majorHAnsi" w:hAnsiTheme="majorHAnsi" w:cstheme="majorHAnsi"/>
                <w:sz w:val="20"/>
              </w:rPr>
              <w:t xml:space="preserve"> 2004</w:t>
            </w:r>
            <w:r>
              <w:rPr>
                <w:rStyle w:val="e24kjd"/>
                <w:rFonts w:asciiTheme="majorHAnsi" w:hAnsiTheme="majorHAnsi" w:cstheme="majorHAnsi"/>
                <w:sz w:val="20"/>
              </w:rPr>
              <w:t xml:space="preserve"> </w:t>
            </w:r>
            <w:r w:rsidRPr="005675B9">
              <w:rPr>
                <w:rStyle w:val="e24kjd"/>
                <w:rFonts w:asciiTheme="majorHAnsi" w:hAnsiTheme="majorHAnsi" w:cstheme="majorHAnsi"/>
                <w:sz w:val="20"/>
              </w:rPr>
              <w:t>with support from USAID</w:t>
            </w:r>
            <w:r>
              <w:rPr>
                <w:rStyle w:val="e24kjd"/>
                <w:rFonts w:asciiTheme="majorHAnsi" w:hAnsiTheme="majorHAnsi" w:cstheme="majorHAnsi"/>
                <w:sz w:val="20"/>
              </w:rPr>
              <w:t xml:space="preserve"> and Global Fund. The </w:t>
            </w:r>
            <w:r w:rsidRPr="005675B9">
              <w:rPr>
                <w:rStyle w:val="e24kjd"/>
                <w:rFonts w:asciiTheme="majorHAnsi" w:hAnsiTheme="majorHAnsi" w:cstheme="majorHAnsi"/>
                <w:sz w:val="20"/>
              </w:rPr>
              <w:t xml:space="preserve">well-developed laboratory network </w:t>
            </w:r>
            <w:r>
              <w:rPr>
                <w:rStyle w:val="e24kjd"/>
                <w:rFonts w:asciiTheme="majorHAnsi" w:hAnsiTheme="majorHAnsi" w:cstheme="majorHAnsi"/>
                <w:sz w:val="20"/>
              </w:rPr>
              <w:t>includes National Reference Lab (</w:t>
            </w:r>
            <w:r w:rsidRPr="005675B9">
              <w:rPr>
                <w:rStyle w:val="e24kjd"/>
                <w:rFonts w:asciiTheme="majorHAnsi" w:hAnsiTheme="majorHAnsi" w:cstheme="majorHAnsi"/>
                <w:sz w:val="20"/>
              </w:rPr>
              <w:t>NRL</w:t>
            </w:r>
            <w:r>
              <w:rPr>
                <w:rStyle w:val="e24kjd"/>
                <w:rFonts w:asciiTheme="majorHAnsi" w:hAnsiTheme="majorHAnsi" w:cstheme="majorHAnsi"/>
                <w:sz w:val="20"/>
              </w:rPr>
              <w:t>)</w:t>
            </w:r>
            <w:r w:rsidRPr="005675B9">
              <w:rPr>
                <w:rStyle w:val="e24kjd"/>
                <w:rFonts w:asciiTheme="majorHAnsi" w:hAnsiTheme="majorHAnsi" w:cstheme="majorHAnsi"/>
                <w:sz w:val="20"/>
              </w:rPr>
              <w:t xml:space="preserve"> in Chisinau and three</w:t>
            </w:r>
            <w:r>
              <w:rPr>
                <w:rStyle w:val="e24kjd"/>
                <w:rFonts w:asciiTheme="majorHAnsi" w:hAnsiTheme="majorHAnsi" w:cstheme="majorHAnsi"/>
                <w:sz w:val="20"/>
              </w:rPr>
              <w:t xml:space="preserve"> regional reference labs (</w:t>
            </w:r>
            <w:r w:rsidRPr="005675B9">
              <w:rPr>
                <w:rStyle w:val="e24kjd"/>
                <w:rFonts w:asciiTheme="majorHAnsi" w:hAnsiTheme="majorHAnsi" w:cstheme="majorHAnsi"/>
                <w:sz w:val="20"/>
              </w:rPr>
              <w:t>RRLs</w:t>
            </w:r>
            <w:r>
              <w:rPr>
                <w:rStyle w:val="e24kjd"/>
                <w:rFonts w:asciiTheme="majorHAnsi" w:hAnsiTheme="majorHAnsi" w:cstheme="majorHAnsi"/>
                <w:sz w:val="20"/>
              </w:rPr>
              <w:t>)</w:t>
            </w:r>
            <w:r w:rsidRPr="005675B9">
              <w:rPr>
                <w:rStyle w:val="e24kjd"/>
                <w:rFonts w:asciiTheme="majorHAnsi" w:hAnsiTheme="majorHAnsi" w:cstheme="majorHAnsi"/>
                <w:sz w:val="20"/>
              </w:rPr>
              <w:t xml:space="preserve"> in Balti, Vorniceni, and Transnistria</w:t>
            </w:r>
            <w:r>
              <w:t xml:space="preserve"> </w:t>
            </w:r>
            <w:r w:rsidRPr="005675B9">
              <w:rPr>
                <w:rStyle w:val="e24kjd"/>
                <w:rFonts w:asciiTheme="majorHAnsi" w:hAnsiTheme="majorHAnsi" w:cstheme="majorHAnsi"/>
                <w:sz w:val="20"/>
              </w:rPr>
              <w:t>as well as 57 Xpert MTB/RIF technology/microscopy centers attached to TB outpatient health facilities at district level. The NRL and RRLs have an adequate diagnostic capacity for culture/DST for both first-line and second-line drugs. Annual external quality assessment (EQA) is carried out in all NRL/RRLs by the Supranational Reference Laboratory (SRL) in Borstel, Germany, achieving 100% coincidence in results starting from 2017. The NRL also participate</w:t>
            </w:r>
            <w:r>
              <w:rPr>
                <w:rStyle w:val="e24kjd"/>
                <w:rFonts w:asciiTheme="majorHAnsi" w:hAnsiTheme="majorHAnsi" w:cstheme="majorHAnsi"/>
                <w:sz w:val="20"/>
              </w:rPr>
              <w:t>s</w:t>
            </w:r>
            <w:r w:rsidRPr="005675B9">
              <w:rPr>
                <w:rStyle w:val="e24kjd"/>
                <w:rFonts w:asciiTheme="majorHAnsi" w:hAnsiTheme="majorHAnsi" w:cstheme="majorHAnsi"/>
                <w:sz w:val="20"/>
              </w:rPr>
              <w:t xml:space="preserve"> in the EQA performed by the INSTAND (Society for Promoting Quality Assurance in Medical Laboratories), Germany, for TB microscopy, culture/DST, and molecular methods. In March 2020, the NRL received from the INSTAND (Society for Promoting Quality Assurance in Medical Laboratories), Germany, certificates of successful completion of an EQA for TB microscopy, culture/DST, and molecular methods. The NRL carries out EQA for the same methods for all three RRLs, and RRLs carry out external quality control of the lower level laboratories focusing on TB microscopy and Xpert MTB/RIF testing, with the results of these efforts used for continuous technical support and performance improvement.</w:t>
            </w:r>
            <w:r>
              <w:t xml:space="preserve"> </w:t>
            </w:r>
            <w:r w:rsidRPr="00C50CDD">
              <w:rPr>
                <w:rStyle w:val="e24kjd"/>
                <w:rFonts w:asciiTheme="majorHAnsi" w:hAnsiTheme="majorHAnsi" w:cstheme="majorHAnsi"/>
                <w:sz w:val="20"/>
              </w:rPr>
              <w:t>The GF TB grant supports the implementation of TB sample transportation network for transporting samples from peripheral Xpert MTB/RIF centers including the penitentiary system to NRL and RRLs for culture/DST</w:t>
            </w:r>
            <w:r>
              <w:rPr>
                <w:rStyle w:val="e24kjd"/>
                <w:rFonts w:asciiTheme="majorHAnsi" w:hAnsiTheme="majorHAnsi" w:cstheme="majorHAnsi"/>
                <w:sz w:val="20"/>
              </w:rPr>
              <w:t>.</w:t>
            </w:r>
          </w:p>
          <w:p w14:paraId="2BEFBC87" w14:textId="77777777" w:rsidR="000F2330" w:rsidRDefault="000F2330" w:rsidP="000F2330">
            <w:pPr>
              <w:spacing w:after="0" w:line="240" w:lineRule="auto"/>
              <w:jc w:val="both"/>
              <w:rPr>
                <w:rFonts w:asciiTheme="minorHAnsi" w:hAnsiTheme="minorHAnsi" w:cstheme="minorHAnsi"/>
                <w:sz w:val="20"/>
                <w:szCs w:val="20"/>
              </w:rPr>
            </w:pPr>
            <w:r w:rsidRPr="00C334FF">
              <w:rPr>
                <w:rFonts w:asciiTheme="minorHAnsi" w:hAnsiTheme="minorHAnsi" w:cstheme="minorHAnsi"/>
                <w:b/>
                <w:sz w:val="20"/>
                <w:szCs w:val="20"/>
              </w:rPr>
              <w:t>Prevention</w:t>
            </w:r>
            <w:r>
              <w:rPr>
                <w:rFonts w:asciiTheme="minorHAnsi" w:hAnsiTheme="minorHAnsi" w:cstheme="minorHAnsi"/>
                <w:b/>
                <w:sz w:val="20"/>
                <w:szCs w:val="20"/>
              </w:rPr>
              <w:t xml:space="preserve">: </w:t>
            </w:r>
            <w:r w:rsidRPr="00E96984">
              <w:rPr>
                <w:rFonts w:asciiTheme="minorHAnsi" w:hAnsiTheme="minorHAnsi" w:cstheme="minorHAnsi"/>
                <w:sz w:val="20"/>
                <w:szCs w:val="20"/>
              </w:rPr>
              <w:t>INH –based</w:t>
            </w:r>
            <w:r>
              <w:rPr>
                <w:rFonts w:asciiTheme="minorHAnsi" w:hAnsiTheme="minorHAnsi" w:cstheme="minorHAnsi"/>
                <w:b/>
                <w:sz w:val="20"/>
                <w:szCs w:val="20"/>
              </w:rPr>
              <w:t xml:space="preserve"> </w:t>
            </w:r>
            <w:r w:rsidRPr="00C334FF">
              <w:rPr>
                <w:rFonts w:asciiTheme="minorHAnsi" w:hAnsiTheme="minorHAnsi" w:cstheme="minorHAnsi"/>
                <w:sz w:val="20"/>
                <w:szCs w:val="20"/>
              </w:rPr>
              <w:t xml:space="preserve">TB </w:t>
            </w:r>
            <w:r>
              <w:rPr>
                <w:rFonts w:asciiTheme="minorHAnsi" w:hAnsiTheme="minorHAnsi" w:cstheme="minorHAnsi"/>
                <w:sz w:val="20"/>
                <w:szCs w:val="20"/>
              </w:rPr>
              <w:t>preventive treatment (TPT) was</w:t>
            </w:r>
            <w:r w:rsidRPr="00C334FF">
              <w:rPr>
                <w:rFonts w:asciiTheme="minorHAnsi" w:hAnsiTheme="minorHAnsi" w:cstheme="minorHAnsi"/>
                <w:sz w:val="20"/>
                <w:szCs w:val="20"/>
              </w:rPr>
              <w:t xml:space="preserve"> included in </w:t>
            </w:r>
            <w:r>
              <w:rPr>
                <w:rFonts w:asciiTheme="minorHAnsi" w:hAnsiTheme="minorHAnsi" w:cstheme="minorHAnsi"/>
                <w:sz w:val="20"/>
                <w:szCs w:val="20"/>
              </w:rPr>
              <w:t>previous</w:t>
            </w:r>
            <w:r w:rsidRPr="00C334FF">
              <w:rPr>
                <w:rFonts w:asciiTheme="minorHAnsi" w:hAnsiTheme="minorHAnsi" w:cstheme="minorHAnsi"/>
                <w:sz w:val="20"/>
                <w:szCs w:val="20"/>
              </w:rPr>
              <w:t xml:space="preserve"> national protocol and available for contacts of TB patients and PLHIV. </w:t>
            </w:r>
            <w:r>
              <w:rPr>
                <w:rFonts w:asciiTheme="minorHAnsi" w:hAnsiTheme="minorHAnsi" w:cstheme="minorHAnsi"/>
                <w:sz w:val="20"/>
                <w:szCs w:val="20"/>
              </w:rPr>
              <w:t>The uptake was low.  Overall, o</w:t>
            </w:r>
            <w:r w:rsidRPr="00C334FF">
              <w:rPr>
                <w:rFonts w:asciiTheme="minorHAnsi" w:hAnsiTheme="minorHAnsi" w:cstheme="minorHAnsi"/>
                <w:sz w:val="20"/>
                <w:szCs w:val="20"/>
              </w:rPr>
              <w:t>f the contacts eligible, 11%</w:t>
            </w:r>
            <w:r>
              <w:rPr>
                <w:rFonts w:asciiTheme="minorHAnsi" w:hAnsiTheme="minorHAnsi" w:cstheme="minorHAnsi"/>
                <w:sz w:val="20"/>
                <w:szCs w:val="20"/>
              </w:rPr>
              <w:t xml:space="preserve"> in </w:t>
            </w:r>
            <w:r w:rsidRPr="00C334FF">
              <w:rPr>
                <w:rFonts w:asciiTheme="minorHAnsi" w:hAnsiTheme="minorHAnsi" w:cstheme="minorHAnsi"/>
                <w:sz w:val="20"/>
                <w:szCs w:val="20"/>
              </w:rPr>
              <w:t>2017</w:t>
            </w:r>
            <w:r>
              <w:rPr>
                <w:rFonts w:asciiTheme="minorHAnsi" w:hAnsiTheme="minorHAnsi" w:cstheme="minorHAnsi"/>
                <w:sz w:val="20"/>
                <w:szCs w:val="20"/>
              </w:rPr>
              <w:t xml:space="preserve"> and 14% </w:t>
            </w:r>
            <w:r w:rsidRPr="00C334FF">
              <w:rPr>
                <w:rFonts w:asciiTheme="minorHAnsi" w:hAnsiTheme="minorHAnsi" w:cstheme="minorHAnsi"/>
                <w:sz w:val="20"/>
                <w:szCs w:val="20"/>
              </w:rPr>
              <w:t>2018 received TPT.  The TPT completion rates were quite reasonable: 80% and 78% respectively.</w:t>
            </w:r>
            <w:r>
              <w:rPr>
                <w:rFonts w:ascii="Times New Roman" w:eastAsia="Calibri" w:hAnsi="Times New Roman" w:cs="Times New Roman"/>
                <w:sz w:val="24"/>
                <w:szCs w:val="24"/>
                <w:lang w:val="ro-RO"/>
              </w:rPr>
              <w:t xml:space="preserve"> </w:t>
            </w:r>
            <w:r w:rsidRPr="00C334FF">
              <w:rPr>
                <w:rFonts w:asciiTheme="minorHAnsi" w:hAnsiTheme="minorHAnsi" w:cstheme="minorHAnsi"/>
                <w:sz w:val="20"/>
                <w:szCs w:val="20"/>
              </w:rPr>
              <w:t xml:space="preserve"> TPT for PLHIV was launched on the right bank in 2017 and on the left bank in 2018. T</w:t>
            </w:r>
            <w:r w:rsidRPr="00C334FF">
              <w:rPr>
                <w:rFonts w:asciiTheme="minorHAnsi" w:eastAsia="Calibri" w:hAnsiTheme="minorHAnsi" w:cstheme="minorHAnsi"/>
                <w:bCs/>
                <w:sz w:val="20"/>
                <w:szCs w:val="20"/>
              </w:rPr>
              <w:t xml:space="preserve">here has been a limited data available on TPT among PLHIV: </w:t>
            </w:r>
            <w:r w:rsidRPr="00C334FF">
              <w:rPr>
                <w:rFonts w:asciiTheme="minorHAnsi" w:hAnsiTheme="minorHAnsi" w:cstheme="minorHAnsi"/>
                <w:sz w:val="20"/>
                <w:szCs w:val="20"/>
              </w:rPr>
              <w:t>76 PLHIV in 2017, 812 in 2018, and 163 in 2019 started TPT. The HIV program does not have data on eligibility or completion.</w:t>
            </w:r>
            <w:r>
              <w:rPr>
                <w:rFonts w:asciiTheme="minorHAnsi" w:hAnsiTheme="minorHAnsi" w:cstheme="minorHAnsi"/>
                <w:sz w:val="20"/>
                <w:szCs w:val="20"/>
              </w:rPr>
              <w:t xml:space="preserve"> Better progress has been registered in TPT in children, in 2019 </w:t>
            </w:r>
            <w:r w:rsidRPr="009747AA">
              <w:rPr>
                <w:rFonts w:asciiTheme="minorHAnsi" w:hAnsiTheme="minorHAnsi" w:cstheme="minorHAnsi"/>
                <w:sz w:val="20"/>
                <w:szCs w:val="20"/>
              </w:rPr>
              <w:t>1,080 children who were contacts were administered TPT.</w:t>
            </w:r>
            <w:r>
              <w:rPr>
                <w:rFonts w:asciiTheme="minorHAnsi" w:hAnsiTheme="minorHAnsi" w:cstheme="minorHAnsi"/>
                <w:sz w:val="20"/>
                <w:szCs w:val="20"/>
              </w:rPr>
              <w:t xml:space="preserve"> </w:t>
            </w:r>
            <w:r w:rsidRPr="00C334FF">
              <w:rPr>
                <w:rFonts w:asciiTheme="minorHAnsi" w:hAnsiTheme="minorHAnsi" w:cstheme="minorHAnsi"/>
                <w:sz w:val="20"/>
                <w:szCs w:val="20"/>
              </w:rPr>
              <w:t xml:space="preserve">The </w:t>
            </w:r>
            <w:r>
              <w:rPr>
                <w:rFonts w:asciiTheme="minorHAnsi" w:hAnsiTheme="minorHAnsi" w:cstheme="minorHAnsi"/>
                <w:sz w:val="20"/>
                <w:szCs w:val="20"/>
              </w:rPr>
              <w:t>updated clinical</w:t>
            </w:r>
            <w:r w:rsidRPr="00C334FF">
              <w:rPr>
                <w:rFonts w:asciiTheme="minorHAnsi" w:hAnsiTheme="minorHAnsi" w:cstheme="minorHAnsi"/>
                <w:sz w:val="20"/>
                <w:szCs w:val="20"/>
              </w:rPr>
              <w:t xml:space="preserve"> protocol</w:t>
            </w:r>
            <w:r>
              <w:rPr>
                <w:rFonts w:asciiTheme="minorHAnsi" w:hAnsiTheme="minorHAnsi" w:cstheme="minorHAnsi"/>
                <w:sz w:val="20"/>
                <w:szCs w:val="20"/>
              </w:rPr>
              <w:t xml:space="preserve"> 2020, in addition to INH-based 6-9 month TPT, now includes 3 months combined Rifampentine-INH regimen</w:t>
            </w:r>
            <w:r w:rsidRPr="00C334FF">
              <w:rPr>
                <w:rFonts w:asciiTheme="minorHAnsi" w:hAnsiTheme="minorHAnsi" w:cstheme="minorHAnsi"/>
                <w:sz w:val="20"/>
                <w:szCs w:val="20"/>
              </w:rPr>
              <w:t xml:space="preserve"> for contact children</w:t>
            </w:r>
            <w:r>
              <w:rPr>
                <w:rFonts w:asciiTheme="minorHAnsi" w:hAnsiTheme="minorHAnsi" w:cstheme="minorHAnsi"/>
                <w:sz w:val="20"/>
                <w:szCs w:val="20"/>
              </w:rPr>
              <w:t xml:space="preserve"> and adults</w:t>
            </w:r>
            <w:r w:rsidRPr="00C334FF">
              <w:rPr>
                <w:rFonts w:asciiTheme="minorHAnsi" w:hAnsiTheme="minorHAnsi" w:cstheme="minorHAnsi"/>
                <w:sz w:val="20"/>
                <w:szCs w:val="20"/>
              </w:rPr>
              <w:t xml:space="preserve">. </w:t>
            </w:r>
            <w:r>
              <w:rPr>
                <w:rFonts w:asciiTheme="minorHAnsi" w:hAnsiTheme="minorHAnsi" w:cstheme="minorHAnsi"/>
                <w:sz w:val="20"/>
                <w:szCs w:val="20"/>
              </w:rPr>
              <w:t>This creates premises for better acceptability and compliance to TPT.</w:t>
            </w:r>
          </w:p>
          <w:p w14:paraId="3DAB8B7D" w14:textId="77777777" w:rsidR="0071110F" w:rsidRDefault="0071110F" w:rsidP="00781834">
            <w:pPr>
              <w:spacing w:after="0"/>
              <w:jc w:val="both"/>
              <w:rPr>
                <w:rFonts w:asciiTheme="minorHAnsi" w:hAnsiTheme="minorHAnsi" w:cstheme="minorHAnsi"/>
                <w:b/>
                <w:color w:val="404040" w:themeColor="text1"/>
                <w:sz w:val="20"/>
                <w:szCs w:val="20"/>
              </w:rPr>
            </w:pPr>
          </w:p>
          <w:p w14:paraId="791312E6" w14:textId="5F7A4FF7" w:rsidR="0071110F" w:rsidRDefault="0071110F" w:rsidP="00781834">
            <w:pPr>
              <w:spacing w:after="0" w:line="240" w:lineRule="auto"/>
              <w:jc w:val="both"/>
              <w:rPr>
                <w:rFonts w:cs="Arial"/>
                <w:sz w:val="20"/>
                <w:szCs w:val="20"/>
              </w:rPr>
            </w:pPr>
            <w:r>
              <w:rPr>
                <w:rFonts w:asciiTheme="minorHAnsi" w:hAnsiTheme="minorHAnsi" w:cstheme="minorHAnsi"/>
                <w:b/>
                <w:color w:val="404040" w:themeColor="text1"/>
                <w:sz w:val="20"/>
                <w:szCs w:val="20"/>
              </w:rPr>
              <w:t xml:space="preserve">Treatment: </w:t>
            </w:r>
            <w:r w:rsidRPr="00DF5182">
              <w:rPr>
                <w:rFonts w:cs="Arial"/>
                <w:sz w:val="20"/>
                <w:szCs w:val="20"/>
              </w:rPr>
              <w:t>For drug-susceptible TB cases, the treatment success rates are relativ</w:t>
            </w:r>
            <w:r>
              <w:rPr>
                <w:rFonts w:cs="Arial"/>
                <w:sz w:val="20"/>
                <w:szCs w:val="20"/>
              </w:rPr>
              <w:t>ely high: for 2018, 85</w:t>
            </w:r>
            <w:r w:rsidRPr="00DF5182">
              <w:rPr>
                <w:rFonts w:cs="Arial"/>
                <w:sz w:val="20"/>
                <w:szCs w:val="20"/>
              </w:rPr>
              <w:t xml:space="preserve">% of new and relapse cases were successfully treated. At the same time, the outcomes of DR-TB treatment </w:t>
            </w:r>
            <w:r w:rsidR="00E80360">
              <w:rPr>
                <w:rFonts w:cs="Arial"/>
                <w:sz w:val="20"/>
                <w:szCs w:val="20"/>
              </w:rPr>
              <w:t>are still poor and progress slowly</w:t>
            </w:r>
            <w:r w:rsidRPr="00DF5182">
              <w:rPr>
                <w:rFonts w:cs="Arial"/>
                <w:sz w:val="20"/>
                <w:szCs w:val="20"/>
              </w:rPr>
              <w:t>. For the 201</w:t>
            </w:r>
            <w:r>
              <w:rPr>
                <w:rFonts w:cs="Arial"/>
                <w:sz w:val="20"/>
                <w:szCs w:val="20"/>
              </w:rPr>
              <w:t>7</w:t>
            </w:r>
            <w:r w:rsidRPr="00DF5182">
              <w:rPr>
                <w:rFonts w:cs="Arial"/>
                <w:sz w:val="20"/>
                <w:szCs w:val="20"/>
              </w:rPr>
              <w:t xml:space="preserve"> cohort (the latest annual MDR-TB cohort evaluated for final treatment results), only 5</w:t>
            </w:r>
            <w:r>
              <w:rPr>
                <w:rFonts w:cs="Arial"/>
                <w:sz w:val="20"/>
                <w:szCs w:val="20"/>
              </w:rPr>
              <w:t>5</w:t>
            </w:r>
            <w:r w:rsidRPr="00DF5182">
              <w:rPr>
                <w:rFonts w:cs="Arial"/>
                <w:sz w:val="20"/>
                <w:szCs w:val="20"/>
              </w:rPr>
              <w:t>% of MDR-TB cases and were successfully treated</w:t>
            </w:r>
            <w:r>
              <w:rPr>
                <w:rFonts w:cs="Arial"/>
                <w:sz w:val="20"/>
                <w:szCs w:val="20"/>
              </w:rPr>
              <w:t xml:space="preserve">, among new cases success reaching 72% rate, while in retreatment cases success rate was 41%. </w:t>
            </w:r>
            <w:r w:rsidRPr="00DF5182">
              <w:rPr>
                <w:rFonts w:cs="Arial"/>
                <w:sz w:val="20"/>
                <w:szCs w:val="20"/>
              </w:rPr>
              <w:t xml:space="preserve"> Given the high and increasing burden of resistance to second-line drugs, this is a key concern for the NTPs</w:t>
            </w:r>
            <w:r>
              <w:rPr>
                <w:rFonts w:cs="Arial"/>
                <w:sz w:val="20"/>
                <w:szCs w:val="20"/>
              </w:rPr>
              <w:t xml:space="preserve"> to take </w:t>
            </w:r>
            <w:r w:rsidRPr="00DF5182">
              <w:rPr>
                <w:rFonts w:cs="Arial"/>
                <w:sz w:val="20"/>
                <w:szCs w:val="20"/>
              </w:rPr>
              <w:t xml:space="preserve">prompt actions to ensure administration of </w:t>
            </w:r>
            <w:r>
              <w:rPr>
                <w:rFonts w:cs="Arial"/>
                <w:sz w:val="20"/>
                <w:szCs w:val="20"/>
              </w:rPr>
              <w:t>newer drug regimens</w:t>
            </w:r>
            <w:r w:rsidRPr="00DF5182">
              <w:rPr>
                <w:rFonts w:cs="Arial"/>
                <w:sz w:val="20"/>
                <w:szCs w:val="20"/>
              </w:rPr>
              <w:t xml:space="preserve">, as well as to implement evidence-based interventions for intensive support and follow-up of DR-TB patients on </w:t>
            </w:r>
            <w:r w:rsidRPr="0046043E">
              <w:rPr>
                <w:rFonts w:cs="Arial"/>
                <w:sz w:val="20"/>
                <w:szCs w:val="20"/>
              </w:rPr>
              <w:t>treatment.</w:t>
            </w:r>
            <w:r w:rsidRPr="0046043E">
              <w:rPr>
                <w:rStyle w:val="e24kjd"/>
                <w:rFonts w:asciiTheme="majorHAnsi" w:hAnsiTheme="majorHAnsi" w:cstheme="majorHAnsi"/>
                <w:sz w:val="20"/>
              </w:rPr>
              <w:t xml:space="preserve"> </w:t>
            </w:r>
            <w:r w:rsidRPr="0046043E">
              <w:rPr>
                <w:rFonts w:cs="Arial"/>
                <w:sz w:val="20"/>
                <w:szCs w:val="20"/>
              </w:rPr>
              <w:t>TSR</w:t>
            </w:r>
            <w:r w:rsidRPr="00301186">
              <w:rPr>
                <w:rFonts w:cs="Arial"/>
                <w:sz w:val="20"/>
                <w:szCs w:val="20"/>
              </w:rPr>
              <w:t xml:space="preserve"> was 58% in 2017 cohort of TB/HIV cases; in 2018, enrolment into treatment for laboratory confirmed RR-/MDR-TB was 100%, and for XDR-TB was 56%.</w:t>
            </w:r>
          </w:p>
          <w:p w14:paraId="6BC8EF3F" w14:textId="77777777" w:rsidR="0071110F" w:rsidRPr="00301186" w:rsidRDefault="0071110F" w:rsidP="00781834">
            <w:pPr>
              <w:spacing w:after="0" w:line="240" w:lineRule="auto"/>
              <w:jc w:val="both"/>
              <w:rPr>
                <w:rFonts w:cs="Arial"/>
                <w:sz w:val="20"/>
                <w:szCs w:val="20"/>
              </w:rPr>
            </w:pPr>
          </w:p>
          <w:p w14:paraId="168F4118" w14:textId="1FAA84B5" w:rsidR="0071110F" w:rsidRPr="00183185" w:rsidRDefault="0071110F" w:rsidP="00183185">
            <w:pPr>
              <w:pStyle w:val="Caption"/>
              <w:spacing w:after="0"/>
              <w:rPr>
                <w:rFonts w:asciiTheme="minorHAnsi" w:hAnsiTheme="minorHAnsi" w:cstheme="minorHAnsi"/>
                <w:b/>
                <w:i w:val="0"/>
                <w:color w:val="auto"/>
                <w:sz w:val="20"/>
                <w:szCs w:val="20"/>
              </w:rPr>
            </w:pPr>
            <w:r w:rsidRPr="00183185">
              <w:rPr>
                <w:rFonts w:asciiTheme="minorHAnsi" w:hAnsiTheme="minorHAnsi" w:cstheme="minorHAnsi"/>
                <w:b/>
                <w:i w:val="0"/>
                <w:color w:val="auto"/>
                <w:sz w:val="20"/>
                <w:szCs w:val="20"/>
              </w:rPr>
              <w:t>Table. Treatment outcomes, RR/</w:t>
            </w:r>
            <w:r w:rsidR="0046043E">
              <w:rPr>
                <w:rFonts w:asciiTheme="minorHAnsi" w:hAnsiTheme="minorHAnsi" w:cstheme="minorHAnsi"/>
                <w:b/>
                <w:i w:val="0"/>
                <w:color w:val="auto"/>
                <w:sz w:val="20"/>
                <w:szCs w:val="20"/>
              </w:rPr>
              <w:t>MDR-TB cases, 2013–2017 cohorts</w:t>
            </w:r>
          </w:p>
          <w:tbl>
            <w:tblPr>
              <w:tblStyle w:val="ListTable3-Accent5"/>
              <w:tblW w:w="0" w:type="auto"/>
              <w:tblLook w:val="04A0" w:firstRow="1" w:lastRow="0" w:firstColumn="1" w:lastColumn="0" w:noHBand="0" w:noVBand="1"/>
            </w:tblPr>
            <w:tblGrid>
              <w:gridCol w:w="2011"/>
              <w:gridCol w:w="803"/>
              <w:gridCol w:w="803"/>
              <w:gridCol w:w="804"/>
              <w:gridCol w:w="803"/>
              <w:gridCol w:w="804"/>
              <w:gridCol w:w="803"/>
              <w:gridCol w:w="803"/>
              <w:gridCol w:w="804"/>
              <w:gridCol w:w="803"/>
              <w:gridCol w:w="804"/>
            </w:tblGrid>
            <w:tr w:rsidR="0071110F" w:rsidRPr="00C334FF" w14:paraId="64D59785" w14:textId="77777777" w:rsidTr="008376E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011" w:type="dxa"/>
                  <w:vMerge w:val="restart"/>
                  <w:shd w:val="clear" w:color="auto" w:fill="0070C0"/>
                  <w:hideMark/>
                </w:tcPr>
                <w:p w14:paraId="10C0FD47" w14:textId="77777777" w:rsidR="0071110F" w:rsidRPr="00C334FF" w:rsidRDefault="0071110F" w:rsidP="00781834">
                  <w:pPr>
                    <w:ind w:left="2"/>
                    <w:jc w:val="both"/>
                    <w:rPr>
                      <w:rFonts w:asciiTheme="minorHAnsi" w:hAnsiTheme="minorHAnsi" w:cstheme="minorHAnsi"/>
                      <w:iCs/>
                      <w:sz w:val="20"/>
                      <w:szCs w:val="20"/>
                    </w:rPr>
                  </w:pPr>
                </w:p>
              </w:tc>
              <w:tc>
                <w:tcPr>
                  <w:tcW w:w="1606" w:type="dxa"/>
                  <w:gridSpan w:val="2"/>
                  <w:shd w:val="clear" w:color="auto" w:fill="0070C0"/>
                  <w:hideMark/>
                </w:tcPr>
                <w:p w14:paraId="56C1522D" w14:textId="77777777" w:rsidR="0071110F" w:rsidRPr="00C334FF" w:rsidRDefault="0071110F" w:rsidP="00781834">
                  <w:pPr>
                    <w:ind w:left="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C334FF">
                    <w:rPr>
                      <w:rFonts w:asciiTheme="minorHAnsi" w:hAnsiTheme="minorHAnsi" w:cstheme="minorHAnsi"/>
                      <w:iCs/>
                      <w:sz w:val="20"/>
                      <w:szCs w:val="20"/>
                    </w:rPr>
                    <w:t>2013</w:t>
                  </w:r>
                </w:p>
              </w:tc>
              <w:tc>
                <w:tcPr>
                  <w:tcW w:w="1607" w:type="dxa"/>
                  <w:gridSpan w:val="2"/>
                  <w:shd w:val="clear" w:color="auto" w:fill="0070C0"/>
                  <w:hideMark/>
                </w:tcPr>
                <w:p w14:paraId="517A69D4" w14:textId="77777777" w:rsidR="0071110F" w:rsidRPr="00C334FF" w:rsidRDefault="0071110F" w:rsidP="00781834">
                  <w:pPr>
                    <w:ind w:left="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C334FF">
                    <w:rPr>
                      <w:rFonts w:asciiTheme="minorHAnsi" w:hAnsiTheme="minorHAnsi" w:cstheme="minorHAnsi"/>
                      <w:iCs/>
                      <w:sz w:val="20"/>
                      <w:szCs w:val="20"/>
                    </w:rPr>
                    <w:t>2014</w:t>
                  </w:r>
                </w:p>
              </w:tc>
              <w:tc>
                <w:tcPr>
                  <w:tcW w:w="1607" w:type="dxa"/>
                  <w:gridSpan w:val="2"/>
                  <w:shd w:val="clear" w:color="auto" w:fill="0070C0"/>
                  <w:hideMark/>
                </w:tcPr>
                <w:p w14:paraId="603ACFEB" w14:textId="77777777" w:rsidR="0071110F" w:rsidRPr="00C334FF" w:rsidRDefault="0071110F" w:rsidP="00781834">
                  <w:pPr>
                    <w:ind w:left="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C334FF">
                    <w:rPr>
                      <w:rFonts w:asciiTheme="minorHAnsi" w:hAnsiTheme="minorHAnsi" w:cstheme="minorHAnsi"/>
                      <w:iCs/>
                      <w:sz w:val="20"/>
                      <w:szCs w:val="20"/>
                    </w:rPr>
                    <w:t>2015</w:t>
                  </w:r>
                </w:p>
              </w:tc>
              <w:tc>
                <w:tcPr>
                  <w:tcW w:w="1607" w:type="dxa"/>
                  <w:gridSpan w:val="2"/>
                  <w:shd w:val="clear" w:color="auto" w:fill="0070C0"/>
                  <w:hideMark/>
                </w:tcPr>
                <w:p w14:paraId="4B474569" w14:textId="77777777" w:rsidR="0071110F" w:rsidRPr="00C334FF" w:rsidRDefault="0071110F" w:rsidP="00781834">
                  <w:pPr>
                    <w:ind w:left="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C334FF">
                    <w:rPr>
                      <w:rFonts w:asciiTheme="minorHAnsi" w:hAnsiTheme="minorHAnsi" w:cstheme="minorHAnsi"/>
                      <w:iCs/>
                      <w:sz w:val="20"/>
                      <w:szCs w:val="20"/>
                    </w:rPr>
                    <w:t>2016</w:t>
                  </w:r>
                </w:p>
              </w:tc>
              <w:tc>
                <w:tcPr>
                  <w:tcW w:w="1607" w:type="dxa"/>
                  <w:gridSpan w:val="2"/>
                  <w:shd w:val="clear" w:color="auto" w:fill="0070C0"/>
                </w:tcPr>
                <w:p w14:paraId="083E9B39" w14:textId="77777777" w:rsidR="0071110F" w:rsidRPr="00C334FF" w:rsidRDefault="0071110F" w:rsidP="00781834">
                  <w:pPr>
                    <w:ind w:left="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C334FF">
                    <w:rPr>
                      <w:rFonts w:asciiTheme="minorHAnsi" w:hAnsiTheme="minorHAnsi" w:cstheme="minorHAnsi"/>
                      <w:iCs/>
                      <w:sz w:val="20"/>
                      <w:szCs w:val="20"/>
                    </w:rPr>
                    <w:t>2017</w:t>
                  </w:r>
                </w:p>
              </w:tc>
            </w:tr>
            <w:tr w:rsidR="0071110F" w:rsidRPr="00C334FF" w14:paraId="636FD5D7" w14:textId="77777777" w:rsidTr="008376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11" w:type="dxa"/>
                  <w:vMerge/>
                  <w:shd w:val="clear" w:color="auto" w:fill="0070C0"/>
                  <w:hideMark/>
                </w:tcPr>
                <w:p w14:paraId="7122C3E5" w14:textId="77777777" w:rsidR="0071110F" w:rsidRPr="00C334FF" w:rsidRDefault="0071110F" w:rsidP="00781834">
                  <w:pPr>
                    <w:ind w:left="2"/>
                    <w:jc w:val="both"/>
                    <w:rPr>
                      <w:rFonts w:asciiTheme="minorHAnsi" w:hAnsiTheme="minorHAnsi" w:cstheme="minorHAnsi"/>
                      <w:iCs/>
                      <w:sz w:val="20"/>
                      <w:szCs w:val="20"/>
                    </w:rPr>
                  </w:pPr>
                </w:p>
              </w:tc>
              <w:tc>
                <w:tcPr>
                  <w:tcW w:w="803" w:type="dxa"/>
                  <w:shd w:val="clear" w:color="auto" w:fill="0070C0"/>
                  <w:hideMark/>
                </w:tcPr>
                <w:p w14:paraId="5DC22EB0" w14:textId="77777777" w:rsidR="0071110F" w:rsidRPr="00183185"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color w:val="FFFFFF" w:themeColor="background1"/>
                      <w:sz w:val="20"/>
                      <w:szCs w:val="20"/>
                    </w:rPr>
                  </w:pPr>
                  <w:r w:rsidRPr="00183185">
                    <w:rPr>
                      <w:rFonts w:asciiTheme="minorHAnsi" w:hAnsiTheme="minorHAnsi" w:cstheme="minorHAnsi"/>
                      <w:b/>
                      <w:iCs/>
                      <w:color w:val="FFFFFF" w:themeColor="background1"/>
                      <w:sz w:val="20"/>
                      <w:szCs w:val="20"/>
                    </w:rPr>
                    <w:t>N</w:t>
                  </w:r>
                </w:p>
              </w:tc>
              <w:tc>
                <w:tcPr>
                  <w:tcW w:w="803" w:type="dxa"/>
                  <w:shd w:val="clear" w:color="auto" w:fill="0070C0"/>
                  <w:hideMark/>
                </w:tcPr>
                <w:p w14:paraId="7D85F192" w14:textId="77777777" w:rsidR="0071110F" w:rsidRPr="00183185"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color w:val="FFFFFF" w:themeColor="background1"/>
                      <w:sz w:val="20"/>
                      <w:szCs w:val="20"/>
                    </w:rPr>
                  </w:pPr>
                  <w:r w:rsidRPr="00183185">
                    <w:rPr>
                      <w:rFonts w:asciiTheme="minorHAnsi" w:hAnsiTheme="minorHAnsi" w:cstheme="minorHAnsi"/>
                      <w:b/>
                      <w:iCs/>
                      <w:color w:val="FFFFFF" w:themeColor="background1"/>
                      <w:sz w:val="20"/>
                      <w:szCs w:val="20"/>
                    </w:rPr>
                    <w:t>%</w:t>
                  </w:r>
                </w:p>
              </w:tc>
              <w:tc>
                <w:tcPr>
                  <w:tcW w:w="804" w:type="dxa"/>
                  <w:shd w:val="clear" w:color="auto" w:fill="0070C0"/>
                  <w:hideMark/>
                </w:tcPr>
                <w:p w14:paraId="169173DD" w14:textId="77777777" w:rsidR="0071110F" w:rsidRPr="00183185"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color w:val="FFFFFF" w:themeColor="background1"/>
                      <w:sz w:val="20"/>
                      <w:szCs w:val="20"/>
                    </w:rPr>
                  </w:pPr>
                  <w:r w:rsidRPr="00183185">
                    <w:rPr>
                      <w:rFonts w:asciiTheme="minorHAnsi" w:hAnsiTheme="minorHAnsi" w:cstheme="minorHAnsi"/>
                      <w:b/>
                      <w:iCs/>
                      <w:color w:val="FFFFFF" w:themeColor="background1"/>
                      <w:sz w:val="20"/>
                      <w:szCs w:val="20"/>
                    </w:rPr>
                    <w:t>N</w:t>
                  </w:r>
                </w:p>
              </w:tc>
              <w:tc>
                <w:tcPr>
                  <w:tcW w:w="803" w:type="dxa"/>
                  <w:shd w:val="clear" w:color="auto" w:fill="0070C0"/>
                  <w:hideMark/>
                </w:tcPr>
                <w:p w14:paraId="6516A8A5" w14:textId="77777777" w:rsidR="0071110F" w:rsidRPr="00183185"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color w:val="FFFFFF" w:themeColor="background1"/>
                      <w:sz w:val="20"/>
                      <w:szCs w:val="20"/>
                    </w:rPr>
                  </w:pPr>
                  <w:r w:rsidRPr="00183185">
                    <w:rPr>
                      <w:rFonts w:asciiTheme="minorHAnsi" w:hAnsiTheme="minorHAnsi" w:cstheme="minorHAnsi"/>
                      <w:b/>
                      <w:iCs/>
                      <w:color w:val="FFFFFF" w:themeColor="background1"/>
                      <w:sz w:val="20"/>
                      <w:szCs w:val="20"/>
                    </w:rPr>
                    <w:t>%</w:t>
                  </w:r>
                </w:p>
              </w:tc>
              <w:tc>
                <w:tcPr>
                  <w:tcW w:w="804" w:type="dxa"/>
                  <w:shd w:val="clear" w:color="auto" w:fill="0070C0"/>
                  <w:hideMark/>
                </w:tcPr>
                <w:p w14:paraId="3150A719" w14:textId="77777777" w:rsidR="0071110F" w:rsidRPr="00183185"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color w:val="FFFFFF" w:themeColor="background1"/>
                      <w:sz w:val="20"/>
                      <w:szCs w:val="20"/>
                    </w:rPr>
                  </w:pPr>
                  <w:r w:rsidRPr="00183185">
                    <w:rPr>
                      <w:rFonts w:asciiTheme="minorHAnsi" w:hAnsiTheme="minorHAnsi" w:cstheme="minorHAnsi"/>
                      <w:b/>
                      <w:iCs/>
                      <w:color w:val="FFFFFF" w:themeColor="background1"/>
                      <w:sz w:val="20"/>
                      <w:szCs w:val="20"/>
                    </w:rPr>
                    <w:t>N</w:t>
                  </w:r>
                </w:p>
              </w:tc>
              <w:tc>
                <w:tcPr>
                  <w:tcW w:w="803" w:type="dxa"/>
                  <w:shd w:val="clear" w:color="auto" w:fill="0070C0"/>
                  <w:hideMark/>
                </w:tcPr>
                <w:p w14:paraId="7E2725CC" w14:textId="77777777" w:rsidR="0071110F" w:rsidRPr="00183185"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color w:val="FFFFFF" w:themeColor="background1"/>
                      <w:sz w:val="20"/>
                      <w:szCs w:val="20"/>
                    </w:rPr>
                  </w:pPr>
                  <w:r w:rsidRPr="00183185">
                    <w:rPr>
                      <w:rFonts w:asciiTheme="minorHAnsi" w:hAnsiTheme="minorHAnsi" w:cstheme="minorHAnsi"/>
                      <w:b/>
                      <w:iCs/>
                      <w:color w:val="FFFFFF" w:themeColor="background1"/>
                      <w:sz w:val="20"/>
                      <w:szCs w:val="20"/>
                    </w:rPr>
                    <w:t>%</w:t>
                  </w:r>
                </w:p>
              </w:tc>
              <w:tc>
                <w:tcPr>
                  <w:tcW w:w="803" w:type="dxa"/>
                  <w:shd w:val="clear" w:color="auto" w:fill="0070C0"/>
                  <w:hideMark/>
                </w:tcPr>
                <w:p w14:paraId="3EE1FA65" w14:textId="77777777" w:rsidR="0071110F" w:rsidRPr="00183185"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color w:val="FFFFFF" w:themeColor="background1"/>
                      <w:sz w:val="20"/>
                      <w:szCs w:val="20"/>
                    </w:rPr>
                  </w:pPr>
                  <w:r w:rsidRPr="00183185">
                    <w:rPr>
                      <w:rFonts w:asciiTheme="minorHAnsi" w:hAnsiTheme="minorHAnsi" w:cstheme="minorHAnsi"/>
                      <w:b/>
                      <w:iCs/>
                      <w:color w:val="FFFFFF" w:themeColor="background1"/>
                      <w:sz w:val="20"/>
                      <w:szCs w:val="20"/>
                    </w:rPr>
                    <w:t>N</w:t>
                  </w:r>
                </w:p>
              </w:tc>
              <w:tc>
                <w:tcPr>
                  <w:tcW w:w="804" w:type="dxa"/>
                  <w:shd w:val="clear" w:color="auto" w:fill="0070C0"/>
                  <w:hideMark/>
                </w:tcPr>
                <w:p w14:paraId="7E4FD51F" w14:textId="77777777" w:rsidR="0071110F" w:rsidRPr="00183185"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color w:val="FFFFFF" w:themeColor="background1"/>
                      <w:sz w:val="20"/>
                      <w:szCs w:val="20"/>
                    </w:rPr>
                  </w:pPr>
                  <w:r w:rsidRPr="00183185">
                    <w:rPr>
                      <w:rFonts w:asciiTheme="minorHAnsi" w:hAnsiTheme="minorHAnsi" w:cstheme="minorHAnsi"/>
                      <w:b/>
                      <w:iCs/>
                      <w:color w:val="FFFFFF" w:themeColor="background1"/>
                      <w:sz w:val="20"/>
                      <w:szCs w:val="20"/>
                    </w:rPr>
                    <w:t>%</w:t>
                  </w:r>
                </w:p>
              </w:tc>
              <w:tc>
                <w:tcPr>
                  <w:tcW w:w="803" w:type="dxa"/>
                  <w:shd w:val="clear" w:color="auto" w:fill="0070C0"/>
                </w:tcPr>
                <w:p w14:paraId="57AFFDB2" w14:textId="77777777" w:rsidR="0071110F" w:rsidRPr="00183185"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color w:val="FFFFFF" w:themeColor="background1"/>
                      <w:sz w:val="20"/>
                      <w:szCs w:val="20"/>
                    </w:rPr>
                  </w:pPr>
                  <w:r w:rsidRPr="00183185">
                    <w:rPr>
                      <w:rFonts w:asciiTheme="minorHAnsi" w:hAnsiTheme="minorHAnsi" w:cstheme="minorHAnsi"/>
                      <w:b/>
                      <w:iCs/>
                      <w:color w:val="FFFFFF" w:themeColor="background1"/>
                      <w:sz w:val="20"/>
                      <w:szCs w:val="20"/>
                    </w:rPr>
                    <w:t>N</w:t>
                  </w:r>
                </w:p>
              </w:tc>
              <w:tc>
                <w:tcPr>
                  <w:tcW w:w="804" w:type="dxa"/>
                  <w:shd w:val="clear" w:color="auto" w:fill="0070C0"/>
                </w:tcPr>
                <w:p w14:paraId="15A48430" w14:textId="77777777" w:rsidR="0071110F" w:rsidRPr="00183185"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color w:val="FFFFFF" w:themeColor="background1"/>
                      <w:sz w:val="20"/>
                      <w:szCs w:val="20"/>
                    </w:rPr>
                  </w:pPr>
                  <w:r w:rsidRPr="00183185">
                    <w:rPr>
                      <w:rFonts w:asciiTheme="minorHAnsi" w:hAnsiTheme="minorHAnsi" w:cstheme="minorHAnsi"/>
                      <w:b/>
                      <w:iCs/>
                      <w:color w:val="FFFFFF" w:themeColor="background1"/>
                      <w:sz w:val="20"/>
                      <w:szCs w:val="20"/>
                    </w:rPr>
                    <w:t>%</w:t>
                  </w:r>
                </w:p>
              </w:tc>
            </w:tr>
            <w:tr w:rsidR="0071110F" w:rsidRPr="00C334FF" w14:paraId="72D0C2F0" w14:textId="77777777" w:rsidTr="00183185">
              <w:trPr>
                <w:trHeight w:val="20"/>
              </w:trPr>
              <w:tc>
                <w:tcPr>
                  <w:cnfStyle w:val="001000000000" w:firstRow="0" w:lastRow="0" w:firstColumn="1" w:lastColumn="0" w:oddVBand="0" w:evenVBand="0" w:oddHBand="0" w:evenHBand="0" w:firstRowFirstColumn="0" w:firstRowLastColumn="0" w:lastRowFirstColumn="0" w:lastRowLastColumn="0"/>
                  <w:tcW w:w="2011" w:type="dxa"/>
                  <w:hideMark/>
                </w:tcPr>
                <w:p w14:paraId="546B7FFB" w14:textId="77777777" w:rsidR="0071110F" w:rsidRPr="00C334FF" w:rsidRDefault="0071110F" w:rsidP="00781834">
                  <w:pPr>
                    <w:ind w:left="2"/>
                    <w:jc w:val="both"/>
                    <w:rPr>
                      <w:rFonts w:asciiTheme="minorHAnsi" w:hAnsiTheme="minorHAnsi" w:cstheme="minorHAnsi"/>
                      <w:iCs/>
                      <w:sz w:val="20"/>
                      <w:szCs w:val="20"/>
                    </w:rPr>
                  </w:pPr>
                  <w:r w:rsidRPr="00C334FF">
                    <w:rPr>
                      <w:rFonts w:asciiTheme="minorHAnsi" w:hAnsiTheme="minorHAnsi" w:cstheme="minorHAnsi"/>
                      <w:iCs/>
                      <w:sz w:val="20"/>
                      <w:szCs w:val="20"/>
                    </w:rPr>
                    <w:t xml:space="preserve">RR/MDR-TB cohort size </w:t>
                  </w:r>
                </w:p>
              </w:tc>
              <w:tc>
                <w:tcPr>
                  <w:tcW w:w="803" w:type="dxa"/>
                  <w:hideMark/>
                </w:tcPr>
                <w:p w14:paraId="3B19A915"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943</w:t>
                  </w:r>
                </w:p>
              </w:tc>
              <w:tc>
                <w:tcPr>
                  <w:tcW w:w="803" w:type="dxa"/>
                  <w:hideMark/>
                </w:tcPr>
                <w:p w14:paraId="62786FDB"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w:t>
                  </w:r>
                </w:p>
              </w:tc>
              <w:tc>
                <w:tcPr>
                  <w:tcW w:w="804" w:type="dxa"/>
                  <w:hideMark/>
                </w:tcPr>
                <w:p w14:paraId="41680D9C"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919</w:t>
                  </w:r>
                </w:p>
              </w:tc>
              <w:tc>
                <w:tcPr>
                  <w:tcW w:w="803" w:type="dxa"/>
                  <w:hideMark/>
                </w:tcPr>
                <w:p w14:paraId="4FDEE679"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w:t>
                  </w:r>
                </w:p>
              </w:tc>
              <w:tc>
                <w:tcPr>
                  <w:tcW w:w="804" w:type="dxa"/>
                  <w:hideMark/>
                </w:tcPr>
                <w:p w14:paraId="353C90C4"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996</w:t>
                  </w:r>
                </w:p>
              </w:tc>
              <w:tc>
                <w:tcPr>
                  <w:tcW w:w="803" w:type="dxa"/>
                  <w:hideMark/>
                </w:tcPr>
                <w:p w14:paraId="6F8A7CC0"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w:t>
                  </w:r>
                </w:p>
              </w:tc>
              <w:tc>
                <w:tcPr>
                  <w:tcW w:w="803" w:type="dxa"/>
                  <w:hideMark/>
                </w:tcPr>
                <w:p w14:paraId="2EE0D1E1"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979</w:t>
                  </w:r>
                </w:p>
              </w:tc>
              <w:tc>
                <w:tcPr>
                  <w:tcW w:w="804" w:type="dxa"/>
                  <w:hideMark/>
                </w:tcPr>
                <w:p w14:paraId="01E06F99"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w:t>
                  </w:r>
                </w:p>
              </w:tc>
              <w:tc>
                <w:tcPr>
                  <w:tcW w:w="803" w:type="dxa"/>
                </w:tcPr>
                <w:p w14:paraId="1A25DF4E"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975</w:t>
                  </w:r>
                </w:p>
              </w:tc>
              <w:tc>
                <w:tcPr>
                  <w:tcW w:w="804" w:type="dxa"/>
                </w:tcPr>
                <w:p w14:paraId="39F478F3"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p>
              </w:tc>
            </w:tr>
            <w:tr w:rsidR="0071110F" w:rsidRPr="00C334FF" w14:paraId="628F61D4" w14:textId="77777777" w:rsidTr="001831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11" w:type="dxa"/>
                  <w:hideMark/>
                </w:tcPr>
                <w:p w14:paraId="4DD36806" w14:textId="77777777" w:rsidR="0071110F" w:rsidRPr="00C334FF" w:rsidRDefault="0071110F" w:rsidP="00781834">
                  <w:pPr>
                    <w:ind w:left="2"/>
                    <w:jc w:val="both"/>
                    <w:rPr>
                      <w:rFonts w:asciiTheme="minorHAnsi" w:hAnsiTheme="minorHAnsi" w:cstheme="minorHAnsi"/>
                      <w:iCs/>
                      <w:sz w:val="20"/>
                      <w:szCs w:val="20"/>
                    </w:rPr>
                  </w:pPr>
                  <w:r w:rsidRPr="00C334FF">
                    <w:rPr>
                      <w:rFonts w:asciiTheme="minorHAnsi" w:hAnsiTheme="minorHAnsi" w:cstheme="minorHAnsi"/>
                      <w:iCs/>
                      <w:sz w:val="20"/>
                      <w:szCs w:val="20"/>
                    </w:rPr>
                    <w:t xml:space="preserve">Treatment success </w:t>
                  </w:r>
                </w:p>
              </w:tc>
              <w:tc>
                <w:tcPr>
                  <w:tcW w:w="803" w:type="dxa"/>
                  <w:hideMark/>
                </w:tcPr>
                <w:p w14:paraId="424A8B51"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538</w:t>
                  </w:r>
                </w:p>
              </w:tc>
              <w:tc>
                <w:tcPr>
                  <w:tcW w:w="803" w:type="dxa"/>
                  <w:hideMark/>
                </w:tcPr>
                <w:p w14:paraId="40CF73CC"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57</w:t>
                  </w:r>
                </w:p>
              </w:tc>
              <w:tc>
                <w:tcPr>
                  <w:tcW w:w="804" w:type="dxa"/>
                  <w:hideMark/>
                </w:tcPr>
                <w:p w14:paraId="719A3CFC"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457</w:t>
                  </w:r>
                </w:p>
              </w:tc>
              <w:tc>
                <w:tcPr>
                  <w:tcW w:w="803" w:type="dxa"/>
                  <w:hideMark/>
                </w:tcPr>
                <w:p w14:paraId="4522949F"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49.7</w:t>
                  </w:r>
                </w:p>
              </w:tc>
              <w:tc>
                <w:tcPr>
                  <w:tcW w:w="804" w:type="dxa"/>
                  <w:hideMark/>
                </w:tcPr>
                <w:p w14:paraId="5AAC6204"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487</w:t>
                  </w:r>
                </w:p>
              </w:tc>
              <w:tc>
                <w:tcPr>
                  <w:tcW w:w="803" w:type="dxa"/>
                  <w:hideMark/>
                </w:tcPr>
                <w:p w14:paraId="22390D85"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48.9</w:t>
                  </w:r>
                </w:p>
              </w:tc>
              <w:tc>
                <w:tcPr>
                  <w:tcW w:w="803" w:type="dxa"/>
                  <w:hideMark/>
                </w:tcPr>
                <w:p w14:paraId="01C86789"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518</w:t>
                  </w:r>
                </w:p>
              </w:tc>
              <w:tc>
                <w:tcPr>
                  <w:tcW w:w="804" w:type="dxa"/>
                  <w:hideMark/>
                </w:tcPr>
                <w:p w14:paraId="00389970"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53.9</w:t>
                  </w:r>
                </w:p>
              </w:tc>
              <w:tc>
                <w:tcPr>
                  <w:tcW w:w="803" w:type="dxa"/>
                </w:tcPr>
                <w:p w14:paraId="166306AE"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537</w:t>
                  </w:r>
                </w:p>
              </w:tc>
              <w:tc>
                <w:tcPr>
                  <w:tcW w:w="804" w:type="dxa"/>
                </w:tcPr>
                <w:p w14:paraId="7003F308"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55.1</w:t>
                  </w:r>
                </w:p>
              </w:tc>
            </w:tr>
            <w:tr w:rsidR="0071110F" w:rsidRPr="00C334FF" w14:paraId="77F9291A" w14:textId="77777777" w:rsidTr="00183185">
              <w:trPr>
                <w:trHeight w:val="20"/>
              </w:trPr>
              <w:tc>
                <w:tcPr>
                  <w:cnfStyle w:val="001000000000" w:firstRow="0" w:lastRow="0" w:firstColumn="1" w:lastColumn="0" w:oddVBand="0" w:evenVBand="0" w:oddHBand="0" w:evenHBand="0" w:firstRowFirstColumn="0" w:firstRowLastColumn="0" w:lastRowFirstColumn="0" w:lastRowLastColumn="0"/>
                  <w:tcW w:w="2011" w:type="dxa"/>
                  <w:hideMark/>
                </w:tcPr>
                <w:p w14:paraId="31A8FFD2" w14:textId="77777777" w:rsidR="0071110F" w:rsidRPr="00C334FF" w:rsidRDefault="0071110F" w:rsidP="00781834">
                  <w:pPr>
                    <w:ind w:left="2"/>
                    <w:jc w:val="both"/>
                    <w:rPr>
                      <w:rFonts w:asciiTheme="minorHAnsi" w:hAnsiTheme="minorHAnsi" w:cstheme="minorHAnsi"/>
                      <w:iCs/>
                      <w:sz w:val="20"/>
                      <w:szCs w:val="20"/>
                    </w:rPr>
                  </w:pPr>
                  <w:r w:rsidRPr="00C334FF">
                    <w:rPr>
                      <w:rFonts w:asciiTheme="minorHAnsi" w:hAnsiTheme="minorHAnsi" w:cstheme="minorHAnsi"/>
                      <w:iCs/>
                      <w:sz w:val="20"/>
                      <w:szCs w:val="20"/>
                    </w:rPr>
                    <w:t xml:space="preserve">Treatment failure </w:t>
                  </w:r>
                </w:p>
              </w:tc>
              <w:tc>
                <w:tcPr>
                  <w:tcW w:w="803" w:type="dxa"/>
                  <w:hideMark/>
                </w:tcPr>
                <w:p w14:paraId="3B6AF428"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93</w:t>
                  </w:r>
                </w:p>
              </w:tc>
              <w:tc>
                <w:tcPr>
                  <w:tcW w:w="803" w:type="dxa"/>
                  <w:hideMark/>
                </w:tcPr>
                <w:p w14:paraId="11256658"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9.9</w:t>
                  </w:r>
                </w:p>
              </w:tc>
              <w:tc>
                <w:tcPr>
                  <w:tcW w:w="804" w:type="dxa"/>
                  <w:hideMark/>
                </w:tcPr>
                <w:p w14:paraId="62D40034"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142</w:t>
                  </w:r>
                </w:p>
              </w:tc>
              <w:tc>
                <w:tcPr>
                  <w:tcW w:w="803" w:type="dxa"/>
                  <w:hideMark/>
                </w:tcPr>
                <w:p w14:paraId="7A18BA9B"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15.5</w:t>
                  </w:r>
                </w:p>
              </w:tc>
              <w:tc>
                <w:tcPr>
                  <w:tcW w:w="804" w:type="dxa"/>
                  <w:hideMark/>
                </w:tcPr>
                <w:p w14:paraId="21BBC5D8"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177</w:t>
                  </w:r>
                </w:p>
              </w:tc>
              <w:tc>
                <w:tcPr>
                  <w:tcW w:w="803" w:type="dxa"/>
                  <w:hideMark/>
                </w:tcPr>
                <w:p w14:paraId="3BA1BAEC"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17.8</w:t>
                  </w:r>
                </w:p>
              </w:tc>
              <w:tc>
                <w:tcPr>
                  <w:tcW w:w="803" w:type="dxa"/>
                  <w:hideMark/>
                </w:tcPr>
                <w:p w14:paraId="468CC634"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132</w:t>
                  </w:r>
                </w:p>
              </w:tc>
              <w:tc>
                <w:tcPr>
                  <w:tcW w:w="804" w:type="dxa"/>
                  <w:hideMark/>
                </w:tcPr>
                <w:p w14:paraId="219C83E5"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13.5</w:t>
                  </w:r>
                </w:p>
              </w:tc>
              <w:tc>
                <w:tcPr>
                  <w:tcW w:w="803" w:type="dxa"/>
                </w:tcPr>
                <w:p w14:paraId="0C7CBB37"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124</w:t>
                  </w:r>
                </w:p>
              </w:tc>
              <w:tc>
                <w:tcPr>
                  <w:tcW w:w="804" w:type="dxa"/>
                </w:tcPr>
                <w:p w14:paraId="2826EA59"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12.7</w:t>
                  </w:r>
                </w:p>
              </w:tc>
            </w:tr>
            <w:tr w:rsidR="0071110F" w:rsidRPr="00C334FF" w14:paraId="10787EB7" w14:textId="77777777" w:rsidTr="001831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11" w:type="dxa"/>
                  <w:hideMark/>
                </w:tcPr>
                <w:p w14:paraId="2CAAC34E" w14:textId="77777777" w:rsidR="0071110F" w:rsidRPr="00C334FF" w:rsidRDefault="0071110F" w:rsidP="00781834">
                  <w:pPr>
                    <w:ind w:left="2"/>
                    <w:jc w:val="both"/>
                    <w:rPr>
                      <w:rFonts w:asciiTheme="minorHAnsi" w:hAnsiTheme="minorHAnsi" w:cstheme="minorHAnsi"/>
                      <w:iCs/>
                      <w:sz w:val="20"/>
                      <w:szCs w:val="20"/>
                    </w:rPr>
                  </w:pPr>
                  <w:r w:rsidRPr="00C334FF">
                    <w:rPr>
                      <w:rFonts w:asciiTheme="minorHAnsi" w:hAnsiTheme="minorHAnsi" w:cstheme="minorHAnsi"/>
                      <w:iCs/>
                      <w:sz w:val="20"/>
                      <w:szCs w:val="20"/>
                    </w:rPr>
                    <w:t xml:space="preserve">Death </w:t>
                  </w:r>
                </w:p>
              </w:tc>
              <w:tc>
                <w:tcPr>
                  <w:tcW w:w="803" w:type="dxa"/>
                  <w:hideMark/>
                </w:tcPr>
                <w:p w14:paraId="2E1360BA"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112</w:t>
                  </w:r>
                </w:p>
              </w:tc>
              <w:tc>
                <w:tcPr>
                  <w:tcW w:w="803" w:type="dxa"/>
                  <w:hideMark/>
                </w:tcPr>
                <w:p w14:paraId="38728DCC"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11.9</w:t>
                  </w:r>
                </w:p>
              </w:tc>
              <w:tc>
                <w:tcPr>
                  <w:tcW w:w="804" w:type="dxa"/>
                  <w:hideMark/>
                </w:tcPr>
                <w:p w14:paraId="1DB696DD"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129</w:t>
                  </w:r>
                </w:p>
              </w:tc>
              <w:tc>
                <w:tcPr>
                  <w:tcW w:w="803" w:type="dxa"/>
                  <w:hideMark/>
                </w:tcPr>
                <w:p w14:paraId="00C66844"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14</w:t>
                  </w:r>
                </w:p>
              </w:tc>
              <w:tc>
                <w:tcPr>
                  <w:tcW w:w="804" w:type="dxa"/>
                  <w:hideMark/>
                </w:tcPr>
                <w:p w14:paraId="569AB339"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120</w:t>
                  </w:r>
                </w:p>
              </w:tc>
              <w:tc>
                <w:tcPr>
                  <w:tcW w:w="803" w:type="dxa"/>
                  <w:hideMark/>
                </w:tcPr>
                <w:p w14:paraId="07DA663B"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12</w:t>
                  </w:r>
                </w:p>
              </w:tc>
              <w:tc>
                <w:tcPr>
                  <w:tcW w:w="803" w:type="dxa"/>
                  <w:hideMark/>
                </w:tcPr>
                <w:p w14:paraId="6090A02D"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125</w:t>
                  </w:r>
                </w:p>
              </w:tc>
              <w:tc>
                <w:tcPr>
                  <w:tcW w:w="804" w:type="dxa"/>
                  <w:hideMark/>
                </w:tcPr>
                <w:p w14:paraId="275DC7C6"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12.8</w:t>
                  </w:r>
                </w:p>
              </w:tc>
              <w:tc>
                <w:tcPr>
                  <w:tcW w:w="803" w:type="dxa"/>
                </w:tcPr>
                <w:p w14:paraId="53C5C035"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117</w:t>
                  </w:r>
                </w:p>
              </w:tc>
              <w:tc>
                <w:tcPr>
                  <w:tcW w:w="804" w:type="dxa"/>
                </w:tcPr>
                <w:p w14:paraId="646BA3D1"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12</w:t>
                  </w:r>
                </w:p>
              </w:tc>
            </w:tr>
            <w:tr w:rsidR="0071110F" w:rsidRPr="00C334FF" w14:paraId="45B2DE6E" w14:textId="77777777" w:rsidTr="00183185">
              <w:trPr>
                <w:trHeight w:val="20"/>
              </w:trPr>
              <w:tc>
                <w:tcPr>
                  <w:cnfStyle w:val="001000000000" w:firstRow="0" w:lastRow="0" w:firstColumn="1" w:lastColumn="0" w:oddVBand="0" w:evenVBand="0" w:oddHBand="0" w:evenHBand="0" w:firstRowFirstColumn="0" w:firstRowLastColumn="0" w:lastRowFirstColumn="0" w:lastRowLastColumn="0"/>
                  <w:tcW w:w="2011" w:type="dxa"/>
                  <w:hideMark/>
                </w:tcPr>
                <w:p w14:paraId="79A1FAA2" w14:textId="77777777" w:rsidR="0071110F" w:rsidRPr="00C334FF" w:rsidRDefault="0071110F" w:rsidP="00781834">
                  <w:pPr>
                    <w:ind w:left="2"/>
                    <w:jc w:val="both"/>
                    <w:rPr>
                      <w:rFonts w:asciiTheme="minorHAnsi" w:hAnsiTheme="minorHAnsi" w:cstheme="minorHAnsi"/>
                      <w:iCs/>
                      <w:sz w:val="20"/>
                      <w:szCs w:val="20"/>
                    </w:rPr>
                  </w:pPr>
                  <w:r w:rsidRPr="00C334FF">
                    <w:rPr>
                      <w:rFonts w:asciiTheme="minorHAnsi" w:hAnsiTheme="minorHAnsi" w:cstheme="minorHAnsi"/>
                      <w:iCs/>
                      <w:sz w:val="20"/>
                      <w:szCs w:val="20"/>
                    </w:rPr>
                    <w:t xml:space="preserve">LTFU </w:t>
                  </w:r>
                </w:p>
              </w:tc>
              <w:tc>
                <w:tcPr>
                  <w:tcW w:w="803" w:type="dxa"/>
                  <w:hideMark/>
                </w:tcPr>
                <w:p w14:paraId="561915FB"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194</w:t>
                  </w:r>
                </w:p>
              </w:tc>
              <w:tc>
                <w:tcPr>
                  <w:tcW w:w="803" w:type="dxa"/>
                  <w:hideMark/>
                </w:tcPr>
                <w:p w14:paraId="1B6D2536"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20.6</w:t>
                  </w:r>
                </w:p>
              </w:tc>
              <w:tc>
                <w:tcPr>
                  <w:tcW w:w="804" w:type="dxa"/>
                  <w:hideMark/>
                </w:tcPr>
                <w:p w14:paraId="45395917"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188</w:t>
                  </w:r>
                </w:p>
              </w:tc>
              <w:tc>
                <w:tcPr>
                  <w:tcW w:w="803" w:type="dxa"/>
                  <w:hideMark/>
                </w:tcPr>
                <w:p w14:paraId="441BA457"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20.5</w:t>
                  </w:r>
                </w:p>
              </w:tc>
              <w:tc>
                <w:tcPr>
                  <w:tcW w:w="804" w:type="dxa"/>
                  <w:hideMark/>
                </w:tcPr>
                <w:p w14:paraId="737C8767"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202</w:t>
                  </w:r>
                </w:p>
              </w:tc>
              <w:tc>
                <w:tcPr>
                  <w:tcW w:w="803" w:type="dxa"/>
                  <w:hideMark/>
                </w:tcPr>
                <w:p w14:paraId="0B63668B"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20.3</w:t>
                  </w:r>
                </w:p>
              </w:tc>
              <w:tc>
                <w:tcPr>
                  <w:tcW w:w="803" w:type="dxa"/>
                  <w:hideMark/>
                </w:tcPr>
                <w:p w14:paraId="7F619A2A"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198</w:t>
                  </w:r>
                </w:p>
              </w:tc>
              <w:tc>
                <w:tcPr>
                  <w:tcW w:w="804" w:type="dxa"/>
                  <w:hideMark/>
                </w:tcPr>
                <w:p w14:paraId="5E643BE3"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20.2</w:t>
                  </w:r>
                </w:p>
              </w:tc>
              <w:tc>
                <w:tcPr>
                  <w:tcW w:w="803" w:type="dxa"/>
                </w:tcPr>
                <w:p w14:paraId="465A4C68"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197</w:t>
                  </w:r>
                </w:p>
              </w:tc>
              <w:tc>
                <w:tcPr>
                  <w:tcW w:w="804" w:type="dxa"/>
                </w:tcPr>
                <w:p w14:paraId="1131FC90" w14:textId="77777777" w:rsidR="0071110F" w:rsidRPr="007B02C4" w:rsidRDefault="0071110F" w:rsidP="00781834">
                  <w:pPr>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20.2</w:t>
                  </w:r>
                </w:p>
              </w:tc>
            </w:tr>
            <w:tr w:rsidR="0071110F" w:rsidRPr="00C334FF" w14:paraId="071BF42F" w14:textId="77777777" w:rsidTr="0018318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11" w:type="dxa"/>
                  <w:hideMark/>
                </w:tcPr>
                <w:p w14:paraId="7A0BEBB0" w14:textId="77777777" w:rsidR="0071110F" w:rsidRPr="00C334FF" w:rsidRDefault="0071110F" w:rsidP="00781834">
                  <w:pPr>
                    <w:ind w:left="2"/>
                    <w:jc w:val="both"/>
                    <w:rPr>
                      <w:rFonts w:asciiTheme="minorHAnsi" w:hAnsiTheme="minorHAnsi" w:cstheme="minorHAnsi"/>
                      <w:iCs/>
                      <w:sz w:val="20"/>
                      <w:szCs w:val="20"/>
                    </w:rPr>
                  </w:pPr>
                  <w:r w:rsidRPr="00C334FF">
                    <w:rPr>
                      <w:rFonts w:asciiTheme="minorHAnsi" w:hAnsiTheme="minorHAnsi" w:cstheme="minorHAnsi"/>
                      <w:iCs/>
                      <w:sz w:val="20"/>
                      <w:szCs w:val="20"/>
                    </w:rPr>
                    <w:t xml:space="preserve">Not evaluated  </w:t>
                  </w:r>
                </w:p>
              </w:tc>
              <w:tc>
                <w:tcPr>
                  <w:tcW w:w="803" w:type="dxa"/>
                  <w:hideMark/>
                </w:tcPr>
                <w:p w14:paraId="365DB4F3"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6</w:t>
                  </w:r>
                </w:p>
              </w:tc>
              <w:tc>
                <w:tcPr>
                  <w:tcW w:w="803" w:type="dxa"/>
                  <w:hideMark/>
                </w:tcPr>
                <w:p w14:paraId="43F3AB6A"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0.6</w:t>
                  </w:r>
                </w:p>
              </w:tc>
              <w:tc>
                <w:tcPr>
                  <w:tcW w:w="804" w:type="dxa"/>
                  <w:hideMark/>
                </w:tcPr>
                <w:p w14:paraId="7603D2E1"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3</w:t>
                  </w:r>
                </w:p>
              </w:tc>
              <w:tc>
                <w:tcPr>
                  <w:tcW w:w="803" w:type="dxa"/>
                  <w:hideMark/>
                </w:tcPr>
                <w:p w14:paraId="0BBDE59F"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0.3</w:t>
                  </w:r>
                </w:p>
              </w:tc>
              <w:tc>
                <w:tcPr>
                  <w:tcW w:w="804" w:type="dxa"/>
                  <w:hideMark/>
                </w:tcPr>
                <w:p w14:paraId="0F1EBD30"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10</w:t>
                  </w:r>
                </w:p>
              </w:tc>
              <w:tc>
                <w:tcPr>
                  <w:tcW w:w="803" w:type="dxa"/>
                  <w:hideMark/>
                </w:tcPr>
                <w:p w14:paraId="294C854C"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1</w:t>
                  </w:r>
                </w:p>
              </w:tc>
              <w:tc>
                <w:tcPr>
                  <w:tcW w:w="803" w:type="dxa"/>
                  <w:hideMark/>
                </w:tcPr>
                <w:p w14:paraId="77A28A8D"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6</w:t>
                  </w:r>
                </w:p>
              </w:tc>
              <w:tc>
                <w:tcPr>
                  <w:tcW w:w="804" w:type="dxa"/>
                  <w:hideMark/>
                </w:tcPr>
                <w:p w14:paraId="31AA2A2D"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0.6</w:t>
                  </w:r>
                </w:p>
              </w:tc>
              <w:tc>
                <w:tcPr>
                  <w:tcW w:w="803" w:type="dxa"/>
                </w:tcPr>
                <w:p w14:paraId="6820CA00"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0</w:t>
                  </w:r>
                </w:p>
              </w:tc>
              <w:tc>
                <w:tcPr>
                  <w:tcW w:w="804" w:type="dxa"/>
                </w:tcPr>
                <w:p w14:paraId="4CF2510B" w14:textId="77777777" w:rsidR="0071110F" w:rsidRPr="007B02C4" w:rsidRDefault="0071110F" w:rsidP="00781834">
                  <w:pPr>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20"/>
                      <w:szCs w:val="20"/>
                    </w:rPr>
                  </w:pPr>
                  <w:r w:rsidRPr="007B02C4">
                    <w:rPr>
                      <w:rFonts w:asciiTheme="minorHAnsi" w:hAnsiTheme="minorHAnsi" w:cstheme="minorHAnsi"/>
                      <w:iCs/>
                      <w:sz w:val="20"/>
                      <w:szCs w:val="20"/>
                    </w:rPr>
                    <w:t>0</w:t>
                  </w:r>
                </w:p>
              </w:tc>
            </w:tr>
          </w:tbl>
          <w:p w14:paraId="5F8BD4E6" w14:textId="4A879AEB" w:rsidR="00183185" w:rsidRPr="00592C19" w:rsidRDefault="0071110F" w:rsidP="00183185">
            <w:pPr>
              <w:jc w:val="both"/>
              <w:rPr>
                <w:rFonts w:asciiTheme="minorHAnsi" w:hAnsiTheme="minorHAnsi" w:cstheme="minorHAnsi"/>
                <w:color w:val="404040" w:themeColor="text1"/>
                <w:sz w:val="20"/>
                <w:szCs w:val="20"/>
              </w:rPr>
            </w:pPr>
            <w:r>
              <w:rPr>
                <w:rFonts w:asciiTheme="minorHAnsi" w:hAnsiTheme="minorHAnsi" w:cstheme="minorHAnsi"/>
                <w:iCs/>
                <w:sz w:val="20"/>
                <w:szCs w:val="20"/>
              </w:rPr>
              <w:t xml:space="preserve">Source: </w:t>
            </w:r>
            <w:r w:rsidR="00183185" w:rsidRPr="00592C19">
              <w:rPr>
                <w:rFonts w:asciiTheme="minorHAnsi" w:hAnsiTheme="minorHAnsi" w:cstheme="minorHAnsi"/>
                <w:color w:val="404040" w:themeColor="text1"/>
                <w:sz w:val="20"/>
                <w:szCs w:val="20"/>
              </w:rPr>
              <w:t>NT</w:t>
            </w:r>
            <w:r w:rsidR="00183185">
              <w:rPr>
                <w:rFonts w:asciiTheme="minorHAnsi" w:hAnsiTheme="minorHAnsi" w:cstheme="minorHAnsi"/>
                <w:color w:val="404040" w:themeColor="text1"/>
                <w:sz w:val="20"/>
                <w:szCs w:val="20"/>
              </w:rPr>
              <w:t>C</w:t>
            </w:r>
            <w:r w:rsidR="00183185" w:rsidRPr="00592C19">
              <w:rPr>
                <w:rFonts w:asciiTheme="minorHAnsi" w:hAnsiTheme="minorHAnsi" w:cstheme="minorHAnsi"/>
                <w:color w:val="404040" w:themeColor="text1"/>
                <w:sz w:val="20"/>
                <w:szCs w:val="20"/>
              </w:rPr>
              <w:t xml:space="preserve">P </w:t>
            </w:r>
            <w:r w:rsidR="0046043E">
              <w:rPr>
                <w:rFonts w:asciiTheme="minorHAnsi" w:hAnsiTheme="minorHAnsi" w:cstheme="minorHAnsi"/>
                <w:color w:val="404040" w:themeColor="text1"/>
                <w:sz w:val="20"/>
                <w:szCs w:val="20"/>
              </w:rPr>
              <w:t>MDR TB cohort</w:t>
            </w:r>
            <w:r w:rsidR="00183185">
              <w:rPr>
                <w:rFonts w:asciiTheme="minorHAnsi" w:hAnsiTheme="minorHAnsi" w:cstheme="minorHAnsi"/>
                <w:color w:val="404040" w:themeColor="text1"/>
                <w:sz w:val="20"/>
                <w:szCs w:val="20"/>
              </w:rPr>
              <w:t xml:space="preserve"> reporting</w:t>
            </w:r>
          </w:p>
          <w:p w14:paraId="4A58BFA7" w14:textId="69265C07" w:rsidR="0071110F" w:rsidRDefault="0071110F" w:rsidP="002362E7">
            <w:pPr>
              <w:spacing w:after="0" w:line="240" w:lineRule="auto"/>
              <w:jc w:val="both"/>
              <w:rPr>
                <w:rFonts w:asciiTheme="minorHAnsi" w:hAnsiTheme="minorHAnsi" w:cstheme="minorHAnsi"/>
                <w:sz w:val="20"/>
                <w:szCs w:val="20"/>
              </w:rPr>
            </w:pPr>
            <w:r w:rsidRPr="00C334FF">
              <w:rPr>
                <w:rFonts w:asciiTheme="minorHAnsi" w:hAnsiTheme="minorHAnsi" w:cstheme="minorHAnsi"/>
                <w:color w:val="000000"/>
                <w:sz w:val="20"/>
                <w:szCs w:val="20"/>
              </w:rPr>
              <w:t xml:space="preserve">Since 2011, the Government has been procuring first-line anti-TB drugs (FLDs); since 2014 - a part of the county’s second-line anti-TB drugs (SLDs). Currently, the Government covers full needs for FLDs; the proportion of SLDs procured by the Government has been gradually increasing during 2018-2020 from </w:t>
            </w:r>
            <w:r w:rsidRPr="00000135">
              <w:rPr>
                <w:rFonts w:asciiTheme="minorHAnsi" w:hAnsiTheme="minorHAnsi" w:cstheme="minorHAnsi"/>
                <w:color w:val="000000"/>
                <w:sz w:val="20"/>
                <w:szCs w:val="20"/>
              </w:rPr>
              <w:t xml:space="preserve">46% to 50% and 63%. </w:t>
            </w:r>
            <w:r w:rsidR="007B02C4" w:rsidRPr="00000135">
              <w:rPr>
                <w:rFonts w:asciiTheme="minorHAnsi" w:hAnsiTheme="minorHAnsi" w:cstheme="minorHAnsi"/>
                <w:color w:val="000000"/>
                <w:sz w:val="20"/>
                <w:szCs w:val="20"/>
              </w:rPr>
              <w:t>In</w:t>
            </w:r>
            <w:r w:rsidR="007B02C4">
              <w:rPr>
                <w:rFonts w:asciiTheme="minorHAnsi" w:hAnsiTheme="minorHAnsi" w:cstheme="minorHAnsi"/>
                <w:color w:val="000000"/>
                <w:sz w:val="20"/>
                <w:szCs w:val="20"/>
              </w:rPr>
              <w:t xml:space="preserve"> June 2020 the NTCP </w:t>
            </w:r>
            <w:r w:rsidRPr="00C334FF">
              <w:rPr>
                <w:rFonts w:asciiTheme="minorHAnsi" w:hAnsiTheme="minorHAnsi" w:cstheme="minorHAnsi"/>
                <w:sz w:val="20"/>
                <w:szCs w:val="20"/>
              </w:rPr>
              <w:t xml:space="preserve">has revised the treatment protocol to include the most recent WHO recommendations </w:t>
            </w:r>
            <w:r w:rsidRPr="00C334FF">
              <w:rPr>
                <w:rFonts w:asciiTheme="minorHAnsi" w:hAnsiTheme="minorHAnsi" w:cstheme="minorHAnsi"/>
                <w:noProof/>
                <w:sz w:val="20"/>
                <w:szCs w:val="20"/>
              </w:rPr>
              <w:t>(WHO 2019)</w:t>
            </w:r>
            <w:r w:rsidRPr="00C334FF">
              <w:rPr>
                <w:rFonts w:asciiTheme="minorHAnsi" w:hAnsiTheme="minorHAnsi" w:cstheme="minorHAnsi"/>
                <w:sz w:val="20"/>
                <w:szCs w:val="20"/>
              </w:rPr>
              <w:t>. Introduction of modified treatment guideline allows patients to receive shorter and all oral regimens, which is expected to contribute to better treatment outcomes. The country participates in Operational Research which includes administration of “</w:t>
            </w:r>
            <w:r w:rsidRPr="007B02C4">
              <w:rPr>
                <w:rFonts w:asciiTheme="minorHAnsi" w:hAnsiTheme="minorHAnsi" w:cstheme="minorHAnsi"/>
                <w:sz w:val="20"/>
                <w:szCs w:val="20"/>
              </w:rPr>
              <w:t>S</w:t>
            </w:r>
            <w:r w:rsidRPr="00C334FF">
              <w:rPr>
                <w:rFonts w:asciiTheme="minorHAnsi" w:hAnsiTheme="minorHAnsi" w:cstheme="minorHAnsi"/>
                <w:sz w:val="20"/>
                <w:szCs w:val="20"/>
              </w:rPr>
              <w:t>hort, all-</w:t>
            </w:r>
            <w:r w:rsidRPr="007B02C4">
              <w:rPr>
                <w:rFonts w:asciiTheme="minorHAnsi" w:hAnsiTheme="minorHAnsi" w:cstheme="minorHAnsi"/>
                <w:sz w:val="20"/>
                <w:szCs w:val="20"/>
              </w:rPr>
              <w:t>O</w:t>
            </w:r>
            <w:r w:rsidRPr="00C334FF">
              <w:rPr>
                <w:rFonts w:asciiTheme="minorHAnsi" w:hAnsiTheme="minorHAnsi" w:cstheme="minorHAnsi"/>
                <w:sz w:val="20"/>
                <w:szCs w:val="20"/>
              </w:rPr>
              <w:t xml:space="preserve">ral </w:t>
            </w:r>
            <w:r w:rsidRPr="007B02C4">
              <w:rPr>
                <w:rFonts w:asciiTheme="minorHAnsi" w:hAnsiTheme="minorHAnsi" w:cstheme="minorHAnsi"/>
                <w:sz w:val="20"/>
                <w:szCs w:val="20"/>
              </w:rPr>
              <w:t>R</w:t>
            </w:r>
            <w:r w:rsidRPr="00C334FF">
              <w:rPr>
                <w:rFonts w:asciiTheme="minorHAnsi" w:hAnsiTheme="minorHAnsi" w:cstheme="minorHAnsi"/>
                <w:sz w:val="20"/>
                <w:szCs w:val="20"/>
              </w:rPr>
              <w:t xml:space="preserve">egimens for </w:t>
            </w:r>
            <w:r w:rsidRPr="007B02C4">
              <w:rPr>
                <w:rFonts w:asciiTheme="minorHAnsi" w:hAnsiTheme="minorHAnsi" w:cstheme="minorHAnsi"/>
                <w:sz w:val="20"/>
                <w:szCs w:val="20"/>
              </w:rPr>
              <w:t>R</w:t>
            </w:r>
            <w:r w:rsidRPr="00C334FF">
              <w:rPr>
                <w:rFonts w:asciiTheme="minorHAnsi" w:hAnsiTheme="minorHAnsi" w:cstheme="minorHAnsi"/>
                <w:sz w:val="20"/>
                <w:szCs w:val="20"/>
              </w:rPr>
              <w:t xml:space="preserve">ifampicin-resistant </w:t>
            </w:r>
            <w:r w:rsidRPr="007B02C4">
              <w:rPr>
                <w:rFonts w:asciiTheme="minorHAnsi" w:hAnsiTheme="minorHAnsi" w:cstheme="minorHAnsi"/>
                <w:sz w:val="20"/>
                <w:szCs w:val="20"/>
              </w:rPr>
              <w:t>T</w:t>
            </w:r>
            <w:r w:rsidRPr="00C334FF">
              <w:rPr>
                <w:rFonts w:asciiTheme="minorHAnsi" w:hAnsiTheme="minorHAnsi" w:cstheme="minorHAnsi"/>
                <w:sz w:val="20"/>
                <w:szCs w:val="20"/>
              </w:rPr>
              <w:t xml:space="preserve">uberculosis” </w:t>
            </w:r>
            <w:r w:rsidRPr="007B02C4">
              <w:rPr>
                <w:rFonts w:asciiTheme="minorHAnsi" w:hAnsiTheme="minorHAnsi" w:cstheme="minorHAnsi"/>
                <w:sz w:val="20"/>
                <w:szCs w:val="20"/>
              </w:rPr>
              <w:t>(</w:t>
            </w:r>
            <w:r w:rsidR="002145BF">
              <w:rPr>
                <w:rFonts w:asciiTheme="minorHAnsi" w:hAnsiTheme="minorHAnsi" w:cstheme="minorHAnsi"/>
                <w:sz w:val="20"/>
                <w:szCs w:val="20"/>
              </w:rPr>
              <w:t xml:space="preserve">started in </w:t>
            </w:r>
            <w:r w:rsidRPr="007B02C4">
              <w:rPr>
                <w:rFonts w:asciiTheme="minorHAnsi" w:hAnsiTheme="minorHAnsi" w:cstheme="minorHAnsi"/>
                <w:sz w:val="20"/>
                <w:szCs w:val="20"/>
              </w:rPr>
              <w:t>2019</w:t>
            </w:r>
            <w:r w:rsidR="002145BF">
              <w:rPr>
                <w:rFonts w:asciiTheme="minorHAnsi" w:hAnsiTheme="minorHAnsi" w:cstheme="minorHAnsi"/>
                <w:sz w:val="20"/>
                <w:szCs w:val="20"/>
              </w:rPr>
              <w:t xml:space="preserve"> by WHO EURO with partial support form TB REP 2.0</w:t>
            </w:r>
            <w:r w:rsidRPr="007B02C4">
              <w:rPr>
                <w:rFonts w:asciiTheme="minorHAnsi" w:hAnsiTheme="minorHAnsi" w:cstheme="minorHAnsi"/>
                <w:sz w:val="20"/>
                <w:szCs w:val="20"/>
              </w:rPr>
              <w:t>)</w:t>
            </w:r>
            <w:r w:rsidRPr="00C334FF">
              <w:rPr>
                <w:rFonts w:asciiTheme="minorHAnsi" w:hAnsiTheme="minorHAnsi" w:cstheme="minorHAnsi"/>
                <w:sz w:val="20"/>
                <w:szCs w:val="20"/>
              </w:rPr>
              <w:t xml:space="preserve">. The new drugs and new regimens require strong systems for patient </w:t>
            </w:r>
            <w:r w:rsidRPr="00C334FF">
              <w:rPr>
                <w:rFonts w:asciiTheme="minorHAnsi" w:hAnsiTheme="minorHAnsi" w:cstheme="minorHAnsi"/>
                <w:sz w:val="20"/>
                <w:szCs w:val="20"/>
              </w:rPr>
              <w:lastRenderedPageBreak/>
              <w:t xml:space="preserve">monitoring, drug management and pharmacovigilance for preventing severe adverse events and development of resistance to new drugs - related aspects are presented under the RSSH component. </w:t>
            </w:r>
          </w:p>
          <w:p w14:paraId="7FA56017" w14:textId="77777777" w:rsidR="00E80360" w:rsidRDefault="00E80360" w:rsidP="002362E7">
            <w:pPr>
              <w:spacing w:after="0" w:line="240" w:lineRule="auto"/>
              <w:jc w:val="both"/>
              <w:rPr>
                <w:rFonts w:asciiTheme="minorHAnsi" w:hAnsiTheme="minorHAnsi" w:cstheme="minorHAnsi"/>
                <w:sz w:val="20"/>
                <w:szCs w:val="20"/>
              </w:rPr>
            </w:pPr>
          </w:p>
          <w:p w14:paraId="65CF50CA" w14:textId="07370C70" w:rsidR="0046043E" w:rsidRDefault="0071110F" w:rsidP="002362E7">
            <w:pPr>
              <w:spacing w:after="0" w:line="240" w:lineRule="auto"/>
              <w:jc w:val="both"/>
              <w:rPr>
                <w:rFonts w:asciiTheme="minorHAnsi" w:hAnsiTheme="minorHAnsi" w:cstheme="minorHAnsi"/>
                <w:sz w:val="20"/>
                <w:szCs w:val="20"/>
              </w:rPr>
            </w:pPr>
            <w:r w:rsidRPr="00DF1C90">
              <w:rPr>
                <w:rFonts w:asciiTheme="minorHAnsi" w:hAnsiTheme="minorHAnsi" w:cstheme="minorHAnsi"/>
                <w:b/>
                <w:sz w:val="20"/>
                <w:szCs w:val="20"/>
              </w:rPr>
              <w:t>People-centered support:</w:t>
            </w:r>
            <w:r>
              <w:rPr>
                <w:rFonts w:asciiTheme="minorHAnsi" w:hAnsiTheme="minorHAnsi" w:cstheme="minorHAnsi"/>
                <w:sz w:val="20"/>
                <w:szCs w:val="20"/>
              </w:rPr>
              <w:t xml:space="preserve"> a</w:t>
            </w:r>
            <w:r w:rsidRPr="00C334FF">
              <w:rPr>
                <w:rFonts w:asciiTheme="minorHAnsi" w:hAnsiTheme="minorHAnsi" w:cstheme="minorHAnsi"/>
                <w:sz w:val="20"/>
                <w:szCs w:val="20"/>
              </w:rPr>
              <w:t xml:space="preserve">daptation of the people-centered model of TB care is supported by a range of innovative treatment service delivery interventions: </w:t>
            </w:r>
            <w:r w:rsidR="00E80360" w:rsidRPr="00C334FF">
              <w:rPr>
                <w:rFonts w:asciiTheme="minorHAnsi" w:hAnsiTheme="minorHAnsi" w:cstheme="minorHAnsi"/>
                <w:sz w:val="20"/>
                <w:szCs w:val="20"/>
              </w:rPr>
              <w:t xml:space="preserve">provider incentives in PHC </w:t>
            </w:r>
            <w:r w:rsidR="00E80360">
              <w:rPr>
                <w:rFonts w:asciiTheme="minorHAnsi" w:hAnsiTheme="minorHAnsi" w:cstheme="minorHAnsi"/>
                <w:sz w:val="20"/>
                <w:szCs w:val="20"/>
              </w:rPr>
              <w:t xml:space="preserve">(P4P for early detection and treatment success), </w:t>
            </w:r>
            <w:r w:rsidRPr="00C334FF">
              <w:rPr>
                <w:rFonts w:asciiTheme="minorHAnsi" w:hAnsiTheme="minorHAnsi" w:cstheme="minorHAnsi"/>
                <w:sz w:val="20"/>
                <w:szCs w:val="20"/>
              </w:rPr>
              <w:t xml:space="preserve">patient incentives, patient support community centers, </w:t>
            </w:r>
            <w:r w:rsidR="00E80360">
              <w:rPr>
                <w:rFonts w:asciiTheme="minorHAnsi" w:hAnsiTheme="minorHAnsi" w:cstheme="minorHAnsi"/>
                <w:sz w:val="20"/>
                <w:szCs w:val="20"/>
              </w:rPr>
              <w:t xml:space="preserve">CSO-led peer-to-peer support and community interventions, and </w:t>
            </w:r>
            <w:r w:rsidRPr="00C334FF">
              <w:rPr>
                <w:rFonts w:asciiTheme="minorHAnsi" w:hAnsiTheme="minorHAnsi" w:cstheme="minorHAnsi"/>
                <w:sz w:val="20"/>
                <w:szCs w:val="20"/>
              </w:rPr>
              <w:t xml:space="preserve">digital adherence technologies. </w:t>
            </w:r>
          </w:p>
          <w:p w14:paraId="65E4D3AA" w14:textId="77777777" w:rsidR="00E80360" w:rsidRDefault="00E80360" w:rsidP="002362E7">
            <w:pPr>
              <w:spacing w:after="0" w:line="240" w:lineRule="auto"/>
              <w:jc w:val="both"/>
              <w:rPr>
                <w:rFonts w:asciiTheme="minorHAnsi" w:hAnsiTheme="minorHAnsi" w:cstheme="minorHAnsi"/>
                <w:sz w:val="20"/>
                <w:szCs w:val="20"/>
              </w:rPr>
            </w:pPr>
          </w:p>
          <w:p w14:paraId="7ABCFBF3" w14:textId="406D0ED7" w:rsidR="0071110F" w:rsidRPr="00C334FF" w:rsidRDefault="0071110F" w:rsidP="002362E7">
            <w:pPr>
              <w:spacing w:after="0" w:line="240" w:lineRule="auto"/>
              <w:jc w:val="both"/>
              <w:rPr>
                <w:rFonts w:asciiTheme="minorHAnsi" w:hAnsiTheme="minorHAnsi" w:cstheme="minorHAnsi"/>
                <w:b/>
                <w:iCs/>
                <w:sz w:val="20"/>
                <w:szCs w:val="20"/>
              </w:rPr>
            </w:pPr>
            <w:r w:rsidRPr="0046043E">
              <w:rPr>
                <w:rFonts w:asciiTheme="minorHAnsi" w:hAnsiTheme="minorHAnsi" w:cstheme="minorHAnsi"/>
                <w:b/>
                <w:sz w:val="20"/>
                <w:szCs w:val="20"/>
              </w:rPr>
              <w:t>An incentive program for TB patients</w:t>
            </w:r>
            <w:r w:rsidRPr="00C334FF">
              <w:rPr>
                <w:rFonts w:asciiTheme="minorHAnsi" w:hAnsiTheme="minorHAnsi" w:cstheme="minorHAnsi"/>
                <w:sz w:val="20"/>
                <w:szCs w:val="20"/>
              </w:rPr>
              <w:t xml:space="preserve"> to improve adherence to treatment at outpatient level is in place</w:t>
            </w:r>
            <w:r w:rsidR="00E80360">
              <w:rPr>
                <w:rFonts w:asciiTheme="minorHAnsi" w:hAnsiTheme="minorHAnsi" w:cstheme="minorHAnsi"/>
                <w:sz w:val="20"/>
                <w:szCs w:val="20"/>
              </w:rPr>
              <w:t xml:space="preserve"> since 2011, initially covered by the Gf and gradually got to the phase of being</w:t>
            </w:r>
            <w:r w:rsidRPr="00C334FF">
              <w:rPr>
                <w:rFonts w:asciiTheme="minorHAnsi" w:hAnsiTheme="minorHAnsi" w:cstheme="minorHAnsi"/>
                <w:sz w:val="20"/>
                <w:szCs w:val="20"/>
              </w:rPr>
              <w:t xml:space="preserve"> pri</w:t>
            </w:r>
            <w:r w:rsidR="00E80360">
              <w:rPr>
                <w:rFonts w:asciiTheme="minorHAnsi" w:hAnsiTheme="minorHAnsi" w:cstheme="minorHAnsi"/>
                <w:sz w:val="20"/>
                <w:szCs w:val="20"/>
              </w:rPr>
              <w:t xml:space="preserve">marily funded by the NHIC for the Right Bank, with </w:t>
            </w:r>
            <w:r w:rsidRPr="00C334FF">
              <w:rPr>
                <w:rFonts w:asciiTheme="minorHAnsi" w:hAnsiTheme="minorHAnsi" w:cstheme="minorHAnsi"/>
                <w:sz w:val="20"/>
                <w:szCs w:val="20"/>
              </w:rPr>
              <w:t>cost-sharing from GF</w:t>
            </w:r>
            <w:r w:rsidR="00E80360">
              <w:rPr>
                <w:rFonts w:asciiTheme="minorHAnsi" w:hAnsiTheme="minorHAnsi" w:cstheme="minorHAnsi"/>
                <w:sz w:val="20"/>
                <w:szCs w:val="20"/>
              </w:rPr>
              <w:t xml:space="preserve"> for the Left Bank</w:t>
            </w:r>
            <w:r w:rsidRPr="00C334FF">
              <w:rPr>
                <w:rFonts w:asciiTheme="minorHAnsi" w:hAnsiTheme="minorHAnsi" w:cstheme="minorHAnsi"/>
                <w:sz w:val="20"/>
                <w:szCs w:val="20"/>
              </w:rPr>
              <w:t>. The Government, through National Health Insurance Fund, fully covers the incentive payment</w:t>
            </w:r>
            <w:r w:rsidR="00A428A7">
              <w:rPr>
                <w:rFonts w:asciiTheme="minorHAnsi" w:hAnsiTheme="minorHAnsi" w:cstheme="minorHAnsi"/>
                <w:sz w:val="20"/>
                <w:szCs w:val="20"/>
              </w:rPr>
              <w:t>s</w:t>
            </w:r>
            <w:r w:rsidRPr="00C334FF">
              <w:rPr>
                <w:rFonts w:asciiTheme="minorHAnsi" w:hAnsiTheme="minorHAnsi" w:cstheme="minorHAnsi"/>
                <w:sz w:val="20"/>
                <w:szCs w:val="20"/>
              </w:rPr>
              <w:t xml:space="preserve"> for susceptible TB patients and 75% of MDR-TB patients. Approximately the same in the size, incentives covered by GF and NHI</w:t>
            </w:r>
            <w:r w:rsidR="00A428A7">
              <w:rPr>
                <w:rFonts w:asciiTheme="minorHAnsi" w:hAnsiTheme="minorHAnsi" w:cstheme="minorHAnsi"/>
                <w:sz w:val="20"/>
                <w:szCs w:val="20"/>
              </w:rPr>
              <w:t>C</w:t>
            </w:r>
            <w:r w:rsidRPr="00C334FF">
              <w:rPr>
                <w:rFonts w:asciiTheme="minorHAnsi" w:hAnsiTheme="minorHAnsi" w:cstheme="minorHAnsi"/>
                <w:sz w:val="20"/>
                <w:szCs w:val="20"/>
              </w:rPr>
              <w:t xml:space="preserve"> differ in terms of the application approach. Patients covered by the GF funding receive cash incentives, the patients covered by NHIF receive food vouchers</w:t>
            </w:r>
            <w:r w:rsidR="00A428A7">
              <w:rPr>
                <w:rFonts w:asciiTheme="minorHAnsi" w:hAnsiTheme="minorHAnsi" w:cstheme="minorHAnsi"/>
                <w:sz w:val="20"/>
                <w:szCs w:val="20"/>
              </w:rPr>
              <w:t xml:space="preserve"> and travel reimbursement</w:t>
            </w:r>
            <w:r w:rsidRPr="00C334FF">
              <w:rPr>
                <w:rFonts w:asciiTheme="minorHAnsi" w:hAnsiTheme="minorHAnsi" w:cstheme="minorHAnsi"/>
                <w:sz w:val="20"/>
                <w:szCs w:val="20"/>
              </w:rPr>
              <w:t>.</w:t>
            </w:r>
          </w:p>
          <w:p w14:paraId="70D7C50F" w14:textId="77777777" w:rsidR="002362E7" w:rsidRDefault="002362E7" w:rsidP="002362E7">
            <w:pPr>
              <w:spacing w:after="0" w:line="240" w:lineRule="auto"/>
              <w:jc w:val="both"/>
              <w:rPr>
                <w:rFonts w:asciiTheme="minorHAnsi" w:hAnsiTheme="minorHAnsi" w:cstheme="minorHAnsi"/>
                <w:b/>
                <w:sz w:val="20"/>
                <w:szCs w:val="20"/>
              </w:rPr>
            </w:pPr>
          </w:p>
          <w:p w14:paraId="385F9B33" w14:textId="76C7FA3C" w:rsidR="002362E7" w:rsidRPr="002362E7" w:rsidRDefault="0046043E" w:rsidP="002362E7">
            <w:pPr>
              <w:spacing w:after="0" w:line="240" w:lineRule="auto"/>
              <w:jc w:val="both"/>
              <w:rPr>
                <w:rFonts w:asciiTheme="minorHAnsi" w:hAnsiTheme="minorHAnsi" w:cstheme="minorHAnsi"/>
                <w:sz w:val="20"/>
                <w:szCs w:val="20"/>
              </w:rPr>
            </w:pPr>
            <w:r w:rsidRPr="002362E7">
              <w:rPr>
                <w:rFonts w:asciiTheme="minorHAnsi" w:hAnsiTheme="minorHAnsi" w:cstheme="minorHAnsi"/>
                <w:b/>
                <w:sz w:val="20"/>
                <w:szCs w:val="20"/>
              </w:rPr>
              <w:t>CSO-led peer</w:t>
            </w:r>
            <w:r w:rsidR="002362E7" w:rsidRPr="002362E7">
              <w:rPr>
                <w:rFonts w:asciiTheme="minorHAnsi" w:hAnsiTheme="minorHAnsi" w:cstheme="minorHAnsi"/>
                <w:b/>
                <w:sz w:val="20"/>
                <w:szCs w:val="20"/>
              </w:rPr>
              <w:t>-to-peer patient</w:t>
            </w:r>
            <w:r w:rsidRPr="002362E7">
              <w:rPr>
                <w:rFonts w:asciiTheme="minorHAnsi" w:hAnsiTheme="minorHAnsi" w:cstheme="minorHAnsi"/>
                <w:b/>
                <w:sz w:val="20"/>
                <w:szCs w:val="20"/>
              </w:rPr>
              <w:t xml:space="preserve"> support</w:t>
            </w:r>
            <w:r w:rsidR="002362E7" w:rsidRPr="002362E7">
              <w:rPr>
                <w:rFonts w:asciiTheme="minorHAnsi" w:hAnsiTheme="minorHAnsi" w:cstheme="minorHAnsi"/>
                <w:b/>
                <w:sz w:val="20"/>
                <w:szCs w:val="20"/>
              </w:rPr>
              <w:t>:</w:t>
            </w:r>
            <w:r w:rsidR="002362E7">
              <w:rPr>
                <w:rFonts w:asciiTheme="minorHAnsi" w:hAnsiTheme="minorHAnsi" w:cstheme="minorHAnsi"/>
                <w:b/>
                <w:sz w:val="20"/>
                <w:szCs w:val="20"/>
              </w:rPr>
              <w:t xml:space="preserve"> </w:t>
            </w:r>
            <w:r w:rsidR="002362E7">
              <w:rPr>
                <w:rFonts w:asciiTheme="minorHAnsi" w:hAnsiTheme="minorHAnsi" w:cstheme="minorHAnsi"/>
                <w:sz w:val="20"/>
                <w:szCs w:val="20"/>
              </w:rPr>
              <w:t>this includes</w:t>
            </w:r>
            <w:r w:rsidR="002362E7" w:rsidRPr="002362E7">
              <w:rPr>
                <w:rFonts w:asciiTheme="minorHAnsi" w:hAnsiTheme="minorHAnsi" w:cstheme="minorHAnsi"/>
                <w:sz w:val="20"/>
                <w:szCs w:val="20"/>
              </w:rPr>
              <w:t xml:space="preserve"> support to increase TB treatment adherence and strengthen the capacity of TB affected people by informing about TB, educate TB patients on the importance of continuing treatment in ambulatory phase and community services available in territories, during 2013-2017 were conducted by CSO through following services: </w:t>
            </w:r>
            <w:r w:rsidR="002362E7">
              <w:rPr>
                <w:rFonts w:asciiTheme="minorHAnsi" w:hAnsiTheme="minorHAnsi" w:cstheme="minorHAnsi"/>
                <w:sz w:val="20"/>
                <w:szCs w:val="20"/>
              </w:rPr>
              <w:t xml:space="preserve">(1) </w:t>
            </w:r>
            <w:r w:rsidR="002362E7" w:rsidRPr="002362E7">
              <w:rPr>
                <w:rFonts w:asciiTheme="minorHAnsi" w:hAnsiTheme="minorHAnsi" w:cstheme="minorHAnsi"/>
                <w:sz w:val="20"/>
                <w:szCs w:val="20"/>
              </w:rPr>
              <w:t xml:space="preserve">information/counseling about treatment adherence, </w:t>
            </w:r>
            <w:r w:rsidR="002362E7">
              <w:rPr>
                <w:rFonts w:asciiTheme="minorHAnsi" w:hAnsiTheme="minorHAnsi" w:cstheme="minorHAnsi"/>
                <w:sz w:val="20"/>
                <w:szCs w:val="20"/>
              </w:rPr>
              <w:t xml:space="preserve">(2) </w:t>
            </w:r>
            <w:r w:rsidR="002362E7" w:rsidRPr="002362E7">
              <w:rPr>
                <w:rFonts w:asciiTheme="minorHAnsi" w:hAnsiTheme="minorHAnsi" w:cstheme="minorHAnsi"/>
                <w:sz w:val="20"/>
                <w:szCs w:val="20"/>
              </w:rPr>
              <w:t xml:space="preserve">support group meetings, </w:t>
            </w:r>
            <w:r w:rsidR="002362E7">
              <w:rPr>
                <w:rFonts w:asciiTheme="minorHAnsi" w:hAnsiTheme="minorHAnsi" w:cstheme="minorHAnsi"/>
                <w:sz w:val="20"/>
                <w:szCs w:val="20"/>
              </w:rPr>
              <w:t xml:space="preserve">(3) </w:t>
            </w:r>
            <w:r w:rsidR="002362E7" w:rsidRPr="002362E7">
              <w:rPr>
                <w:rFonts w:asciiTheme="minorHAnsi" w:hAnsiTheme="minorHAnsi" w:cstheme="minorHAnsi"/>
                <w:sz w:val="20"/>
                <w:szCs w:val="20"/>
              </w:rPr>
              <w:t>peer to peer counseling and education of family members on TB, to increase treatment adherence support</w:t>
            </w:r>
            <w:r w:rsidR="002362E7">
              <w:rPr>
                <w:rFonts w:asciiTheme="minorHAnsi" w:hAnsiTheme="minorHAnsi" w:cstheme="minorHAnsi"/>
                <w:sz w:val="20"/>
                <w:szCs w:val="20"/>
              </w:rPr>
              <w:t xml:space="preserve">, (4) </w:t>
            </w:r>
            <w:r w:rsidR="002362E7" w:rsidRPr="002362E7">
              <w:rPr>
                <w:rFonts w:asciiTheme="minorHAnsi" w:hAnsiTheme="minorHAnsi" w:cstheme="minorHAnsi"/>
                <w:sz w:val="20"/>
                <w:szCs w:val="20"/>
              </w:rPr>
              <w:t>awareness-raising activities to reduce stigma and discrimination in the community towards TB patients, based on collected information from people with TB about s</w:t>
            </w:r>
            <w:r w:rsidR="002362E7">
              <w:rPr>
                <w:rFonts w:asciiTheme="minorHAnsi" w:hAnsiTheme="minorHAnsi" w:cstheme="minorHAnsi"/>
                <w:sz w:val="20"/>
                <w:szCs w:val="20"/>
              </w:rPr>
              <w:t xml:space="preserve">tigma and discrimination cases, (5) </w:t>
            </w:r>
            <w:r w:rsidR="002362E7" w:rsidRPr="002362E7">
              <w:rPr>
                <w:rFonts w:asciiTheme="minorHAnsi" w:hAnsiTheme="minorHAnsi" w:cstheme="minorHAnsi"/>
                <w:sz w:val="20"/>
                <w:szCs w:val="20"/>
              </w:rPr>
              <w:t xml:space="preserve">advocacy for improved availability of resources, services and drugs, based on collected information from people with TB about quality of medical services, disruptions in incentives provision, drug stock-outs and out of pocket expenses . These activities will be continued and improved through using the community monitoring app to collect data on barriers people with TB are facing during the treatment, respond immediately to the person need helping to solve the individual case and generate data for advocacy to change identified systemic gaps. </w:t>
            </w:r>
          </w:p>
          <w:p w14:paraId="799D549F" w14:textId="372941EC" w:rsidR="0046043E" w:rsidRDefault="0046043E" w:rsidP="002362E7">
            <w:pPr>
              <w:spacing w:after="0" w:line="240" w:lineRule="auto"/>
              <w:jc w:val="both"/>
              <w:rPr>
                <w:rFonts w:asciiTheme="minorHAnsi" w:hAnsiTheme="minorHAnsi" w:cstheme="minorHAnsi"/>
                <w:b/>
                <w:sz w:val="20"/>
                <w:szCs w:val="20"/>
              </w:rPr>
            </w:pPr>
          </w:p>
          <w:p w14:paraId="3F1A9848" w14:textId="4CA19B66" w:rsidR="0071110F" w:rsidRDefault="0046043E" w:rsidP="002362E7">
            <w:pPr>
              <w:spacing w:after="0" w:line="240" w:lineRule="auto"/>
              <w:jc w:val="both"/>
              <w:rPr>
                <w:rFonts w:asciiTheme="minorHAnsi" w:hAnsiTheme="minorHAnsi" w:cstheme="minorHAnsi"/>
                <w:sz w:val="20"/>
                <w:szCs w:val="20"/>
              </w:rPr>
            </w:pPr>
            <w:r w:rsidRPr="0046043E">
              <w:rPr>
                <w:rFonts w:asciiTheme="minorHAnsi" w:hAnsiTheme="minorHAnsi" w:cstheme="minorHAnsi"/>
                <w:b/>
                <w:sz w:val="20"/>
                <w:szCs w:val="20"/>
              </w:rPr>
              <w:t>TB Support Centers</w:t>
            </w:r>
            <w:r>
              <w:rPr>
                <w:rFonts w:asciiTheme="minorHAnsi" w:hAnsiTheme="minorHAnsi" w:cstheme="minorHAnsi"/>
                <w:sz w:val="20"/>
                <w:szCs w:val="20"/>
              </w:rPr>
              <w:t>: t</w:t>
            </w:r>
            <w:r w:rsidR="0071110F" w:rsidRPr="00C334FF">
              <w:rPr>
                <w:rFonts w:asciiTheme="minorHAnsi" w:hAnsiTheme="minorHAnsi" w:cstheme="minorHAnsi"/>
                <w:sz w:val="20"/>
                <w:szCs w:val="20"/>
              </w:rPr>
              <w:t>o address the psycho</w:t>
            </w:r>
            <w:r w:rsidR="00A428A7">
              <w:rPr>
                <w:rFonts w:asciiTheme="minorHAnsi" w:hAnsiTheme="minorHAnsi" w:cstheme="minorHAnsi"/>
                <w:sz w:val="20"/>
                <w:szCs w:val="20"/>
              </w:rPr>
              <w:t>-</w:t>
            </w:r>
            <w:r w:rsidR="0071110F" w:rsidRPr="00C334FF">
              <w:rPr>
                <w:rFonts w:asciiTheme="minorHAnsi" w:hAnsiTheme="minorHAnsi" w:cstheme="minorHAnsi"/>
                <w:sz w:val="20"/>
                <w:szCs w:val="20"/>
              </w:rPr>
              <w:t xml:space="preserve">social needs </w:t>
            </w:r>
            <w:r w:rsidR="00A428A7">
              <w:rPr>
                <w:rFonts w:asciiTheme="minorHAnsi" w:hAnsiTheme="minorHAnsi" w:cstheme="minorHAnsi"/>
                <w:sz w:val="20"/>
                <w:szCs w:val="20"/>
              </w:rPr>
              <w:t xml:space="preserve">and vulnerabilities </w:t>
            </w:r>
            <w:r w:rsidR="0071110F" w:rsidRPr="00C334FF">
              <w:rPr>
                <w:rFonts w:asciiTheme="minorHAnsi" w:hAnsiTheme="minorHAnsi" w:cstheme="minorHAnsi"/>
                <w:sz w:val="20"/>
                <w:szCs w:val="20"/>
              </w:rPr>
              <w:t xml:space="preserve">during MDR-TB treatment, the country established community centers functionally attached to the outpatient TB unit at the </w:t>
            </w:r>
            <w:r w:rsidR="0071110F" w:rsidRPr="00DF1C90">
              <w:rPr>
                <w:rFonts w:asciiTheme="minorHAnsi" w:hAnsiTheme="minorHAnsi" w:cstheme="minorHAnsi"/>
                <w:sz w:val="20"/>
                <w:szCs w:val="20"/>
              </w:rPr>
              <w:t>distric</w:t>
            </w:r>
            <w:r w:rsidR="0071110F">
              <w:rPr>
                <w:rFonts w:asciiTheme="minorHAnsi" w:hAnsiTheme="minorHAnsi" w:cstheme="minorHAnsi"/>
                <w:sz w:val="20"/>
                <w:szCs w:val="20"/>
              </w:rPr>
              <w:t>t</w:t>
            </w:r>
            <w:r w:rsidR="0071110F" w:rsidRPr="00C334FF">
              <w:rPr>
                <w:rFonts w:asciiTheme="minorHAnsi" w:hAnsiTheme="minorHAnsi" w:cstheme="minorHAnsi"/>
                <w:sz w:val="20"/>
                <w:szCs w:val="20"/>
              </w:rPr>
              <w:t xml:space="preserve"> level. The first 10 community centers were established in 2011, as part of the previous GFATM grant. The psychosocial support package provided by the community centers include DOT support, information and counselling to TB patients and their families, non-compliance risk assessment and individual plan for support, referrals to the existing social services, referrals to legal counselling. As a result, the treatment success rate was higher (72% versus 62%) and the rate of lost to follow-up was significantly lower (5% versus 21%) for cases assisted by the community centers. In 2017, community </w:t>
            </w:r>
            <w:r w:rsidR="0071110F">
              <w:rPr>
                <w:rFonts w:asciiTheme="minorHAnsi" w:hAnsiTheme="minorHAnsi" w:cstheme="minorHAnsi"/>
                <w:sz w:val="20"/>
                <w:szCs w:val="20"/>
              </w:rPr>
              <w:t>centers were scaled up to all districts</w:t>
            </w:r>
            <w:r w:rsidR="0071110F" w:rsidRPr="00C334FF">
              <w:rPr>
                <w:rFonts w:asciiTheme="minorHAnsi" w:hAnsiTheme="minorHAnsi" w:cstheme="minorHAnsi"/>
                <w:sz w:val="20"/>
                <w:szCs w:val="20"/>
              </w:rPr>
              <w:t xml:space="preserve"> with gradual transition, in the following years, to the domestic fundin</w:t>
            </w:r>
            <w:r>
              <w:rPr>
                <w:rFonts w:asciiTheme="minorHAnsi" w:hAnsiTheme="minorHAnsi" w:cstheme="minorHAnsi"/>
                <w:sz w:val="20"/>
                <w:szCs w:val="20"/>
              </w:rPr>
              <w:t>g. The Government takeover of these centers</w:t>
            </w:r>
            <w:r w:rsidR="0071110F" w:rsidRPr="00C334FF">
              <w:rPr>
                <w:rFonts w:asciiTheme="minorHAnsi" w:hAnsiTheme="minorHAnsi" w:cstheme="minorHAnsi"/>
                <w:sz w:val="20"/>
                <w:szCs w:val="20"/>
              </w:rPr>
              <w:t xml:space="preserve"> occurred as integration with TB services by adding respective staff units (psychologist, social worker and DOT supporter) to the outpatient TB unit. Currently </w:t>
            </w:r>
            <w:r>
              <w:rPr>
                <w:rFonts w:asciiTheme="minorHAnsi" w:hAnsiTheme="minorHAnsi" w:cstheme="minorHAnsi"/>
                <w:sz w:val="20"/>
                <w:szCs w:val="20"/>
              </w:rPr>
              <w:t>on</w:t>
            </w:r>
            <w:r w:rsidR="0071110F" w:rsidRPr="00C334FF">
              <w:rPr>
                <w:rFonts w:asciiTheme="minorHAnsi" w:hAnsiTheme="minorHAnsi" w:cstheme="minorHAnsi"/>
                <w:sz w:val="20"/>
                <w:szCs w:val="20"/>
              </w:rPr>
              <w:t xml:space="preserve">going activities on developing the package of the support services and related purchasing mechanisms will be essential to enable strengthening the patient adherence support component of the people-centered model of TB care. In the next phase, solutions to optimize the impact of the patient adherence support will focus on improving case-management through multidisciplinary approach, including needs assessment and case management for each person affected by TB and their families. </w:t>
            </w:r>
          </w:p>
          <w:p w14:paraId="6ED36767" w14:textId="77777777" w:rsidR="002362E7" w:rsidRPr="00C334FF" w:rsidRDefault="002362E7" w:rsidP="002362E7">
            <w:pPr>
              <w:spacing w:after="0" w:line="240" w:lineRule="auto"/>
              <w:jc w:val="both"/>
              <w:rPr>
                <w:rFonts w:asciiTheme="minorHAnsi" w:hAnsiTheme="minorHAnsi" w:cstheme="minorHAnsi"/>
                <w:sz w:val="20"/>
                <w:szCs w:val="20"/>
              </w:rPr>
            </w:pPr>
          </w:p>
          <w:p w14:paraId="7A50D77F" w14:textId="5254A724" w:rsidR="0071110F" w:rsidRDefault="0046043E" w:rsidP="002362E7">
            <w:pPr>
              <w:spacing w:after="0" w:line="240" w:lineRule="auto"/>
              <w:jc w:val="both"/>
              <w:rPr>
                <w:rFonts w:asciiTheme="minorHAnsi" w:hAnsiTheme="minorHAnsi" w:cstheme="minorHAnsi"/>
                <w:sz w:val="20"/>
                <w:szCs w:val="20"/>
              </w:rPr>
            </w:pPr>
            <w:r w:rsidRPr="0046043E">
              <w:rPr>
                <w:rFonts w:asciiTheme="minorHAnsi" w:hAnsiTheme="minorHAnsi" w:cstheme="minorHAnsi"/>
                <w:b/>
                <w:sz w:val="20"/>
                <w:szCs w:val="20"/>
              </w:rPr>
              <w:t>Digital adherence tools</w:t>
            </w:r>
            <w:r>
              <w:rPr>
                <w:rFonts w:asciiTheme="minorHAnsi" w:hAnsiTheme="minorHAnsi" w:cstheme="minorHAnsi"/>
                <w:sz w:val="20"/>
                <w:szCs w:val="20"/>
              </w:rPr>
              <w:t>: a</w:t>
            </w:r>
            <w:r w:rsidR="0071110F" w:rsidRPr="00C334FF">
              <w:rPr>
                <w:rFonts w:asciiTheme="minorHAnsi" w:hAnsiTheme="minorHAnsi" w:cstheme="minorHAnsi"/>
                <w:sz w:val="20"/>
                <w:szCs w:val="20"/>
              </w:rPr>
              <w:t xml:space="preserve">nother important element of the recently introduced people-centered approaches is </w:t>
            </w:r>
            <w:r w:rsidR="00A428A7">
              <w:rPr>
                <w:rFonts w:asciiTheme="minorHAnsi" w:hAnsiTheme="minorHAnsi" w:cstheme="minorHAnsi"/>
                <w:sz w:val="20"/>
                <w:szCs w:val="20"/>
              </w:rPr>
              <w:t>introduction of digital adherence treatment</w:t>
            </w:r>
            <w:r w:rsidR="002802D7">
              <w:rPr>
                <w:rFonts w:asciiTheme="minorHAnsi" w:hAnsiTheme="minorHAnsi" w:cstheme="minorHAnsi"/>
                <w:sz w:val="20"/>
                <w:szCs w:val="20"/>
              </w:rPr>
              <w:t xml:space="preserve"> (DAT) </w:t>
            </w:r>
            <w:r w:rsidR="00A428A7">
              <w:rPr>
                <w:rFonts w:asciiTheme="minorHAnsi" w:hAnsiTheme="minorHAnsi" w:cstheme="minorHAnsi"/>
                <w:sz w:val="20"/>
                <w:szCs w:val="20"/>
              </w:rPr>
              <w:t xml:space="preserve">modality through </w:t>
            </w:r>
            <w:r w:rsidR="0071110F" w:rsidRPr="00C334FF">
              <w:rPr>
                <w:rFonts w:asciiTheme="minorHAnsi" w:hAnsiTheme="minorHAnsi" w:cstheme="minorHAnsi"/>
                <w:sz w:val="20"/>
                <w:szCs w:val="20"/>
              </w:rPr>
              <w:t>Video Observed T</w:t>
            </w:r>
            <w:r w:rsidR="0071110F">
              <w:rPr>
                <w:rFonts w:asciiTheme="minorHAnsi" w:hAnsiTheme="minorHAnsi" w:cstheme="minorHAnsi"/>
                <w:sz w:val="20"/>
                <w:szCs w:val="20"/>
              </w:rPr>
              <w:t>reatment (VOT). In 2016-2017 a consortium of partners</w:t>
            </w:r>
            <w:r w:rsidR="00A428A7">
              <w:rPr>
                <w:rFonts w:asciiTheme="minorHAnsi" w:hAnsiTheme="minorHAnsi" w:cstheme="minorHAnsi"/>
                <w:sz w:val="20"/>
                <w:szCs w:val="20"/>
              </w:rPr>
              <w:t xml:space="preserve"> </w:t>
            </w:r>
            <w:r w:rsidR="002802D7">
              <w:rPr>
                <w:rFonts w:asciiTheme="minorHAnsi" w:hAnsiTheme="minorHAnsi" w:cstheme="minorHAnsi"/>
                <w:sz w:val="20"/>
                <w:szCs w:val="20"/>
              </w:rPr>
              <w:t>has</w:t>
            </w:r>
            <w:r w:rsidR="00A428A7">
              <w:rPr>
                <w:rFonts w:asciiTheme="minorHAnsi" w:hAnsiTheme="minorHAnsi" w:cstheme="minorHAnsi"/>
                <w:sz w:val="20"/>
                <w:szCs w:val="20"/>
              </w:rPr>
              <w:t xml:space="preserve"> </w:t>
            </w:r>
            <w:r w:rsidR="00ED4670">
              <w:rPr>
                <w:rFonts w:asciiTheme="minorHAnsi" w:hAnsiTheme="minorHAnsi" w:cstheme="minorHAnsi"/>
                <w:sz w:val="20"/>
                <w:szCs w:val="20"/>
              </w:rPr>
              <w:t>conducted and trial for</w:t>
            </w:r>
            <w:r w:rsidR="0071110F" w:rsidRPr="00C334FF">
              <w:rPr>
                <w:rFonts w:asciiTheme="minorHAnsi" w:hAnsiTheme="minorHAnsi" w:cstheme="minorHAnsi"/>
                <w:sz w:val="20"/>
                <w:szCs w:val="20"/>
              </w:rPr>
              <w:t xml:space="preserve"> </w:t>
            </w:r>
            <w:r w:rsidR="002802D7">
              <w:rPr>
                <w:rFonts w:asciiTheme="minorHAnsi" w:hAnsiTheme="minorHAnsi" w:cstheme="minorHAnsi"/>
                <w:sz w:val="20"/>
                <w:szCs w:val="20"/>
              </w:rPr>
              <w:t>DAT</w:t>
            </w:r>
            <w:r w:rsidR="0071110F" w:rsidRPr="00C334FF">
              <w:rPr>
                <w:rFonts w:asciiTheme="minorHAnsi" w:hAnsiTheme="minorHAnsi" w:cstheme="minorHAnsi"/>
                <w:sz w:val="20"/>
                <w:szCs w:val="20"/>
              </w:rPr>
              <w:t xml:space="preserve"> approach in Moldova. The results showed significantly higher adherence rates, higher acceptance, and lower time and treatment-related costs for patients on VOT compared to those in DOT. Building on this successful </w:t>
            </w:r>
            <w:r w:rsidR="00ED4670">
              <w:rPr>
                <w:rFonts w:asciiTheme="minorHAnsi" w:hAnsiTheme="minorHAnsi" w:cstheme="minorHAnsi"/>
                <w:sz w:val="20"/>
                <w:szCs w:val="20"/>
              </w:rPr>
              <w:t>intervention trial,</w:t>
            </w:r>
            <w:r w:rsidR="0071110F" w:rsidRPr="00C334FF">
              <w:rPr>
                <w:rFonts w:asciiTheme="minorHAnsi" w:hAnsiTheme="minorHAnsi" w:cstheme="minorHAnsi"/>
                <w:sz w:val="20"/>
                <w:szCs w:val="20"/>
              </w:rPr>
              <w:t xml:space="preserve"> </w:t>
            </w:r>
            <w:r w:rsidR="0071110F">
              <w:rPr>
                <w:rFonts w:asciiTheme="minorHAnsi" w:hAnsiTheme="minorHAnsi" w:cstheme="minorHAnsi"/>
                <w:sz w:val="20"/>
                <w:szCs w:val="20"/>
              </w:rPr>
              <w:t>with support of TB-</w:t>
            </w:r>
            <w:r w:rsidR="0071110F" w:rsidRPr="00C334FF">
              <w:rPr>
                <w:rFonts w:asciiTheme="minorHAnsi" w:hAnsiTheme="minorHAnsi" w:cstheme="minorHAnsi"/>
                <w:sz w:val="20"/>
                <w:szCs w:val="20"/>
              </w:rPr>
              <w:t xml:space="preserve">REACH Initiative of the Stop TB Partnership, the country currently is implementing a rollout of a digital tool </w:t>
            </w:r>
            <w:r w:rsidR="0071110F" w:rsidRPr="00C334FF">
              <w:rPr>
                <w:rFonts w:asciiTheme="minorHAnsi" w:hAnsiTheme="minorHAnsi" w:cstheme="minorHAnsi"/>
                <w:i/>
                <w:sz w:val="20"/>
                <w:szCs w:val="20"/>
              </w:rPr>
              <w:t>I Like VOT</w:t>
            </w:r>
            <w:r w:rsidR="0071110F" w:rsidRPr="00C334FF">
              <w:rPr>
                <w:rFonts w:asciiTheme="minorHAnsi" w:hAnsiTheme="minorHAnsi" w:cstheme="minorHAnsi"/>
                <w:sz w:val="20"/>
                <w:szCs w:val="20"/>
              </w:rPr>
              <w:t xml:space="preserve"> to ma</w:t>
            </w:r>
            <w:r w:rsidR="0071110F">
              <w:rPr>
                <w:rFonts w:asciiTheme="minorHAnsi" w:hAnsiTheme="minorHAnsi" w:cstheme="minorHAnsi"/>
                <w:sz w:val="20"/>
                <w:szCs w:val="20"/>
              </w:rPr>
              <w:t xml:space="preserve">ke digital adherence </w:t>
            </w:r>
            <w:r w:rsidR="0071110F" w:rsidRPr="00C334FF">
              <w:rPr>
                <w:rFonts w:asciiTheme="minorHAnsi" w:hAnsiTheme="minorHAnsi" w:cstheme="minorHAnsi"/>
                <w:sz w:val="20"/>
                <w:szCs w:val="20"/>
              </w:rPr>
              <w:t>supported VOT a more feasible option</w:t>
            </w:r>
            <w:r w:rsidR="00A428A7">
              <w:rPr>
                <w:rFonts w:asciiTheme="minorHAnsi" w:hAnsiTheme="minorHAnsi" w:cstheme="minorHAnsi"/>
                <w:sz w:val="20"/>
                <w:szCs w:val="20"/>
              </w:rPr>
              <w:t xml:space="preserve"> in a few sites</w:t>
            </w:r>
            <w:r w:rsidR="0071110F" w:rsidRPr="00C334FF">
              <w:rPr>
                <w:rFonts w:asciiTheme="minorHAnsi" w:hAnsiTheme="minorHAnsi" w:cstheme="minorHAnsi"/>
                <w:sz w:val="20"/>
                <w:szCs w:val="20"/>
              </w:rPr>
              <w:t>. National scale up of VOT and home</w:t>
            </w:r>
            <w:r w:rsidR="0071110F">
              <w:rPr>
                <w:rFonts w:asciiTheme="minorHAnsi" w:hAnsiTheme="minorHAnsi" w:cstheme="minorHAnsi"/>
                <w:sz w:val="20"/>
                <w:szCs w:val="20"/>
              </w:rPr>
              <w:t>-</w:t>
            </w:r>
            <w:r w:rsidR="0071110F" w:rsidRPr="00C334FF">
              <w:rPr>
                <w:rFonts w:asciiTheme="minorHAnsi" w:hAnsiTheme="minorHAnsi" w:cstheme="minorHAnsi"/>
                <w:sz w:val="20"/>
                <w:szCs w:val="20"/>
              </w:rPr>
              <w:t xml:space="preserve">based care </w:t>
            </w:r>
            <w:r w:rsidR="00A428A7">
              <w:rPr>
                <w:rFonts w:asciiTheme="minorHAnsi" w:hAnsiTheme="minorHAnsi" w:cstheme="minorHAnsi"/>
                <w:sz w:val="20"/>
                <w:szCs w:val="20"/>
              </w:rPr>
              <w:t>is</w:t>
            </w:r>
            <w:r w:rsidR="0071110F" w:rsidRPr="00C334FF">
              <w:rPr>
                <w:rFonts w:asciiTheme="minorHAnsi" w:hAnsiTheme="minorHAnsi" w:cstheme="minorHAnsi"/>
                <w:sz w:val="20"/>
                <w:szCs w:val="20"/>
              </w:rPr>
              <w:t xml:space="preserve"> prioritized for</w:t>
            </w:r>
            <w:r w:rsidR="00A428A7">
              <w:rPr>
                <w:rFonts w:asciiTheme="minorHAnsi" w:hAnsiTheme="minorHAnsi" w:cstheme="minorHAnsi"/>
                <w:sz w:val="20"/>
                <w:szCs w:val="20"/>
              </w:rPr>
              <w:t xml:space="preserve"> GF support</w:t>
            </w:r>
            <w:r w:rsidR="0071110F" w:rsidRPr="00C334FF">
              <w:rPr>
                <w:rFonts w:asciiTheme="minorHAnsi" w:hAnsiTheme="minorHAnsi" w:cstheme="minorHAnsi"/>
                <w:sz w:val="20"/>
                <w:szCs w:val="20"/>
              </w:rPr>
              <w:t xml:space="preserve"> the next period to support health system transformation for better TB outcomes. </w:t>
            </w:r>
          </w:p>
          <w:p w14:paraId="030F777A" w14:textId="77777777" w:rsidR="002362E7" w:rsidRPr="00C334FF" w:rsidRDefault="002362E7" w:rsidP="002362E7">
            <w:pPr>
              <w:spacing w:after="0" w:line="240" w:lineRule="auto"/>
              <w:jc w:val="both"/>
              <w:rPr>
                <w:rFonts w:asciiTheme="minorHAnsi" w:hAnsiTheme="minorHAnsi" w:cstheme="minorHAnsi"/>
                <w:sz w:val="20"/>
                <w:szCs w:val="20"/>
              </w:rPr>
            </w:pPr>
          </w:p>
          <w:p w14:paraId="0741448F" w14:textId="717B31F6" w:rsidR="0066560C" w:rsidRPr="007D773E" w:rsidRDefault="0066560C" w:rsidP="0066560C">
            <w:pPr>
              <w:jc w:val="both"/>
              <w:rPr>
                <w:rFonts w:cs="Brandon Grotesque Light"/>
                <w:color w:val="000000"/>
                <w:sz w:val="20"/>
              </w:rPr>
            </w:pPr>
            <w:r w:rsidRPr="007D773E">
              <w:rPr>
                <w:rFonts w:cs="Brandon Grotesque Light"/>
                <w:b/>
                <w:color w:val="000000"/>
                <w:sz w:val="20"/>
              </w:rPr>
              <w:t xml:space="preserve">TB </w:t>
            </w:r>
            <w:r>
              <w:rPr>
                <w:rFonts w:cs="Brandon Grotesque Light"/>
                <w:b/>
                <w:color w:val="000000"/>
                <w:sz w:val="20"/>
              </w:rPr>
              <w:t>program</w:t>
            </w:r>
            <w:r w:rsidRPr="007D773E">
              <w:rPr>
                <w:rFonts w:cs="Brandon Grotesque Light"/>
                <w:b/>
                <w:color w:val="000000"/>
                <w:sz w:val="20"/>
              </w:rPr>
              <w:t xml:space="preserve"> in </w:t>
            </w:r>
            <w:r>
              <w:rPr>
                <w:rFonts w:cs="Brandon Grotesque Light"/>
                <w:b/>
                <w:color w:val="000000"/>
                <w:sz w:val="20"/>
              </w:rPr>
              <w:t>prison and pre-trial detention</w:t>
            </w:r>
            <w:r>
              <w:rPr>
                <w:rFonts w:cs="Brandon Grotesque Light"/>
                <w:color w:val="000000"/>
                <w:sz w:val="20"/>
              </w:rPr>
              <w:t xml:space="preserve">: TB screening includes CXR for all people in prisons </w:t>
            </w:r>
            <w:r w:rsidRPr="007D773E">
              <w:rPr>
                <w:rFonts w:cs="Brandon Grotesque Light"/>
                <w:color w:val="000000"/>
                <w:sz w:val="20"/>
              </w:rPr>
              <w:t>upon admission and then tw</w:t>
            </w:r>
            <w:r>
              <w:rPr>
                <w:rFonts w:cs="Brandon Grotesque Light"/>
                <w:color w:val="000000"/>
                <w:sz w:val="20"/>
              </w:rPr>
              <w:t>ice a year.</w:t>
            </w:r>
            <w:r w:rsidRPr="007D773E">
              <w:rPr>
                <w:rFonts w:cs="Brandon Grotesque Light"/>
                <w:color w:val="000000"/>
                <w:sz w:val="20"/>
              </w:rPr>
              <w:t xml:space="preserve"> TB screening and diagnosis is made in line with the national protocols, including Xpert MTB/Rif as first line test as well as c/DST (through contracts with labs in the civil sector). </w:t>
            </w:r>
            <w:r>
              <w:rPr>
                <w:rFonts w:cs="Brandon Grotesque Light"/>
                <w:color w:val="000000"/>
                <w:sz w:val="20"/>
              </w:rPr>
              <w:t>Currently CSOs implement pre-release interventions and case-management to ensure continuity of care between prison and community care.</w:t>
            </w:r>
            <w:r w:rsidR="00CC7C56">
              <w:rPr>
                <w:rFonts w:cs="Brandon Grotesque Light"/>
                <w:color w:val="000000"/>
                <w:sz w:val="20"/>
              </w:rPr>
              <w:t xml:space="preserve"> In 2019, 14 DS-TB people and 9 patients with MDR-TB have been released and linked to care. SLD are covered through GF, FLD are procured by M</w:t>
            </w:r>
            <w:r w:rsidR="00DD5AD7">
              <w:rPr>
                <w:rFonts w:cs="Brandon Grotesque Light"/>
                <w:color w:val="000000"/>
                <w:sz w:val="20"/>
              </w:rPr>
              <w:t>inistry of Justic</w:t>
            </w:r>
            <w:r w:rsidR="00F35F01">
              <w:rPr>
                <w:rFonts w:cs="Brandon Grotesque Light"/>
                <w:color w:val="000000"/>
                <w:sz w:val="20"/>
              </w:rPr>
              <w:t>e</w:t>
            </w:r>
            <w:r w:rsidR="00DD5AD7">
              <w:rPr>
                <w:rFonts w:cs="Brandon Grotesque Light"/>
                <w:color w:val="000000"/>
                <w:sz w:val="20"/>
              </w:rPr>
              <w:t xml:space="preserve"> (Mo</w:t>
            </w:r>
            <w:r w:rsidR="00CC7C56">
              <w:rPr>
                <w:rFonts w:cs="Brandon Grotesque Light"/>
                <w:color w:val="000000"/>
                <w:sz w:val="20"/>
              </w:rPr>
              <w:t>J</w:t>
            </w:r>
            <w:r w:rsidR="00DD5AD7">
              <w:rPr>
                <w:rFonts w:cs="Brandon Grotesque Light"/>
                <w:color w:val="000000"/>
                <w:sz w:val="20"/>
              </w:rPr>
              <w:t>)</w:t>
            </w:r>
            <w:r w:rsidR="00CC7C56">
              <w:rPr>
                <w:rFonts w:cs="Brandon Grotesque Light"/>
                <w:color w:val="000000"/>
                <w:sz w:val="20"/>
              </w:rPr>
              <w:t xml:space="preserve"> tender by the Agency for Public Procurement of Medicines through separate bids, with plans to have one pooled procurement for the country starting 2021. TB/HIV bidirectional activities in prions TB and HIV screening and ART and TB treatment enrolment</w:t>
            </w:r>
            <w:r w:rsidR="00CC7C56">
              <w:rPr>
                <w:rStyle w:val="FootnoteReference"/>
                <w:rFonts w:cs="Brandon Grotesque Light"/>
                <w:color w:val="000000"/>
                <w:sz w:val="20"/>
              </w:rPr>
              <w:footnoteReference w:id="27"/>
            </w:r>
            <w:r w:rsidR="00CC7C56">
              <w:rPr>
                <w:rFonts w:cs="Brandon Grotesque Light"/>
                <w:color w:val="000000"/>
                <w:sz w:val="20"/>
              </w:rPr>
              <w:t xml:space="preserve">.  </w:t>
            </w:r>
          </w:p>
          <w:p w14:paraId="0A681F12" w14:textId="578A245A" w:rsidR="0071110F" w:rsidRDefault="0071110F" w:rsidP="002362E7">
            <w:pPr>
              <w:spacing w:after="0" w:line="240" w:lineRule="auto"/>
              <w:jc w:val="both"/>
              <w:rPr>
                <w:rFonts w:eastAsia="Times New Roman" w:cstheme="minorHAnsi"/>
                <w:sz w:val="20"/>
                <w:szCs w:val="20"/>
              </w:rPr>
            </w:pPr>
            <w:r w:rsidRPr="00FF4FA9">
              <w:rPr>
                <w:rStyle w:val="e24kjd"/>
                <w:rFonts w:asciiTheme="majorHAnsi" w:hAnsiTheme="majorHAnsi" w:cstheme="majorHAnsi"/>
                <w:b/>
                <w:sz w:val="20"/>
                <w:szCs w:val="20"/>
              </w:rPr>
              <w:t>TB/HIV collaborati</w:t>
            </w:r>
            <w:r w:rsidR="00FA4481">
              <w:rPr>
                <w:rStyle w:val="e24kjd"/>
                <w:rFonts w:asciiTheme="majorHAnsi" w:hAnsiTheme="majorHAnsi" w:cstheme="majorHAnsi"/>
                <w:b/>
                <w:sz w:val="20"/>
                <w:szCs w:val="20"/>
              </w:rPr>
              <w:t>ve activities</w:t>
            </w:r>
            <w:r w:rsidRPr="00FF4FA9">
              <w:rPr>
                <w:rStyle w:val="e24kjd"/>
                <w:rFonts w:asciiTheme="majorHAnsi" w:hAnsiTheme="majorHAnsi" w:cstheme="majorHAnsi"/>
                <w:b/>
                <w:sz w:val="20"/>
                <w:szCs w:val="20"/>
              </w:rPr>
              <w:t xml:space="preserve">: </w:t>
            </w:r>
            <w:r w:rsidRPr="00FF4FA9">
              <w:rPr>
                <w:rFonts w:asciiTheme="minorHAnsi" w:hAnsiTheme="minorHAnsi" w:cstheme="minorHAnsi"/>
                <w:sz w:val="20"/>
                <w:szCs w:val="20"/>
              </w:rPr>
              <w:t>in Moldova</w:t>
            </w:r>
            <w:r w:rsidRPr="00FF4FA9">
              <w:rPr>
                <w:rStyle w:val="e24kjd"/>
                <w:rFonts w:asciiTheme="majorHAnsi" w:hAnsiTheme="majorHAnsi" w:cstheme="majorHAnsi"/>
                <w:b/>
                <w:sz w:val="20"/>
                <w:szCs w:val="20"/>
              </w:rPr>
              <w:t xml:space="preserve">, </w:t>
            </w:r>
            <w:r w:rsidRPr="00FF4FA9">
              <w:rPr>
                <w:rFonts w:asciiTheme="minorHAnsi" w:hAnsiTheme="minorHAnsi" w:cstheme="minorHAnsi"/>
                <w:sz w:val="20"/>
                <w:szCs w:val="20"/>
              </w:rPr>
              <w:t xml:space="preserve">TB is by far the greater killer of people living with HIV (PLHIV) </w:t>
            </w:r>
            <w:r>
              <w:rPr>
                <w:rFonts w:asciiTheme="minorHAnsi" w:hAnsiTheme="minorHAnsi" w:cstheme="minorHAnsi"/>
                <w:sz w:val="20"/>
                <w:szCs w:val="20"/>
              </w:rPr>
              <w:t xml:space="preserve">while </w:t>
            </w:r>
            <w:r w:rsidRPr="00FF4FA9">
              <w:rPr>
                <w:rFonts w:asciiTheme="minorHAnsi" w:hAnsiTheme="minorHAnsi" w:cstheme="minorHAnsi"/>
                <w:sz w:val="20"/>
                <w:szCs w:val="20"/>
              </w:rPr>
              <w:t xml:space="preserve">HIV co-infection affects 10% of TB patients and does not impact the overall TB epidemic. </w:t>
            </w:r>
            <w:r w:rsidRPr="00FF4FA9">
              <w:rPr>
                <w:rFonts w:eastAsia="Times New Roman" w:cstheme="minorHAnsi"/>
                <w:sz w:val="20"/>
                <w:szCs w:val="20"/>
              </w:rPr>
              <w:t xml:space="preserve">Optima TB suggests that </w:t>
            </w:r>
            <w:r w:rsidRPr="00FF4FA9">
              <w:rPr>
                <w:rFonts w:eastAsia="Times New Roman" w:cstheme="minorHAnsi"/>
                <w:sz w:val="20"/>
                <w:szCs w:val="20"/>
              </w:rPr>
              <w:lastRenderedPageBreak/>
              <w:t>improving link between ART and TB treatment will lead to reaching 90-90-90 would result in reduced active TB prevalence of 30% and TB-related deaths by 50% among PLHIV</w:t>
            </w:r>
            <w:r>
              <w:rPr>
                <w:rFonts w:eastAsia="Times New Roman" w:cstheme="minorHAnsi"/>
                <w:sz w:val="20"/>
                <w:szCs w:val="20"/>
              </w:rPr>
              <w:t>.</w:t>
            </w:r>
            <w:r w:rsidRPr="00FF4FA9">
              <w:rPr>
                <w:rFonts w:asciiTheme="minorHAnsi" w:hAnsiTheme="minorHAnsi" w:cstheme="minorHAnsi"/>
                <w:sz w:val="20"/>
                <w:szCs w:val="20"/>
              </w:rPr>
              <w:t xml:space="preserve"> An external assessment highlighted that the public health approach to the HIV epidemic is in a younger phase compared to that against TB. HIV services decentralization is still in the initial phase, while TB services are strong and effectively organized at all levels and made a series o</w:t>
            </w:r>
            <w:r>
              <w:rPr>
                <w:rFonts w:asciiTheme="minorHAnsi" w:hAnsiTheme="minorHAnsi" w:cstheme="minorHAnsi"/>
                <w:sz w:val="20"/>
                <w:szCs w:val="20"/>
              </w:rPr>
              <w:t>f</w:t>
            </w:r>
            <w:r w:rsidRPr="00FF4FA9">
              <w:rPr>
                <w:rFonts w:asciiTheme="minorHAnsi" w:hAnsiTheme="minorHAnsi" w:cstheme="minorHAnsi"/>
                <w:sz w:val="20"/>
                <w:szCs w:val="20"/>
              </w:rPr>
              <w:t xml:space="preserve"> recommendation in improving screening</w:t>
            </w:r>
            <w:r>
              <w:rPr>
                <w:rFonts w:asciiTheme="minorHAnsi" w:hAnsiTheme="minorHAnsi" w:cstheme="minorHAnsi"/>
                <w:sz w:val="20"/>
                <w:szCs w:val="20"/>
              </w:rPr>
              <w:t>,</w:t>
            </w:r>
            <w:r w:rsidRPr="00FF4FA9">
              <w:rPr>
                <w:rFonts w:asciiTheme="minorHAnsi" w:hAnsiTheme="minorHAnsi" w:cstheme="minorHAnsi"/>
                <w:sz w:val="20"/>
                <w:szCs w:val="20"/>
              </w:rPr>
              <w:t xml:space="preserve"> early diagnosis and care for patients particularly ART timely initiation</w:t>
            </w:r>
            <w:r w:rsidRPr="00FF4FA9">
              <w:rPr>
                <w:sz w:val="20"/>
                <w:szCs w:val="20"/>
              </w:rPr>
              <w:t>.</w:t>
            </w:r>
            <w:r w:rsidRPr="00FF4FA9">
              <w:rPr>
                <w:rStyle w:val="FootnoteReference"/>
                <w:sz w:val="20"/>
                <w:szCs w:val="20"/>
              </w:rPr>
              <w:footnoteReference w:id="28"/>
            </w:r>
            <w:r w:rsidRPr="00FF4FA9">
              <w:rPr>
                <w:sz w:val="20"/>
                <w:szCs w:val="20"/>
              </w:rPr>
              <w:t xml:space="preserve"> </w:t>
            </w:r>
            <w:r w:rsidRPr="00FF4FA9">
              <w:rPr>
                <w:rFonts w:eastAsia="Times New Roman" w:cstheme="minorHAnsi"/>
                <w:sz w:val="20"/>
                <w:szCs w:val="20"/>
              </w:rPr>
              <w:t xml:space="preserve">The </w:t>
            </w:r>
            <w:r>
              <w:rPr>
                <w:rFonts w:eastAsia="Times New Roman" w:cstheme="minorHAnsi"/>
                <w:sz w:val="20"/>
                <w:szCs w:val="20"/>
              </w:rPr>
              <w:t>audit</w:t>
            </w:r>
            <w:r w:rsidRPr="00FF4FA9">
              <w:rPr>
                <w:rFonts w:eastAsia="Times New Roman" w:cstheme="minorHAnsi"/>
                <w:sz w:val="20"/>
                <w:szCs w:val="20"/>
              </w:rPr>
              <w:t xml:space="preserve"> of TB/HIV cases performed by PAS</w:t>
            </w:r>
            <w:r w:rsidR="00FA4481">
              <w:rPr>
                <w:rFonts w:eastAsia="Times New Roman" w:cstheme="minorHAnsi"/>
                <w:sz w:val="20"/>
                <w:szCs w:val="20"/>
              </w:rPr>
              <w:t xml:space="preserve"> Center</w:t>
            </w:r>
            <w:r w:rsidRPr="00FF4FA9">
              <w:rPr>
                <w:rFonts w:eastAsia="Times New Roman" w:cstheme="minorHAnsi"/>
                <w:sz w:val="20"/>
                <w:szCs w:val="20"/>
              </w:rPr>
              <w:t xml:space="preserve"> in </w:t>
            </w:r>
            <w:r>
              <w:rPr>
                <w:rFonts w:eastAsia="Times New Roman" w:cstheme="minorHAnsi"/>
                <w:sz w:val="20"/>
                <w:szCs w:val="20"/>
              </w:rPr>
              <w:t xml:space="preserve">2016 (2012 – 2014 </w:t>
            </w:r>
            <w:r w:rsidR="002802D7">
              <w:rPr>
                <w:rFonts w:eastAsia="Times New Roman" w:cstheme="minorHAnsi"/>
                <w:sz w:val="20"/>
                <w:szCs w:val="20"/>
              </w:rPr>
              <w:t>cohort</w:t>
            </w:r>
            <w:r>
              <w:rPr>
                <w:rFonts w:eastAsia="Times New Roman" w:cstheme="minorHAnsi"/>
                <w:sz w:val="20"/>
                <w:szCs w:val="20"/>
              </w:rPr>
              <w:t xml:space="preserve">) provided insight </w:t>
            </w:r>
            <w:r w:rsidR="002802D7">
              <w:rPr>
                <w:rFonts w:eastAsia="Times New Roman" w:cstheme="minorHAnsi"/>
                <w:sz w:val="20"/>
                <w:szCs w:val="20"/>
              </w:rPr>
              <w:t xml:space="preserve">on key </w:t>
            </w:r>
            <w:r w:rsidRPr="00FF4FA9">
              <w:rPr>
                <w:rFonts w:eastAsia="Times New Roman" w:cstheme="minorHAnsi"/>
                <w:sz w:val="20"/>
                <w:szCs w:val="20"/>
              </w:rPr>
              <w:t>challenges</w:t>
            </w:r>
            <w:r w:rsidR="002802D7">
              <w:rPr>
                <w:rFonts w:eastAsia="Times New Roman" w:cstheme="minorHAnsi"/>
                <w:sz w:val="20"/>
                <w:szCs w:val="20"/>
              </w:rPr>
              <w:t xml:space="preserve"> and bottlenecks</w:t>
            </w:r>
            <w:r w:rsidRPr="00FF4FA9">
              <w:rPr>
                <w:rFonts w:eastAsia="Times New Roman" w:cstheme="minorHAnsi"/>
                <w:sz w:val="20"/>
                <w:szCs w:val="20"/>
              </w:rPr>
              <w:t xml:space="preserve"> of clinical management of TB/HIV in Moldova</w:t>
            </w:r>
            <w:r w:rsidR="002802D7">
              <w:rPr>
                <w:rFonts w:eastAsia="Times New Roman" w:cstheme="minorHAnsi"/>
                <w:sz w:val="20"/>
                <w:szCs w:val="20"/>
              </w:rPr>
              <w:t xml:space="preserve"> </w:t>
            </w:r>
            <w:r>
              <w:rPr>
                <w:rFonts w:eastAsia="Times New Roman" w:cstheme="minorHAnsi"/>
                <w:sz w:val="20"/>
                <w:szCs w:val="20"/>
              </w:rPr>
              <w:t>delays along cascade.</w:t>
            </w:r>
            <w:r>
              <w:rPr>
                <w:rStyle w:val="FootnoteReference"/>
                <w:rFonts w:eastAsia="Times New Roman" w:cstheme="minorHAnsi"/>
                <w:sz w:val="20"/>
                <w:szCs w:val="20"/>
              </w:rPr>
              <w:footnoteReference w:id="29"/>
            </w:r>
            <w:r>
              <w:rPr>
                <w:rFonts w:eastAsia="Times New Roman" w:cstheme="minorHAnsi"/>
                <w:sz w:val="20"/>
                <w:szCs w:val="20"/>
              </w:rPr>
              <w:t xml:space="preserve"> </w:t>
            </w:r>
            <w:r w:rsidRPr="004E2091">
              <w:rPr>
                <w:rFonts w:asciiTheme="minorHAnsi" w:hAnsiTheme="minorHAnsi" w:cstheme="minorHAnsi"/>
                <w:sz w:val="20"/>
                <w:szCs w:val="20"/>
              </w:rPr>
              <w:t>Since 2017</w:t>
            </w:r>
            <w:r w:rsidRPr="004E2091">
              <w:rPr>
                <w:rFonts w:asciiTheme="minorHAnsi" w:hAnsiTheme="minorHAnsi" w:cstheme="minorHAnsi"/>
                <w:szCs w:val="20"/>
              </w:rPr>
              <w:t xml:space="preserve"> </w:t>
            </w:r>
            <w:r w:rsidRPr="004E2091">
              <w:rPr>
                <w:rFonts w:asciiTheme="minorHAnsi" w:hAnsiTheme="minorHAnsi" w:cstheme="minorHAnsi"/>
                <w:sz w:val="20"/>
                <w:szCs w:val="20"/>
              </w:rPr>
              <w:t>coordination between the two programs and joint management of co-infection has significantly improved</w:t>
            </w:r>
            <w:r>
              <w:rPr>
                <w:rFonts w:asciiTheme="minorHAnsi" w:hAnsiTheme="minorHAnsi" w:cstheme="minorHAnsi"/>
                <w:sz w:val="20"/>
                <w:szCs w:val="20"/>
              </w:rPr>
              <w:t xml:space="preserve">. </w:t>
            </w:r>
            <w:r w:rsidRPr="00FF4FA9">
              <w:rPr>
                <w:rFonts w:eastAsia="Times New Roman" w:cstheme="minorHAnsi"/>
                <w:sz w:val="20"/>
                <w:szCs w:val="20"/>
              </w:rPr>
              <w:t xml:space="preserve">HIV testing rate among TB patients stays high at 97% and 88% patients enrolled on ART in 2019.  </w:t>
            </w:r>
            <w:r>
              <w:rPr>
                <w:rFonts w:eastAsia="Times New Roman" w:cstheme="minorHAnsi"/>
                <w:sz w:val="20"/>
                <w:szCs w:val="20"/>
              </w:rPr>
              <w:t>Moving forward collaborative approach at national and local levels and integration with other health and social services are a key priority.</w:t>
            </w:r>
          </w:p>
          <w:p w14:paraId="69A167AF" w14:textId="77777777" w:rsidR="00CC7C56" w:rsidRDefault="00CC7C56" w:rsidP="002362E7">
            <w:pPr>
              <w:spacing w:after="0" w:line="240" w:lineRule="auto"/>
              <w:jc w:val="both"/>
              <w:rPr>
                <w:rFonts w:eastAsia="Times New Roman" w:cstheme="minorHAnsi"/>
                <w:sz w:val="20"/>
                <w:szCs w:val="20"/>
              </w:rPr>
            </w:pPr>
          </w:p>
          <w:p w14:paraId="6C208856" w14:textId="5A37D2C9" w:rsidR="00FA4481" w:rsidRPr="00FA4481" w:rsidRDefault="00FA4481" w:rsidP="002362E7">
            <w:pPr>
              <w:spacing w:after="0" w:line="240" w:lineRule="auto"/>
              <w:jc w:val="both"/>
              <w:rPr>
                <w:rFonts w:eastAsia="Times New Roman" w:cstheme="minorHAnsi"/>
                <w:b/>
                <w:sz w:val="20"/>
                <w:szCs w:val="20"/>
              </w:rPr>
            </w:pPr>
            <w:r w:rsidRPr="00FA4481">
              <w:rPr>
                <w:rFonts w:eastAsia="Times New Roman" w:cstheme="minorHAnsi"/>
                <w:b/>
                <w:sz w:val="20"/>
                <w:szCs w:val="20"/>
              </w:rPr>
              <w:t>Key TB/HIV indicators (2015-2019)</w:t>
            </w:r>
          </w:p>
          <w:tbl>
            <w:tblPr>
              <w:tblStyle w:val="ListTable3-Accent5"/>
              <w:tblW w:w="5000" w:type="pct"/>
              <w:tblLook w:val="04A0" w:firstRow="1" w:lastRow="0" w:firstColumn="1" w:lastColumn="0" w:noHBand="0" w:noVBand="1"/>
            </w:tblPr>
            <w:tblGrid>
              <w:gridCol w:w="5390"/>
              <w:gridCol w:w="968"/>
              <w:gridCol w:w="968"/>
              <w:gridCol w:w="968"/>
              <w:gridCol w:w="968"/>
              <w:gridCol w:w="968"/>
            </w:tblGrid>
            <w:tr w:rsidR="00FA4481" w:rsidRPr="00FA4481" w14:paraId="58523C46" w14:textId="77777777" w:rsidTr="008376E7">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2633" w:type="pct"/>
                  <w:shd w:val="clear" w:color="auto" w:fill="0070C0"/>
                  <w:hideMark/>
                </w:tcPr>
                <w:p w14:paraId="048B5403" w14:textId="77777777" w:rsidR="00FA4481" w:rsidRPr="00FA4481" w:rsidRDefault="00FA4481" w:rsidP="00FA4481">
                  <w:pPr>
                    <w:spacing w:after="0" w:line="240" w:lineRule="auto"/>
                    <w:rPr>
                      <w:rFonts w:ascii="Calibri" w:eastAsia="Times New Roman" w:hAnsi="Calibri" w:cs="Calibri"/>
                      <w:color w:val="000000"/>
                      <w:sz w:val="20"/>
                      <w:szCs w:val="20"/>
                    </w:rPr>
                  </w:pPr>
                  <w:r w:rsidRPr="00FA4481">
                    <w:rPr>
                      <w:rFonts w:ascii="Calibri" w:eastAsia="Times New Roman" w:hAnsi="Calibri" w:cs="Calibri"/>
                      <w:color w:val="000000"/>
                      <w:sz w:val="20"/>
                      <w:szCs w:val="20"/>
                    </w:rPr>
                    <w:t> </w:t>
                  </w:r>
                </w:p>
              </w:tc>
              <w:tc>
                <w:tcPr>
                  <w:tcW w:w="473" w:type="pct"/>
                  <w:shd w:val="clear" w:color="auto" w:fill="0070C0"/>
                  <w:hideMark/>
                </w:tcPr>
                <w:p w14:paraId="7022A0E6" w14:textId="77777777" w:rsidR="00FA4481" w:rsidRPr="00FA4481" w:rsidRDefault="00FA4481" w:rsidP="00FA44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0"/>
                    </w:rPr>
                  </w:pPr>
                  <w:r w:rsidRPr="00FA4481">
                    <w:rPr>
                      <w:rFonts w:ascii="Calibri" w:eastAsia="Times New Roman" w:hAnsi="Calibri" w:cs="Calibri"/>
                      <w:szCs w:val="20"/>
                    </w:rPr>
                    <w:t>2015</w:t>
                  </w:r>
                </w:p>
              </w:tc>
              <w:tc>
                <w:tcPr>
                  <w:tcW w:w="473" w:type="pct"/>
                  <w:shd w:val="clear" w:color="auto" w:fill="0070C0"/>
                  <w:hideMark/>
                </w:tcPr>
                <w:p w14:paraId="7B837F07" w14:textId="77777777" w:rsidR="00FA4481" w:rsidRPr="00FA4481" w:rsidRDefault="00FA4481" w:rsidP="00FA44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0"/>
                    </w:rPr>
                  </w:pPr>
                  <w:r w:rsidRPr="00FA4481">
                    <w:rPr>
                      <w:rFonts w:ascii="Calibri" w:eastAsia="Times New Roman" w:hAnsi="Calibri" w:cs="Calibri"/>
                      <w:szCs w:val="20"/>
                    </w:rPr>
                    <w:t>2016</w:t>
                  </w:r>
                </w:p>
              </w:tc>
              <w:tc>
                <w:tcPr>
                  <w:tcW w:w="473" w:type="pct"/>
                  <w:shd w:val="clear" w:color="auto" w:fill="0070C0"/>
                  <w:hideMark/>
                </w:tcPr>
                <w:p w14:paraId="7EAD29E6" w14:textId="77777777" w:rsidR="00FA4481" w:rsidRPr="00FA4481" w:rsidRDefault="00FA4481" w:rsidP="00FA44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0"/>
                    </w:rPr>
                  </w:pPr>
                  <w:r w:rsidRPr="00FA4481">
                    <w:rPr>
                      <w:rFonts w:ascii="Calibri" w:eastAsia="Times New Roman" w:hAnsi="Calibri" w:cs="Calibri"/>
                      <w:szCs w:val="20"/>
                    </w:rPr>
                    <w:t>2017</w:t>
                  </w:r>
                </w:p>
              </w:tc>
              <w:tc>
                <w:tcPr>
                  <w:tcW w:w="473" w:type="pct"/>
                  <w:shd w:val="clear" w:color="auto" w:fill="0070C0"/>
                  <w:hideMark/>
                </w:tcPr>
                <w:p w14:paraId="542D4E38" w14:textId="77777777" w:rsidR="00FA4481" w:rsidRPr="00FA4481" w:rsidRDefault="00FA4481" w:rsidP="00FA44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0"/>
                    </w:rPr>
                  </w:pPr>
                  <w:r w:rsidRPr="00FA4481">
                    <w:rPr>
                      <w:rFonts w:ascii="Calibri" w:eastAsia="Times New Roman" w:hAnsi="Calibri" w:cs="Calibri"/>
                      <w:szCs w:val="20"/>
                    </w:rPr>
                    <w:t>2018</w:t>
                  </w:r>
                </w:p>
              </w:tc>
              <w:tc>
                <w:tcPr>
                  <w:tcW w:w="473" w:type="pct"/>
                  <w:shd w:val="clear" w:color="auto" w:fill="0070C0"/>
                  <w:hideMark/>
                </w:tcPr>
                <w:p w14:paraId="691EA94F" w14:textId="77777777" w:rsidR="00FA4481" w:rsidRPr="00FA4481" w:rsidRDefault="00FA4481" w:rsidP="00FA44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0"/>
                    </w:rPr>
                  </w:pPr>
                  <w:r w:rsidRPr="00FA4481">
                    <w:rPr>
                      <w:rFonts w:ascii="Calibri" w:eastAsia="Times New Roman" w:hAnsi="Calibri" w:cs="Calibri"/>
                      <w:szCs w:val="20"/>
                    </w:rPr>
                    <w:t>2019</w:t>
                  </w:r>
                </w:p>
              </w:tc>
            </w:tr>
            <w:tr w:rsidR="00FA4481" w:rsidRPr="00FA4481" w14:paraId="62F9C0F8" w14:textId="77777777" w:rsidTr="00FA448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633" w:type="pct"/>
                  <w:hideMark/>
                </w:tcPr>
                <w:p w14:paraId="65DF3DF1" w14:textId="77777777" w:rsidR="00FA4481" w:rsidRPr="008376E7" w:rsidRDefault="00FA4481" w:rsidP="00FA4481">
                  <w:pPr>
                    <w:spacing w:after="0" w:line="240" w:lineRule="auto"/>
                    <w:rPr>
                      <w:rFonts w:asciiTheme="minorHAnsi" w:eastAsia="Times New Roman" w:hAnsiTheme="minorHAnsi" w:cstheme="minorHAnsi"/>
                      <w:b w:val="0"/>
                      <w:color w:val="000000"/>
                      <w:sz w:val="20"/>
                    </w:rPr>
                  </w:pPr>
                  <w:r w:rsidRPr="008376E7">
                    <w:rPr>
                      <w:rFonts w:asciiTheme="minorHAnsi" w:eastAsia="Times New Roman" w:hAnsiTheme="minorHAnsi" w:cstheme="minorHAnsi"/>
                      <w:b w:val="0"/>
                      <w:color w:val="000000"/>
                      <w:sz w:val="20"/>
                    </w:rPr>
                    <w:t>Total of new and relapse cases and cases with unknown previous TB treatment history</w:t>
                  </w:r>
                </w:p>
              </w:tc>
              <w:tc>
                <w:tcPr>
                  <w:tcW w:w="473" w:type="pct"/>
                  <w:hideMark/>
                </w:tcPr>
                <w:p w14:paraId="405831B3" w14:textId="77777777" w:rsidR="00FA4481" w:rsidRPr="00FA4481" w:rsidRDefault="00FA4481" w:rsidP="00FA44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3,608</w:t>
                  </w:r>
                </w:p>
              </w:tc>
              <w:tc>
                <w:tcPr>
                  <w:tcW w:w="473" w:type="pct"/>
                  <w:hideMark/>
                </w:tcPr>
                <w:p w14:paraId="12777021" w14:textId="77777777" w:rsidR="00FA4481" w:rsidRPr="00FA4481" w:rsidRDefault="00FA4481" w:rsidP="00FA44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3,571</w:t>
                  </w:r>
                </w:p>
              </w:tc>
              <w:tc>
                <w:tcPr>
                  <w:tcW w:w="473" w:type="pct"/>
                  <w:hideMark/>
                </w:tcPr>
                <w:p w14:paraId="0B155C23" w14:textId="77777777" w:rsidR="00FA4481" w:rsidRPr="00FA4481" w:rsidRDefault="00FA4481" w:rsidP="00FA44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3,358</w:t>
                  </w:r>
                </w:p>
              </w:tc>
              <w:tc>
                <w:tcPr>
                  <w:tcW w:w="473" w:type="pct"/>
                  <w:hideMark/>
                </w:tcPr>
                <w:p w14:paraId="4D7C5C64" w14:textId="77777777" w:rsidR="00FA4481" w:rsidRPr="00FA4481" w:rsidRDefault="00FA4481" w:rsidP="00FA44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3,022</w:t>
                  </w:r>
                </w:p>
              </w:tc>
              <w:tc>
                <w:tcPr>
                  <w:tcW w:w="473" w:type="pct"/>
                  <w:hideMark/>
                </w:tcPr>
                <w:p w14:paraId="36F15294" w14:textId="77777777" w:rsidR="00FA4481" w:rsidRPr="00FA4481" w:rsidRDefault="00FA4481" w:rsidP="00FA44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2,879</w:t>
                  </w:r>
                </w:p>
              </w:tc>
            </w:tr>
            <w:tr w:rsidR="00FA4481" w:rsidRPr="00FA4481" w14:paraId="19053F45" w14:textId="77777777" w:rsidTr="00FA4481">
              <w:trPr>
                <w:trHeight w:val="300"/>
              </w:trPr>
              <w:tc>
                <w:tcPr>
                  <w:cnfStyle w:val="001000000000" w:firstRow="0" w:lastRow="0" w:firstColumn="1" w:lastColumn="0" w:oddVBand="0" w:evenVBand="0" w:oddHBand="0" w:evenHBand="0" w:firstRowFirstColumn="0" w:firstRowLastColumn="0" w:lastRowFirstColumn="0" w:lastRowLastColumn="0"/>
                  <w:tcW w:w="2633" w:type="pct"/>
                  <w:vMerge w:val="restart"/>
                  <w:hideMark/>
                </w:tcPr>
                <w:p w14:paraId="226CD5B1" w14:textId="77777777" w:rsidR="00FA4481" w:rsidRPr="008376E7" w:rsidRDefault="00FA4481" w:rsidP="00FA4481">
                  <w:pPr>
                    <w:spacing w:after="0" w:line="240" w:lineRule="auto"/>
                    <w:rPr>
                      <w:rFonts w:asciiTheme="minorHAnsi" w:eastAsia="Times New Roman" w:hAnsiTheme="minorHAnsi" w:cstheme="minorHAnsi"/>
                      <w:b w:val="0"/>
                      <w:color w:val="000000"/>
                      <w:sz w:val="20"/>
                    </w:rPr>
                  </w:pPr>
                  <w:r w:rsidRPr="008376E7">
                    <w:rPr>
                      <w:rFonts w:asciiTheme="minorHAnsi" w:eastAsia="Times New Roman" w:hAnsiTheme="minorHAnsi" w:cstheme="minorHAnsi"/>
                      <w:b w:val="0"/>
                      <w:color w:val="000000"/>
                      <w:sz w:val="20"/>
                    </w:rPr>
                    <w:t>Number of new and relapse TB patients tested for HIV at the time of TB diagnosis or with known HIV status at the time of TB diagnosis</w:t>
                  </w:r>
                </w:p>
              </w:tc>
              <w:tc>
                <w:tcPr>
                  <w:tcW w:w="473" w:type="pct"/>
                  <w:vMerge w:val="restart"/>
                  <w:hideMark/>
                </w:tcPr>
                <w:p w14:paraId="444EBAD9"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3,439</w:t>
                  </w:r>
                </w:p>
              </w:tc>
              <w:tc>
                <w:tcPr>
                  <w:tcW w:w="473" w:type="pct"/>
                  <w:vMerge w:val="restart"/>
                  <w:hideMark/>
                </w:tcPr>
                <w:p w14:paraId="1B62DE9E"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3,366</w:t>
                  </w:r>
                </w:p>
              </w:tc>
              <w:tc>
                <w:tcPr>
                  <w:tcW w:w="473" w:type="pct"/>
                  <w:vMerge w:val="restart"/>
                  <w:hideMark/>
                </w:tcPr>
                <w:p w14:paraId="3B030753"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3,188</w:t>
                  </w:r>
                </w:p>
              </w:tc>
              <w:tc>
                <w:tcPr>
                  <w:tcW w:w="473" w:type="pct"/>
                  <w:vMerge w:val="restart"/>
                  <w:hideMark/>
                </w:tcPr>
                <w:p w14:paraId="7E3CD044"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2,893</w:t>
                  </w:r>
                </w:p>
              </w:tc>
              <w:tc>
                <w:tcPr>
                  <w:tcW w:w="473" w:type="pct"/>
                  <w:vMerge w:val="restart"/>
                  <w:hideMark/>
                </w:tcPr>
                <w:p w14:paraId="7E0ECE17"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2,792</w:t>
                  </w:r>
                </w:p>
              </w:tc>
            </w:tr>
            <w:tr w:rsidR="00FA4481" w:rsidRPr="00FA4481" w14:paraId="6401EE90" w14:textId="77777777" w:rsidTr="00FA44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3" w:type="pct"/>
                  <w:vMerge/>
                  <w:hideMark/>
                </w:tcPr>
                <w:p w14:paraId="7958F7BB" w14:textId="77777777" w:rsidR="00FA4481" w:rsidRPr="008376E7" w:rsidRDefault="00FA4481" w:rsidP="00FA4481">
                  <w:pPr>
                    <w:spacing w:after="0" w:line="240" w:lineRule="auto"/>
                    <w:rPr>
                      <w:rFonts w:asciiTheme="minorHAnsi" w:eastAsia="Times New Roman" w:hAnsiTheme="minorHAnsi" w:cstheme="minorHAnsi"/>
                      <w:b w:val="0"/>
                      <w:color w:val="000000"/>
                      <w:sz w:val="20"/>
                    </w:rPr>
                  </w:pPr>
                </w:p>
              </w:tc>
              <w:tc>
                <w:tcPr>
                  <w:tcW w:w="473" w:type="pct"/>
                  <w:vMerge/>
                  <w:hideMark/>
                </w:tcPr>
                <w:p w14:paraId="6524AD94"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4B23EF4A"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3C9FD2A2"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5A606824"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3F881E5F"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FA4481" w:rsidRPr="00FA4481" w14:paraId="4EBB1CAE" w14:textId="77777777" w:rsidTr="00FA4481">
              <w:trPr>
                <w:trHeight w:val="300"/>
              </w:trPr>
              <w:tc>
                <w:tcPr>
                  <w:cnfStyle w:val="001000000000" w:firstRow="0" w:lastRow="0" w:firstColumn="1" w:lastColumn="0" w:oddVBand="0" w:evenVBand="0" w:oddHBand="0" w:evenHBand="0" w:firstRowFirstColumn="0" w:firstRowLastColumn="0" w:lastRowFirstColumn="0" w:lastRowLastColumn="0"/>
                  <w:tcW w:w="2633" w:type="pct"/>
                  <w:vMerge w:val="restart"/>
                  <w:hideMark/>
                </w:tcPr>
                <w:p w14:paraId="3929F22A" w14:textId="77777777" w:rsidR="00FA4481" w:rsidRPr="008376E7" w:rsidRDefault="00FA4481" w:rsidP="00FA4481">
                  <w:pPr>
                    <w:spacing w:after="0" w:line="240" w:lineRule="auto"/>
                    <w:rPr>
                      <w:rFonts w:asciiTheme="minorHAnsi" w:eastAsia="Times New Roman" w:hAnsiTheme="minorHAnsi" w:cstheme="minorHAnsi"/>
                      <w:b w:val="0"/>
                      <w:color w:val="000000"/>
                      <w:sz w:val="20"/>
                    </w:rPr>
                  </w:pPr>
                  <w:r w:rsidRPr="008376E7">
                    <w:rPr>
                      <w:rFonts w:asciiTheme="minorHAnsi" w:eastAsia="Times New Roman" w:hAnsiTheme="minorHAnsi" w:cstheme="minorHAnsi"/>
                      <w:b w:val="0"/>
                      <w:color w:val="000000"/>
                      <w:sz w:val="20"/>
                    </w:rPr>
                    <w:t>New and relapse TB patients tested for HIV at the time of TB diagnosis or with known HIV status at the time of TB diagnosis (percent)</w:t>
                  </w:r>
                </w:p>
              </w:tc>
              <w:tc>
                <w:tcPr>
                  <w:tcW w:w="473" w:type="pct"/>
                  <w:vMerge w:val="restart"/>
                  <w:hideMark/>
                </w:tcPr>
                <w:p w14:paraId="193C05A9"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95.3%</w:t>
                  </w:r>
                </w:p>
              </w:tc>
              <w:tc>
                <w:tcPr>
                  <w:tcW w:w="473" w:type="pct"/>
                  <w:vMerge w:val="restart"/>
                  <w:hideMark/>
                </w:tcPr>
                <w:p w14:paraId="2EB1D40D"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94.3%</w:t>
                  </w:r>
                </w:p>
              </w:tc>
              <w:tc>
                <w:tcPr>
                  <w:tcW w:w="473" w:type="pct"/>
                  <w:vMerge w:val="restart"/>
                  <w:hideMark/>
                </w:tcPr>
                <w:p w14:paraId="7720BE47"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95.1%</w:t>
                  </w:r>
                </w:p>
              </w:tc>
              <w:tc>
                <w:tcPr>
                  <w:tcW w:w="473" w:type="pct"/>
                  <w:vMerge w:val="restart"/>
                  <w:hideMark/>
                </w:tcPr>
                <w:p w14:paraId="3E30958A"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95.7%</w:t>
                  </w:r>
                </w:p>
              </w:tc>
              <w:tc>
                <w:tcPr>
                  <w:tcW w:w="473" w:type="pct"/>
                  <w:vMerge w:val="restart"/>
                  <w:hideMark/>
                </w:tcPr>
                <w:p w14:paraId="68E5B0C3"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97.0%</w:t>
                  </w:r>
                </w:p>
              </w:tc>
            </w:tr>
            <w:tr w:rsidR="00FA4481" w:rsidRPr="00FA4481" w14:paraId="785A7BFE" w14:textId="77777777" w:rsidTr="00FA44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3" w:type="pct"/>
                  <w:vMerge/>
                  <w:hideMark/>
                </w:tcPr>
                <w:p w14:paraId="7B481201" w14:textId="77777777" w:rsidR="00FA4481" w:rsidRPr="008376E7" w:rsidRDefault="00FA4481" w:rsidP="00FA4481">
                  <w:pPr>
                    <w:spacing w:after="0" w:line="240" w:lineRule="auto"/>
                    <w:rPr>
                      <w:rFonts w:asciiTheme="minorHAnsi" w:eastAsia="Times New Roman" w:hAnsiTheme="minorHAnsi" w:cstheme="minorHAnsi"/>
                      <w:b w:val="0"/>
                      <w:color w:val="000000"/>
                      <w:sz w:val="20"/>
                    </w:rPr>
                  </w:pPr>
                </w:p>
              </w:tc>
              <w:tc>
                <w:tcPr>
                  <w:tcW w:w="473" w:type="pct"/>
                  <w:vMerge/>
                  <w:hideMark/>
                </w:tcPr>
                <w:p w14:paraId="16E7A58E"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4FC6EF5C"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1DD96DCC"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3955E8A0"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2FCA20D6"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FA4481" w:rsidRPr="00FA4481" w14:paraId="6600A16F" w14:textId="77777777" w:rsidTr="00FA4481">
              <w:trPr>
                <w:trHeight w:val="300"/>
              </w:trPr>
              <w:tc>
                <w:tcPr>
                  <w:cnfStyle w:val="001000000000" w:firstRow="0" w:lastRow="0" w:firstColumn="1" w:lastColumn="0" w:oddVBand="0" w:evenVBand="0" w:oddHBand="0" w:evenHBand="0" w:firstRowFirstColumn="0" w:firstRowLastColumn="0" w:lastRowFirstColumn="0" w:lastRowLastColumn="0"/>
                  <w:tcW w:w="2633" w:type="pct"/>
                  <w:vMerge w:val="restart"/>
                  <w:hideMark/>
                </w:tcPr>
                <w:p w14:paraId="4253BFB3" w14:textId="77777777" w:rsidR="00FA4481" w:rsidRPr="008376E7" w:rsidRDefault="00FA4481" w:rsidP="00FA4481">
                  <w:pPr>
                    <w:spacing w:after="0" w:line="240" w:lineRule="auto"/>
                    <w:rPr>
                      <w:rFonts w:asciiTheme="minorHAnsi" w:eastAsia="Times New Roman" w:hAnsiTheme="minorHAnsi" w:cstheme="minorHAnsi"/>
                      <w:b w:val="0"/>
                      <w:color w:val="000000"/>
                      <w:sz w:val="20"/>
                    </w:rPr>
                  </w:pPr>
                  <w:r w:rsidRPr="008376E7">
                    <w:rPr>
                      <w:rFonts w:asciiTheme="minorHAnsi" w:eastAsia="Times New Roman" w:hAnsiTheme="minorHAnsi" w:cstheme="minorHAnsi"/>
                      <w:b w:val="0"/>
                      <w:color w:val="000000"/>
                      <w:sz w:val="20"/>
                    </w:rPr>
                    <w:t>Number of new and relapse TB patients recorded as HIV-positive</w:t>
                  </w:r>
                </w:p>
              </w:tc>
              <w:tc>
                <w:tcPr>
                  <w:tcW w:w="473" w:type="pct"/>
                  <w:vMerge w:val="restart"/>
                  <w:hideMark/>
                </w:tcPr>
                <w:p w14:paraId="21EE1CC2"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300</w:t>
                  </w:r>
                </w:p>
              </w:tc>
              <w:tc>
                <w:tcPr>
                  <w:tcW w:w="473" w:type="pct"/>
                  <w:vMerge w:val="restart"/>
                  <w:hideMark/>
                </w:tcPr>
                <w:p w14:paraId="46D1F313"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293</w:t>
                  </w:r>
                </w:p>
              </w:tc>
              <w:tc>
                <w:tcPr>
                  <w:tcW w:w="473" w:type="pct"/>
                  <w:vMerge w:val="restart"/>
                  <w:hideMark/>
                </w:tcPr>
                <w:p w14:paraId="7F670D5E"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277</w:t>
                  </w:r>
                </w:p>
              </w:tc>
              <w:tc>
                <w:tcPr>
                  <w:tcW w:w="473" w:type="pct"/>
                  <w:vMerge w:val="restart"/>
                  <w:hideMark/>
                </w:tcPr>
                <w:p w14:paraId="2F78DDD0"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248</w:t>
                  </w:r>
                </w:p>
              </w:tc>
              <w:tc>
                <w:tcPr>
                  <w:tcW w:w="473" w:type="pct"/>
                  <w:vMerge w:val="restart"/>
                  <w:hideMark/>
                </w:tcPr>
                <w:p w14:paraId="4AE24868"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294</w:t>
                  </w:r>
                </w:p>
              </w:tc>
            </w:tr>
            <w:tr w:rsidR="00FA4481" w:rsidRPr="00FA4481" w14:paraId="164C2B61" w14:textId="77777777" w:rsidTr="00FA44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3" w:type="pct"/>
                  <w:vMerge/>
                  <w:hideMark/>
                </w:tcPr>
                <w:p w14:paraId="413E0F7E" w14:textId="77777777" w:rsidR="00FA4481" w:rsidRPr="008376E7" w:rsidRDefault="00FA4481" w:rsidP="00FA4481">
                  <w:pPr>
                    <w:spacing w:after="0" w:line="240" w:lineRule="auto"/>
                    <w:rPr>
                      <w:rFonts w:asciiTheme="minorHAnsi" w:eastAsia="Times New Roman" w:hAnsiTheme="minorHAnsi" w:cstheme="minorHAnsi"/>
                      <w:b w:val="0"/>
                      <w:color w:val="000000"/>
                      <w:sz w:val="20"/>
                    </w:rPr>
                  </w:pPr>
                </w:p>
              </w:tc>
              <w:tc>
                <w:tcPr>
                  <w:tcW w:w="473" w:type="pct"/>
                  <w:vMerge/>
                  <w:hideMark/>
                </w:tcPr>
                <w:p w14:paraId="04E52B65"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66BE7444"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337F45D9"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34A753F3"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124C5B03"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FA4481" w:rsidRPr="00FA4481" w14:paraId="4A21DE1E" w14:textId="77777777" w:rsidTr="00FA4481">
              <w:trPr>
                <w:trHeight w:val="300"/>
              </w:trPr>
              <w:tc>
                <w:tcPr>
                  <w:cnfStyle w:val="001000000000" w:firstRow="0" w:lastRow="0" w:firstColumn="1" w:lastColumn="0" w:oddVBand="0" w:evenVBand="0" w:oddHBand="0" w:evenHBand="0" w:firstRowFirstColumn="0" w:firstRowLastColumn="0" w:lastRowFirstColumn="0" w:lastRowLastColumn="0"/>
                  <w:tcW w:w="2633" w:type="pct"/>
                  <w:vMerge w:val="restart"/>
                  <w:hideMark/>
                </w:tcPr>
                <w:p w14:paraId="0328DEF1" w14:textId="77777777" w:rsidR="00FA4481" w:rsidRPr="008376E7" w:rsidRDefault="00FA4481" w:rsidP="00FA4481">
                  <w:pPr>
                    <w:spacing w:after="0" w:line="240" w:lineRule="auto"/>
                    <w:rPr>
                      <w:rFonts w:asciiTheme="minorHAnsi" w:eastAsia="Times New Roman" w:hAnsiTheme="minorHAnsi" w:cstheme="minorHAnsi"/>
                      <w:b w:val="0"/>
                      <w:color w:val="000000"/>
                      <w:sz w:val="20"/>
                    </w:rPr>
                  </w:pPr>
                  <w:r w:rsidRPr="008376E7">
                    <w:rPr>
                      <w:rFonts w:asciiTheme="minorHAnsi" w:eastAsia="Times New Roman" w:hAnsiTheme="minorHAnsi" w:cstheme="minorHAnsi"/>
                      <w:b w:val="0"/>
                      <w:color w:val="000000"/>
                      <w:sz w:val="20"/>
                    </w:rPr>
                    <w:t>HIV-positive new and relapse TB patients started or continued on antiretroviral therapy</w:t>
                  </w:r>
                </w:p>
              </w:tc>
              <w:tc>
                <w:tcPr>
                  <w:tcW w:w="473" w:type="pct"/>
                  <w:vMerge w:val="restart"/>
                  <w:hideMark/>
                </w:tcPr>
                <w:p w14:paraId="51FD6797"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197</w:t>
                  </w:r>
                </w:p>
              </w:tc>
              <w:tc>
                <w:tcPr>
                  <w:tcW w:w="473" w:type="pct"/>
                  <w:vMerge w:val="restart"/>
                  <w:hideMark/>
                </w:tcPr>
                <w:p w14:paraId="017BF3DD"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193</w:t>
                  </w:r>
                </w:p>
              </w:tc>
              <w:tc>
                <w:tcPr>
                  <w:tcW w:w="473" w:type="pct"/>
                  <w:vMerge w:val="restart"/>
                  <w:hideMark/>
                </w:tcPr>
                <w:p w14:paraId="0B470DE6"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190</w:t>
                  </w:r>
                </w:p>
              </w:tc>
              <w:tc>
                <w:tcPr>
                  <w:tcW w:w="473" w:type="pct"/>
                  <w:vMerge w:val="restart"/>
                  <w:hideMark/>
                </w:tcPr>
                <w:p w14:paraId="3FECF544"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168</w:t>
                  </w:r>
                </w:p>
              </w:tc>
              <w:tc>
                <w:tcPr>
                  <w:tcW w:w="473" w:type="pct"/>
                  <w:vMerge w:val="restart"/>
                  <w:hideMark/>
                </w:tcPr>
                <w:p w14:paraId="008A0657"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260</w:t>
                  </w:r>
                </w:p>
              </w:tc>
            </w:tr>
            <w:tr w:rsidR="00FA4481" w:rsidRPr="00FA4481" w14:paraId="594A121E" w14:textId="77777777" w:rsidTr="00FA44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3" w:type="pct"/>
                  <w:vMerge/>
                  <w:hideMark/>
                </w:tcPr>
                <w:p w14:paraId="10530CAE" w14:textId="77777777" w:rsidR="00FA4481" w:rsidRPr="008376E7" w:rsidRDefault="00FA4481" w:rsidP="00FA4481">
                  <w:pPr>
                    <w:spacing w:after="0" w:line="240" w:lineRule="auto"/>
                    <w:rPr>
                      <w:rFonts w:asciiTheme="minorHAnsi" w:eastAsia="Times New Roman" w:hAnsiTheme="minorHAnsi" w:cstheme="minorHAnsi"/>
                      <w:b w:val="0"/>
                      <w:color w:val="000000"/>
                      <w:sz w:val="20"/>
                    </w:rPr>
                  </w:pPr>
                </w:p>
              </w:tc>
              <w:tc>
                <w:tcPr>
                  <w:tcW w:w="473" w:type="pct"/>
                  <w:vMerge/>
                  <w:hideMark/>
                </w:tcPr>
                <w:p w14:paraId="5D1A1DBD"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4DF3D425"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1E1E6C48"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102CBBA9"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1F27EA09"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FA4481" w:rsidRPr="00FA4481" w14:paraId="2FD1B99D" w14:textId="77777777" w:rsidTr="00FA4481">
              <w:trPr>
                <w:trHeight w:val="300"/>
              </w:trPr>
              <w:tc>
                <w:tcPr>
                  <w:cnfStyle w:val="001000000000" w:firstRow="0" w:lastRow="0" w:firstColumn="1" w:lastColumn="0" w:oddVBand="0" w:evenVBand="0" w:oddHBand="0" w:evenHBand="0" w:firstRowFirstColumn="0" w:firstRowLastColumn="0" w:lastRowFirstColumn="0" w:lastRowLastColumn="0"/>
                  <w:tcW w:w="2633" w:type="pct"/>
                  <w:vMerge w:val="restart"/>
                  <w:hideMark/>
                </w:tcPr>
                <w:p w14:paraId="09A5E13E" w14:textId="77777777" w:rsidR="00FA4481" w:rsidRPr="008376E7" w:rsidRDefault="00FA4481" w:rsidP="00FA4481">
                  <w:pPr>
                    <w:spacing w:after="0" w:line="240" w:lineRule="auto"/>
                    <w:rPr>
                      <w:rFonts w:asciiTheme="minorHAnsi" w:eastAsia="Times New Roman" w:hAnsiTheme="minorHAnsi" w:cstheme="minorHAnsi"/>
                      <w:b w:val="0"/>
                      <w:color w:val="000000"/>
                      <w:sz w:val="20"/>
                    </w:rPr>
                  </w:pPr>
                  <w:r w:rsidRPr="008376E7">
                    <w:rPr>
                      <w:rFonts w:asciiTheme="minorHAnsi" w:eastAsia="Times New Roman" w:hAnsiTheme="minorHAnsi" w:cstheme="minorHAnsi"/>
                      <w:b w:val="0"/>
                      <w:color w:val="000000"/>
                      <w:sz w:val="20"/>
                    </w:rPr>
                    <w:t>Registered HIV-positive new and relapse TB patients started or continued on antiretroviral therapy (percent)</w:t>
                  </w:r>
                </w:p>
              </w:tc>
              <w:tc>
                <w:tcPr>
                  <w:tcW w:w="473" w:type="pct"/>
                  <w:vMerge w:val="restart"/>
                  <w:hideMark/>
                </w:tcPr>
                <w:p w14:paraId="3BBEC0EB"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65.7%</w:t>
                  </w:r>
                </w:p>
              </w:tc>
              <w:tc>
                <w:tcPr>
                  <w:tcW w:w="473" w:type="pct"/>
                  <w:vMerge w:val="restart"/>
                  <w:hideMark/>
                </w:tcPr>
                <w:p w14:paraId="1FFBD675"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65.9%</w:t>
                  </w:r>
                </w:p>
              </w:tc>
              <w:tc>
                <w:tcPr>
                  <w:tcW w:w="473" w:type="pct"/>
                  <w:vMerge w:val="restart"/>
                  <w:hideMark/>
                </w:tcPr>
                <w:p w14:paraId="1B5F0D3D"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68.6%</w:t>
                  </w:r>
                </w:p>
              </w:tc>
              <w:tc>
                <w:tcPr>
                  <w:tcW w:w="473" w:type="pct"/>
                  <w:vMerge w:val="restart"/>
                  <w:hideMark/>
                </w:tcPr>
                <w:p w14:paraId="288BA29F"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67.7%</w:t>
                  </w:r>
                </w:p>
              </w:tc>
              <w:tc>
                <w:tcPr>
                  <w:tcW w:w="473" w:type="pct"/>
                  <w:vMerge w:val="restart"/>
                  <w:hideMark/>
                </w:tcPr>
                <w:p w14:paraId="0FEA6FDA"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88.4%</w:t>
                  </w:r>
                </w:p>
              </w:tc>
            </w:tr>
            <w:tr w:rsidR="00FA4481" w:rsidRPr="00FA4481" w14:paraId="60BEB820" w14:textId="77777777" w:rsidTr="00FA44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3" w:type="pct"/>
                  <w:vMerge/>
                  <w:hideMark/>
                </w:tcPr>
                <w:p w14:paraId="1BCA9773" w14:textId="77777777" w:rsidR="00FA4481" w:rsidRPr="008376E7" w:rsidRDefault="00FA4481" w:rsidP="00FA4481">
                  <w:pPr>
                    <w:spacing w:after="0" w:line="240" w:lineRule="auto"/>
                    <w:rPr>
                      <w:rFonts w:asciiTheme="minorHAnsi" w:eastAsia="Times New Roman" w:hAnsiTheme="minorHAnsi" w:cstheme="minorHAnsi"/>
                      <w:b w:val="0"/>
                      <w:color w:val="000000"/>
                      <w:sz w:val="20"/>
                    </w:rPr>
                  </w:pPr>
                </w:p>
              </w:tc>
              <w:tc>
                <w:tcPr>
                  <w:tcW w:w="473" w:type="pct"/>
                  <w:vMerge/>
                  <w:hideMark/>
                </w:tcPr>
                <w:p w14:paraId="4620E155"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76714973"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731BBD3B"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0A377566"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0C9F925D"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FA4481" w:rsidRPr="00FA4481" w14:paraId="04DF7B0E" w14:textId="77777777" w:rsidTr="00FA4481">
              <w:trPr>
                <w:trHeight w:val="300"/>
              </w:trPr>
              <w:tc>
                <w:tcPr>
                  <w:cnfStyle w:val="001000000000" w:firstRow="0" w:lastRow="0" w:firstColumn="1" w:lastColumn="0" w:oddVBand="0" w:evenVBand="0" w:oddHBand="0" w:evenHBand="0" w:firstRowFirstColumn="0" w:firstRowLastColumn="0" w:lastRowFirstColumn="0" w:lastRowLastColumn="0"/>
                  <w:tcW w:w="2633" w:type="pct"/>
                  <w:vMerge w:val="restart"/>
                  <w:hideMark/>
                </w:tcPr>
                <w:p w14:paraId="0FAA8243" w14:textId="77777777" w:rsidR="00FA4481" w:rsidRPr="008376E7" w:rsidRDefault="00FA4481" w:rsidP="00FA4481">
                  <w:pPr>
                    <w:spacing w:after="0" w:line="240" w:lineRule="auto"/>
                    <w:rPr>
                      <w:rFonts w:asciiTheme="minorHAnsi" w:eastAsia="Times New Roman" w:hAnsiTheme="minorHAnsi" w:cstheme="minorHAnsi"/>
                      <w:b w:val="0"/>
                      <w:color w:val="000000"/>
                      <w:sz w:val="20"/>
                    </w:rPr>
                  </w:pPr>
                  <w:r w:rsidRPr="008376E7">
                    <w:rPr>
                      <w:rFonts w:asciiTheme="minorHAnsi" w:eastAsia="Times New Roman" w:hAnsiTheme="minorHAnsi" w:cstheme="minorHAnsi"/>
                      <w:b w:val="0"/>
                      <w:color w:val="000000"/>
                      <w:sz w:val="20"/>
                    </w:rPr>
                    <w:t>People living with HIV newly enrolled in HIV care who started treatment for latent TB infection</w:t>
                  </w:r>
                </w:p>
              </w:tc>
              <w:tc>
                <w:tcPr>
                  <w:tcW w:w="473" w:type="pct"/>
                  <w:vMerge w:val="restart"/>
                  <w:hideMark/>
                </w:tcPr>
                <w:p w14:paraId="1B5407A1"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0</w:t>
                  </w:r>
                </w:p>
              </w:tc>
              <w:tc>
                <w:tcPr>
                  <w:tcW w:w="473" w:type="pct"/>
                  <w:vMerge w:val="restart"/>
                  <w:hideMark/>
                </w:tcPr>
                <w:p w14:paraId="01B56350"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0</w:t>
                  </w:r>
                </w:p>
              </w:tc>
              <w:tc>
                <w:tcPr>
                  <w:tcW w:w="473" w:type="pct"/>
                  <w:vMerge w:val="restart"/>
                  <w:hideMark/>
                </w:tcPr>
                <w:p w14:paraId="26AFB3E7"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76</w:t>
                  </w:r>
                </w:p>
              </w:tc>
              <w:tc>
                <w:tcPr>
                  <w:tcW w:w="473" w:type="pct"/>
                  <w:vMerge w:val="restart"/>
                  <w:hideMark/>
                </w:tcPr>
                <w:p w14:paraId="3D957578"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812</w:t>
                  </w:r>
                </w:p>
              </w:tc>
              <w:tc>
                <w:tcPr>
                  <w:tcW w:w="473" w:type="pct"/>
                  <w:vMerge w:val="restart"/>
                  <w:hideMark/>
                </w:tcPr>
                <w:p w14:paraId="29C85131"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163</w:t>
                  </w:r>
                </w:p>
              </w:tc>
            </w:tr>
            <w:tr w:rsidR="00FA4481" w:rsidRPr="00FA4481" w14:paraId="1226F263" w14:textId="77777777" w:rsidTr="00FA44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3" w:type="pct"/>
                  <w:vMerge/>
                  <w:hideMark/>
                </w:tcPr>
                <w:p w14:paraId="0C8068AF" w14:textId="77777777" w:rsidR="00FA4481" w:rsidRPr="008376E7" w:rsidRDefault="00FA4481" w:rsidP="00FA4481">
                  <w:pPr>
                    <w:spacing w:after="0" w:line="240" w:lineRule="auto"/>
                    <w:rPr>
                      <w:rFonts w:asciiTheme="minorHAnsi" w:eastAsia="Times New Roman" w:hAnsiTheme="minorHAnsi" w:cstheme="minorHAnsi"/>
                      <w:b w:val="0"/>
                      <w:color w:val="000000"/>
                      <w:sz w:val="20"/>
                    </w:rPr>
                  </w:pPr>
                </w:p>
              </w:tc>
              <w:tc>
                <w:tcPr>
                  <w:tcW w:w="473" w:type="pct"/>
                  <w:vMerge/>
                  <w:hideMark/>
                </w:tcPr>
                <w:p w14:paraId="353CB593"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750EA47C"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4DC93251"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3A9C1E46"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12423CE6"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FA4481" w:rsidRPr="00FA4481" w14:paraId="0232DF34" w14:textId="77777777" w:rsidTr="00FA4481">
              <w:trPr>
                <w:trHeight w:val="300"/>
              </w:trPr>
              <w:tc>
                <w:tcPr>
                  <w:cnfStyle w:val="001000000000" w:firstRow="0" w:lastRow="0" w:firstColumn="1" w:lastColumn="0" w:oddVBand="0" w:evenVBand="0" w:oddHBand="0" w:evenHBand="0" w:firstRowFirstColumn="0" w:firstRowLastColumn="0" w:lastRowFirstColumn="0" w:lastRowLastColumn="0"/>
                  <w:tcW w:w="2633" w:type="pct"/>
                  <w:vMerge w:val="restart"/>
                  <w:hideMark/>
                </w:tcPr>
                <w:p w14:paraId="7B2D8798" w14:textId="77777777" w:rsidR="00FA4481" w:rsidRPr="008376E7" w:rsidRDefault="00FA4481" w:rsidP="00FA4481">
                  <w:pPr>
                    <w:spacing w:after="0" w:line="240" w:lineRule="auto"/>
                    <w:rPr>
                      <w:rFonts w:asciiTheme="minorHAnsi" w:eastAsia="Times New Roman" w:hAnsiTheme="minorHAnsi" w:cstheme="minorHAnsi"/>
                      <w:b w:val="0"/>
                      <w:color w:val="000000"/>
                      <w:sz w:val="20"/>
                    </w:rPr>
                  </w:pPr>
                  <w:r w:rsidRPr="008376E7">
                    <w:rPr>
                      <w:rFonts w:asciiTheme="minorHAnsi" w:eastAsia="Times New Roman" w:hAnsiTheme="minorHAnsi" w:cstheme="minorHAnsi"/>
                      <w:b w:val="0"/>
                      <w:color w:val="000000"/>
                      <w:sz w:val="20"/>
                    </w:rPr>
                    <w:t>Total number of adults and children newly enrolled in HIV care who are diagnosed as having active TB disease during the reporting period</w:t>
                  </w:r>
                </w:p>
              </w:tc>
              <w:tc>
                <w:tcPr>
                  <w:tcW w:w="473" w:type="pct"/>
                  <w:vMerge w:val="restart"/>
                  <w:hideMark/>
                </w:tcPr>
                <w:p w14:paraId="1CB7C4F0"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N/A</w:t>
                  </w:r>
                </w:p>
              </w:tc>
              <w:tc>
                <w:tcPr>
                  <w:tcW w:w="473" w:type="pct"/>
                  <w:vMerge w:val="restart"/>
                  <w:hideMark/>
                </w:tcPr>
                <w:p w14:paraId="510AE242"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N/A</w:t>
                  </w:r>
                </w:p>
              </w:tc>
              <w:tc>
                <w:tcPr>
                  <w:tcW w:w="473" w:type="pct"/>
                  <w:vMerge w:val="restart"/>
                  <w:hideMark/>
                </w:tcPr>
                <w:p w14:paraId="2996EB39"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N/A</w:t>
                  </w:r>
                </w:p>
              </w:tc>
              <w:tc>
                <w:tcPr>
                  <w:tcW w:w="473" w:type="pct"/>
                  <w:vMerge w:val="restart"/>
                  <w:hideMark/>
                </w:tcPr>
                <w:p w14:paraId="1DCABD1B"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123</w:t>
                  </w:r>
                </w:p>
              </w:tc>
              <w:tc>
                <w:tcPr>
                  <w:tcW w:w="473" w:type="pct"/>
                  <w:vMerge w:val="restart"/>
                  <w:hideMark/>
                </w:tcPr>
                <w:p w14:paraId="05C56EA8"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132</w:t>
                  </w:r>
                </w:p>
              </w:tc>
            </w:tr>
            <w:tr w:rsidR="00FA4481" w:rsidRPr="00FA4481" w14:paraId="1DD75937" w14:textId="77777777" w:rsidTr="00FA44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3" w:type="pct"/>
                  <w:vMerge/>
                  <w:hideMark/>
                </w:tcPr>
                <w:p w14:paraId="74A97BE5" w14:textId="77777777" w:rsidR="00FA4481" w:rsidRPr="008376E7" w:rsidRDefault="00FA4481" w:rsidP="00FA4481">
                  <w:pPr>
                    <w:spacing w:after="0" w:line="240" w:lineRule="auto"/>
                    <w:rPr>
                      <w:rFonts w:asciiTheme="minorHAnsi" w:eastAsia="Times New Roman" w:hAnsiTheme="minorHAnsi" w:cstheme="minorHAnsi"/>
                      <w:b w:val="0"/>
                      <w:color w:val="000000"/>
                      <w:sz w:val="20"/>
                    </w:rPr>
                  </w:pPr>
                </w:p>
              </w:tc>
              <w:tc>
                <w:tcPr>
                  <w:tcW w:w="473" w:type="pct"/>
                  <w:vMerge/>
                  <w:hideMark/>
                </w:tcPr>
                <w:p w14:paraId="2502EE44"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7C7B6AA9"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25B7CBEF"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17175117"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748E9AD8"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FA4481" w:rsidRPr="00FA4481" w14:paraId="088EA0E8" w14:textId="77777777" w:rsidTr="00FA4481">
              <w:trPr>
                <w:trHeight w:val="300"/>
              </w:trPr>
              <w:tc>
                <w:tcPr>
                  <w:cnfStyle w:val="001000000000" w:firstRow="0" w:lastRow="0" w:firstColumn="1" w:lastColumn="0" w:oddVBand="0" w:evenVBand="0" w:oddHBand="0" w:evenHBand="0" w:firstRowFirstColumn="0" w:firstRowLastColumn="0" w:lastRowFirstColumn="0" w:lastRowLastColumn="0"/>
                  <w:tcW w:w="2633" w:type="pct"/>
                  <w:vMerge w:val="restart"/>
                  <w:hideMark/>
                </w:tcPr>
                <w:p w14:paraId="6986597C" w14:textId="77777777" w:rsidR="00FA4481" w:rsidRPr="008376E7" w:rsidRDefault="00FA4481" w:rsidP="00FA4481">
                  <w:pPr>
                    <w:spacing w:after="0" w:line="240" w:lineRule="auto"/>
                    <w:rPr>
                      <w:rFonts w:asciiTheme="minorHAnsi" w:eastAsia="Times New Roman" w:hAnsiTheme="minorHAnsi" w:cstheme="minorHAnsi"/>
                      <w:b w:val="0"/>
                      <w:color w:val="000000"/>
                      <w:sz w:val="20"/>
                    </w:rPr>
                  </w:pPr>
                  <w:r w:rsidRPr="008376E7">
                    <w:rPr>
                      <w:rFonts w:asciiTheme="minorHAnsi" w:eastAsia="Times New Roman" w:hAnsiTheme="minorHAnsi" w:cstheme="minorHAnsi"/>
                      <w:b w:val="0"/>
                      <w:color w:val="000000"/>
                      <w:sz w:val="20"/>
                    </w:rPr>
                    <w:t xml:space="preserve">Treatment success rate for HIV-positive TB cases (percent) </w:t>
                  </w:r>
                  <w:r w:rsidRPr="008376E7">
                    <w:rPr>
                      <w:rFonts w:asciiTheme="minorHAnsi" w:eastAsia="Times New Roman" w:hAnsiTheme="minorHAnsi" w:cstheme="minorHAnsi"/>
                      <w:b w:val="0"/>
                      <w:sz w:val="20"/>
                    </w:rPr>
                    <w:t>new case  and relapse</w:t>
                  </w:r>
                </w:p>
              </w:tc>
              <w:tc>
                <w:tcPr>
                  <w:tcW w:w="473" w:type="pct"/>
                  <w:vMerge w:val="restart"/>
                  <w:hideMark/>
                </w:tcPr>
                <w:p w14:paraId="6223E753"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58.6%</w:t>
                  </w:r>
                </w:p>
              </w:tc>
              <w:tc>
                <w:tcPr>
                  <w:tcW w:w="473" w:type="pct"/>
                  <w:vMerge w:val="restart"/>
                  <w:hideMark/>
                </w:tcPr>
                <w:p w14:paraId="166E4FF8"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62.0%</w:t>
                  </w:r>
                </w:p>
              </w:tc>
              <w:tc>
                <w:tcPr>
                  <w:tcW w:w="473" w:type="pct"/>
                  <w:vMerge w:val="restart"/>
                  <w:hideMark/>
                </w:tcPr>
                <w:p w14:paraId="20FE9764"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61.3%</w:t>
                  </w:r>
                </w:p>
              </w:tc>
              <w:tc>
                <w:tcPr>
                  <w:tcW w:w="473" w:type="pct"/>
                  <w:vMerge w:val="restart"/>
                  <w:hideMark/>
                </w:tcPr>
                <w:p w14:paraId="620296F1"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69.5%</w:t>
                  </w:r>
                </w:p>
              </w:tc>
              <w:tc>
                <w:tcPr>
                  <w:tcW w:w="473" w:type="pct"/>
                  <w:vMerge w:val="restart"/>
                  <w:hideMark/>
                </w:tcPr>
                <w:p w14:paraId="18657D8F" w14:textId="77777777" w:rsidR="00FA4481" w:rsidRPr="00FA4481" w:rsidRDefault="00FA4481" w:rsidP="00FA44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A4481">
                    <w:rPr>
                      <w:rFonts w:ascii="Calibri" w:eastAsia="Times New Roman" w:hAnsi="Calibri" w:cs="Calibri"/>
                      <w:color w:val="000000"/>
                    </w:rPr>
                    <w:t>N/A</w:t>
                  </w:r>
                </w:p>
              </w:tc>
            </w:tr>
            <w:tr w:rsidR="00FA4481" w:rsidRPr="00FA4481" w14:paraId="1A811A0B" w14:textId="77777777" w:rsidTr="00FA44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33" w:type="pct"/>
                  <w:vMerge/>
                  <w:hideMark/>
                </w:tcPr>
                <w:p w14:paraId="62BFA278" w14:textId="77777777" w:rsidR="00FA4481" w:rsidRPr="00FA4481" w:rsidRDefault="00FA4481" w:rsidP="00FA4481">
                  <w:pPr>
                    <w:spacing w:after="0" w:line="240" w:lineRule="auto"/>
                    <w:rPr>
                      <w:rFonts w:ascii="Calibri" w:eastAsia="Times New Roman" w:hAnsi="Calibri" w:cs="Calibri"/>
                      <w:color w:val="000000"/>
                    </w:rPr>
                  </w:pPr>
                </w:p>
              </w:tc>
              <w:tc>
                <w:tcPr>
                  <w:tcW w:w="473" w:type="pct"/>
                  <w:vMerge/>
                  <w:hideMark/>
                </w:tcPr>
                <w:p w14:paraId="6CC8CCA7"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6E60148E"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77018F62"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11E68FED"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73" w:type="pct"/>
                  <w:vMerge/>
                  <w:hideMark/>
                </w:tcPr>
                <w:p w14:paraId="552C2B2C" w14:textId="77777777" w:rsidR="00FA4481" w:rsidRPr="00FA4481" w:rsidRDefault="00FA4481" w:rsidP="00FA44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bl>
          <w:p w14:paraId="106AF56E" w14:textId="3BBAF32D" w:rsidR="000F2330" w:rsidRPr="00F35F01" w:rsidRDefault="00F35F01" w:rsidP="000F2330">
            <w:pPr>
              <w:jc w:val="both"/>
              <w:rPr>
                <w:rStyle w:val="e24kjd"/>
                <w:rFonts w:asciiTheme="majorHAnsi" w:hAnsiTheme="majorHAnsi" w:cstheme="majorHAnsi"/>
                <w:sz w:val="18"/>
              </w:rPr>
            </w:pPr>
            <w:r w:rsidRPr="00F35F01">
              <w:rPr>
                <w:rFonts w:asciiTheme="minorHAnsi" w:hAnsiTheme="minorHAnsi" w:cstheme="minorHAnsi"/>
                <w:iCs/>
                <w:sz w:val="18"/>
                <w:szCs w:val="20"/>
              </w:rPr>
              <w:t xml:space="preserve">Source: </w:t>
            </w:r>
            <w:r w:rsidRPr="00F35F01">
              <w:rPr>
                <w:rFonts w:asciiTheme="minorHAnsi" w:hAnsiTheme="minorHAnsi" w:cstheme="minorHAnsi"/>
                <w:color w:val="404040" w:themeColor="text1"/>
                <w:sz w:val="18"/>
                <w:szCs w:val="20"/>
              </w:rPr>
              <w:t xml:space="preserve">NTCP </w:t>
            </w:r>
            <w:r>
              <w:rPr>
                <w:rFonts w:asciiTheme="minorHAnsi" w:hAnsiTheme="minorHAnsi" w:cstheme="minorHAnsi"/>
                <w:color w:val="404040" w:themeColor="text1"/>
                <w:sz w:val="18"/>
                <w:szCs w:val="20"/>
              </w:rPr>
              <w:t xml:space="preserve">and NAP routine statistics data </w:t>
            </w:r>
          </w:p>
          <w:p w14:paraId="70E7A95C" w14:textId="083911C2" w:rsidR="000F2330" w:rsidRDefault="000F2330" w:rsidP="000F2330">
            <w:pPr>
              <w:jc w:val="both"/>
              <w:rPr>
                <w:rStyle w:val="e24kjd"/>
                <w:rFonts w:asciiTheme="majorHAnsi" w:hAnsiTheme="majorHAnsi" w:cstheme="majorHAnsi"/>
                <w:sz w:val="20"/>
              </w:rPr>
            </w:pPr>
            <w:r>
              <w:rPr>
                <w:rStyle w:val="e24kjd"/>
                <w:rFonts w:asciiTheme="majorHAnsi" w:hAnsiTheme="majorHAnsi" w:cstheme="majorHAnsi"/>
                <w:b/>
                <w:sz w:val="20"/>
              </w:rPr>
              <w:t xml:space="preserve">TB </w:t>
            </w:r>
            <w:r w:rsidRPr="00836107">
              <w:rPr>
                <w:rStyle w:val="e24kjd"/>
                <w:rFonts w:asciiTheme="majorHAnsi" w:hAnsiTheme="majorHAnsi" w:cstheme="majorHAnsi"/>
                <w:b/>
                <w:sz w:val="20"/>
                <w:szCs w:val="20"/>
              </w:rPr>
              <w:t xml:space="preserve">M&amp;E system: </w:t>
            </w:r>
            <w:r w:rsidRPr="00836107">
              <w:rPr>
                <w:rStyle w:val="e24kjd"/>
                <w:rFonts w:asciiTheme="majorHAnsi" w:hAnsiTheme="majorHAnsi" w:cstheme="majorHAnsi"/>
                <w:sz w:val="20"/>
                <w:szCs w:val="20"/>
              </w:rPr>
              <w:t xml:space="preserve">the M&amp;E unit of the national TB control program operates at the Institute of Phthisio-Pulmonology "Chiril Draganiuc", it does not have specific budget and depends on the donor funding. The list of activities includes coordination of program, development and implementation of strategies in the phthisio-pulmonology service; generalization, processing and analysis of information from the phthisio-pulmonology service. </w:t>
            </w:r>
            <w:r w:rsidRPr="00836107">
              <w:rPr>
                <w:sz w:val="20"/>
                <w:szCs w:val="20"/>
              </w:rPr>
              <w:t>The TB surveillance system consists of paper-based and an electronic case-based register called SIME TB, which is a real-time web-based application with nationwide coverage including the penitentiary system. The routine surveillance data are available on the NTP website and widely used</w:t>
            </w:r>
            <w:r>
              <w:rPr>
                <w:sz w:val="20"/>
                <w:szCs w:val="20"/>
              </w:rPr>
              <w:t xml:space="preserve"> for peer-reviewed publications</w:t>
            </w:r>
            <w:r w:rsidRPr="00836107">
              <w:rPr>
                <w:sz w:val="20"/>
                <w:szCs w:val="20"/>
              </w:rPr>
              <w:t xml:space="preserve"> The TB register is designed to capture a minimum set of variables for all reported TB cases, which includes age, gender, bacteriological results etc.  In addition, detailed information on socioeconomic status and underlying risk factors is collected. It includes area of residence (urban vs rural), occupation, living conditions, history of incarceration, number of household contacts and comorbidities, as well as HIV status and ART treatment</w:t>
            </w:r>
            <w:r>
              <w:rPr>
                <w:sz w:val="20"/>
                <w:szCs w:val="20"/>
              </w:rPr>
              <w:t xml:space="preserve">. </w:t>
            </w:r>
            <w:r w:rsidRPr="00836107">
              <w:rPr>
                <w:sz w:val="20"/>
                <w:szCs w:val="20"/>
              </w:rPr>
              <w:t xml:space="preserve">The data flow between clinicians and the laboratory is smooth, however, the laboratory and patient modules of SIME TB are not integrated (i.e., manual data entry of the laboratory data is required into the patient module of SIME TB). Data quality assessment procedures are in place, both automatic upon data entry as well as supervisory visits. The program is also inter-operable with the </w:t>
            </w:r>
            <w:bookmarkStart w:id="4" w:name="_Hlk12434017"/>
            <w:r w:rsidRPr="00836107">
              <w:rPr>
                <w:sz w:val="20"/>
                <w:szCs w:val="20"/>
              </w:rPr>
              <w:t>information system of surveillance of communicable diseases hosted by the National Centre for Public Health</w:t>
            </w:r>
            <w:bookmarkEnd w:id="4"/>
            <w:r w:rsidRPr="00836107">
              <w:rPr>
                <w:sz w:val="20"/>
                <w:szCs w:val="20"/>
              </w:rPr>
              <w:t>. Although SIME TB functions well, it is not possible to add new variables or make substantial changes, which is due to the programming language used that has reached the end of its life</w:t>
            </w:r>
            <w:r>
              <w:rPr>
                <w:sz w:val="20"/>
                <w:szCs w:val="20"/>
              </w:rPr>
              <w:t xml:space="preserve"> and</w:t>
            </w:r>
            <w:r w:rsidRPr="00836107">
              <w:rPr>
                <w:sz w:val="20"/>
                <w:szCs w:val="20"/>
              </w:rPr>
              <w:t xml:space="preserve"> is in</w:t>
            </w:r>
            <w:r>
              <w:rPr>
                <w:color w:val="191919"/>
                <w:shd w:val="clear" w:color="auto" w:fill="FFFFFF"/>
              </w:rPr>
              <w:t xml:space="preserve"> </w:t>
            </w:r>
            <w:r w:rsidRPr="00836107">
              <w:rPr>
                <w:sz w:val="20"/>
                <w:szCs w:val="20"/>
              </w:rPr>
              <w:t>need for an update.  </w:t>
            </w:r>
          </w:p>
          <w:p w14:paraId="2BA1E087" w14:textId="5F9316E6" w:rsidR="002802D7" w:rsidRDefault="002802D7" w:rsidP="00781834">
            <w:pPr>
              <w:jc w:val="both"/>
              <w:rPr>
                <w:rStyle w:val="e24kjd"/>
                <w:rFonts w:asciiTheme="majorHAnsi" w:hAnsiTheme="majorHAnsi" w:cstheme="majorHAnsi"/>
                <w:sz w:val="20"/>
              </w:rPr>
            </w:pPr>
            <w:r>
              <w:rPr>
                <w:rStyle w:val="e24kjd"/>
                <w:rFonts w:asciiTheme="majorHAnsi" w:hAnsiTheme="majorHAnsi" w:cstheme="majorHAnsi"/>
                <w:sz w:val="20"/>
              </w:rPr>
              <w:t xml:space="preserve">Below is a summary of major areas where progress needs to be made in the next allocation period. </w:t>
            </w:r>
          </w:p>
          <w:p w14:paraId="577CB9CC" w14:textId="77777777" w:rsidR="0071110F" w:rsidRPr="008A5152" w:rsidRDefault="0071110F" w:rsidP="00781834">
            <w:pPr>
              <w:tabs>
                <w:tab w:val="num" w:pos="720"/>
              </w:tabs>
              <w:rPr>
                <w:rStyle w:val="e24kjd"/>
                <w:rFonts w:asciiTheme="majorHAnsi" w:hAnsiTheme="majorHAnsi" w:cstheme="majorHAnsi"/>
                <w:b/>
                <w:sz w:val="20"/>
              </w:rPr>
            </w:pPr>
            <w:r w:rsidRPr="008A5152">
              <w:rPr>
                <w:rStyle w:val="e24kjd"/>
                <w:rFonts w:asciiTheme="majorHAnsi" w:hAnsiTheme="majorHAnsi" w:cstheme="majorHAnsi"/>
                <w:b/>
                <w:sz w:val="20"/>
              </w:rPr>
              <w:t>Table: Major Gaps and priorities in TB response</w:t>
            </w:r>
          </w:p>
          <w:tbl>
            <w:tblPr>
              <w:tblStyle w:val="ListTable3-Accent5"/>
              <w:tblW w:w="0" w:type="auto"/>
              <w:tblLook w:val="04A0" w:firstRow="1" w:lastRow="0" w:firstColumn="1" w:lastColumn="0" w:noHBand="0" w:noVBand="1"/>
            </w:tblPr>
            <w:tblGrid>
              <w:gridCol w:w="4375"/>
              <w:gridCol w:w="5855"/>
            </w:tblGrid>
            <w:tr w:rsidR="0071110F" w:rsidRPr="00B713C0" w14:paraId="0457599F" w14:textId="77777777" w:rsidTr="004604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75" w:type="dxa"/>
                </w:tcPr>
                <w:p w14:paraId="66F0B327" w14:textId="77777777" w:rsidR="0071110F" w:rsidRPr="00B713C0" w:rsidRDefault="0071110F" w:rsidP="00781834">
                  <w:pPr>
                    <w:spacing w:after="0" w:line="240" w:lineRule="auto"/>
                    <w:jc w:val="center"/>
                    <w:rPr>
                      <w:rStyle w:val="e24kjd"/>
                      <w:rFonts w:asciiTheme="majorHAnsi" w:hAnsiTheme="majorHAnsi" w:cstheme="majorHAnsi"/>
                    </w:rPr>
                  </w:pPr>
                  <w:r w:rsidRPr="00B713C0">
                    <w:rPr>
                      <w:rStyle w:val="e24kjd"/>
                      <w:rFonts w:asciiTheme="majorHAnsi" w:hAnsiTheme="majorHAnsi" w:cstheme="majorHAnsi"/>
                    </w:rPr>
                    <w:lastRenderedPageBreak/>
                    <w:t>Major gaps and barriers</w:t>
                  </w:r>
                </w:p>
              </w:tc>
              <w:tc>
                <w:tcPr>
                  <w:tcW w:w="5855" w:type="dxa"/>
                </w:tcPr>
                <w:p w14:paraId="3B15DC86" w14:textId="77777777" w:rsidR="0071110F" w:rsidRPr="00B713C0"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e24kjd"/>
                      <w:rFonts w:asciiTheme="majorHAnsi" w:hAnsiTheme="majorHAnsi" w:cstheme="majorHAnsi"/>
                    </w:rPr>
                  </w:pPr>
                  <w:r>
                    <w:rPr>
                      <w:rStyle w:val="e24kjd"/>
                      <w:rFonts w:asciiTheme="majorHAnsi" w:hAnsiTheme="majorHAnsi" w:cstheme="majorHAnsi"/>
                    </w:rPr>
                    <w:t>Key priorities</w:t>
                  </w:r>
                </w:p>
                <w:p w14:paraId="50B9D619" w14:textId="77777777" w:rsidR="0071110F" w:rsidRPr="00B713C0"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e24kjd"/>
                      <w:rFonts w:asciiTheme="majorHAnsi" w:hAnsiTheme="majorHAnsi" w:cstheme="majorHAnsi"/>
                    </w:rPr>
                  </w:pPr>
                </w:p>
              </w:tc>
            </w:tr>
            <w:tr w:rsidR="0071110F" w:rsidRPr="00AC6A1F" w14:paraId="0FF786C0" w14:textId="77777777" w:rsidTr="0046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5" w:type="dxa"/>
                </w:tcPr>
                <w:p w14:paraId="2615E8C1" w14:textId="7C02CD11" w:rsidR="0071110F" w:rsidRDefault="0071110F" w:rsidP="00781834">
                  <w:pPr>
                    <w:rPr>
                      <w:rFonts w:asciiTheme="minorHAnsi" w:hAnsiTheme="minorHAnsi" w:cstheme="minorHAnsi"/>
                      <w:sz w:val="20"/>
                      <w:szCs w:val="20"/>
                    </w:rPr>
                  </w:pPr>
                  <w:r w:rsidRPr="003458FA">
                    <w:rPr>
                      <w:rFonts w:asciiTheme="minorHAnsi" w:hAnsiTheme="minorHAnsi" w:cstheme="minorHAnsi"/>
                      <w:sz w:val="20"/>
                      <w:szCs w:val="20"/>
                    </w:rPr>
                    <w:t>Late case detection</w:t>
                  </w:r>
                  <w:r w:rsidR="0046043E">
                    <w:rPr>
                      <w:rFonts w:asciiTheme="minorHAnsi" w:hAnsiTheme="minorHAnsi" w:cstheme="minorHAnsi"/>
                      <w:sz w:val="20"/>
                      <w:szCs w:val="20"/>
                    </w:rPr>
                    <w:t xml:space="preserve"> and</w:t>
                  </w:r>
                  <w:r>
                    <w:rPr>
                      <w:rFonts w:asciiTheme="minorHAnsi" w:hAnsiTheme="minorHAnsi" w:cstheme="minorHAnsi"/>
                      <w:sz w:val="20"/>
                      <w:szCs w:val="20"/>
                    </w:rPr>
                    <w:t xml:space="preserve"> c</w:t>
                  </w:r>
                  <w:r w:rsidRPr="003458FA">
                    <w:rPr>
                      <w:rFonts w:asciiTheme="minorHAnsi" w:hAnsiTheme="minorHAnsi" w:cstheme="minorHAnsi"/>
                      <w:sz w:val="20"/>
                      <w:szCs w:val="20"/>
                    </w:rPr>
                    <w:t xml:space="preserve">ase finding of insufficient scale among key </w:t>
                  </w:r>
                  <w:r w:rsidR="0066560C" w:rsidRPr="003458FA">
                    <w:rPr>
                      <w:rFonts w:asciiTheme="minorHAnsi" w:hAnsiTheme="minorHAnsi" w:cstheme="minorHAnsi"/>
                      <w:sz w:val="20"/>
                      <w:szCs w:val="20"/>
                    </w:rPr>
                    <w:t xml:space="preserve">and most vulnerable </w:t>
                  </w:r>
                  <w:r w:rsidRPr="003458FA">
                    <w:rPr>
                      <w:rFonts w:asciiTheme="minorHAnsi" w:hAnsiTheme="minorHAnsi" w:cstheme="minorHAnsi"/>
                      <w:sz w:val="20"/>
                      <w:szCs w:val="20"/>
                    </w:rPr>
                    <w:t xml:space="preserve">populations </w:t>
                  </w:r>
                </w:p>
                <w:p w14:paraId="318EEC3C" w14:textId="77777777" w:rsidR="0071110F" w:rsidRDefault="0071110F" w:rsidP="00781834">
                  <w:pPr>
                    <w:rPr>
                      <w:rFonts w:asciiTheme="minorHAnsi" w:hAnsiTheme="minorHAnsi" w:cstheme="minorHAnsi"/>
                      <w:sz w:val="20"/>
                      <w:szCs w:val="20"/>
                    </w:rPr>
                  </w:pPr>
                </w:p>
                <w:p w14:paraId="53099582" w14:textId="77777777" w:rsidR="0071110F" w:rsidRDefault="0071110F" w:rsidP="00781834">
                  <w:pPr>
                    <w:rPr>
                      <w:rFonts w:asciiTheme="minorHAnsi" w:hAnsiTheme="minorHAnsi" w:cstheme="minorHAnsi"/>
                      <w:sz w:val="20"/>
                      <w:szCs w:val="20"/>
                    </w:rPr>
                  </w:pPr>
                </w:p>
                <w:p w14:paraId="31B982A8" w14:textId="77777777" w:rsidR="0071110F" w:rsidRDefault="0071110F" w:rsidP="00781834">
                  <w:pPr>
                    <w:rPr>
                      <w:rFonts w:asciiTheme="minorHAnsi" w:hAnsiTheme="minorHAnsi" w:cstheme="minorHAnsi"/>
                      <w:sz w:val="20"/>
                      <w:szCs w:val="20"/>
                    </w:rPr>
                  </w:pPr>
                </w:p>
                <w:p w14:paraId="34D6261F" w14:textId="77777777" w:rsidR="0071110F" w:rsidRPr="00AC6A1F" w:rsidRDefault="0071110F" w:rsidP="00781834">
                  <w:pPr>
                    <w:rPr>
                      <w:rStyle w:val="e24kjd"/>
                      <w:rFonts w:asciiTheme="majorHAnsi" w:hAnsiTheme="majorHAnsi" w:cstheme="majorHAnsi"/>
                      <w:sz w:val="20"/>
                    </w:rPr>
                  </w:pPr>
                </w:p>
              </w:tc>
              <w:tc>
                <w:tcPr>
                  <w:tcW w:w="5855" w:type="dxa"/>
                </w:tcPr>
                <w:p w14:paraId="16814ADB" w14:textId="77777777" w:rsidR="0071110F" w:rsidRDefault="0071110F" w:rsidP="00326A6B">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w:t>
                  </w:r>
                  <w:r w:rsidRPr="00C334FF">
                    <w:rPr>
                      <w:rFonts w:asciiTheme="minorHAnsi" w:hAnsiTheme="minorHAnsi" w:cstheme="minorHAnsi"/>
                      <w:sz w:val="20"/>
                      <w:szCs w:val="20"/>
                    </w:rPr>
                    <w:t xml:space="preserve">nsure ACF cascade reporting and analysis; </w:t>
                  </w:r>
                </w:p>
                <w:p w14:paraId="792173FE" w14:textId="77777777" w:rsidR="0071110F" w:rsidRDefault="0071110F" w:rsidP="00326A6B">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r w:rsidRPr="00C334FF">
                    <w:rPr>
                      <w:rFonts w:asciiTheme="minorHAnsi" w:hAnsiTheme="minorHAnsi" w:cstheme="minorHAnsi"/>
                      <w:sz w:val="20"/>
                      <w:szCs w:val="20"/>
                    </w:rPr>
                    <w:t>trengthen ACF strategies at facility</w:t>
                  </w:r>
                  <w:r>
                    <w:rPr>
                      <w:rFonts w:asciiTheme="minorHAnsi" w:hAnsiTheme="minorHAnsi" w:cstheme="minorHAnsi"/>
                      <w:sz w:val="20"/>
                      <w:szCs w:val="20"/>
                    </w:rPr>
                    <w:t xml:space="preserve"> level</w:t>
                  </w:r>
                  <w:r w:rsidRPr="00C334FF">
                    <w:rPr>
                      <w:rFonts w:asciiTheme="minorHAnsi" w:hAnsiTheme="minorHAnsi" w:cstheme="minorHAnsi"/>
                      <w:sz w:val="20"/>
                      <w:szCs w:val="20"/>
                    </w:rPr>
                    <w:t xml:space="preserve"> </w:t>
                  </w:r>
                </w:p>
                <w:p w14:paraId="136BDF92" w14:textId="77777777" w:rsidR="0071110F" w:rsidRPr="00C57340" w:rsidRDefault="0071110F" w:rsidP="00326A6B">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57340">
                    <w:rPr>
                      <w:rFonts w:asciiTheme="minorHAnsi" w:hAnsiTheme="minorHAnsi" w:cstheme="minorHAnsi"/>
                      <w:sz w:val="20"/>
                      <w:szCs w:val="20"/>
                    </w:rPr>
                    <w:t xml:space="preserve">Screen </w:t>
                  </w:r>
                  <w:r>
                    <w:rPr>
                      <w:rFonts w:asciiTheme="minorHAnsi" w:hAnsiTheme="minorHAnsi" w:cstheme="minorHAnsi"/>
                      <w:sz w:val="20"/>
                      <w:szCs w:val="20"/>
                    </w:rPr>
                    <w:t>all</w:t>
                  </w:r>
                  <w:r w:rsidRPr="00C57340">
                    <w:rPr>
                      <w:rFonts w:asciiTheme="minorHAnsi" w:hAnsiTheme="minorHAnsi" w:cstheme="minorHAnsi"/>
                      <w:sz w:val="20"/>
                      <w:szCs w:val="20"/>
                    </w:rPr>
                    <w:t xml:space="preserve"> high risk groups (PLHIV, inmates</w:t>
                  </w:r>
                  <w:r>
                    <w:rPr>
                      <w:rFonts w:asciiTheme="minorHAnsi" w:hAnsiTheme="minorHAnsi" w:cstheme="minorHAnsi"/>
                      <w:sz w:val="20"/>
                      <w:szCs w:val="20"/>
                    </w:rPr>
                    <w:t>, PWID, homeless</w:t>
                  </w:r>
                  <w:r w:rsidRPr="00C57340">
                    <w:rPr>
                      <w:rFonts w:asciiTheme="minorHAnsi" w:hAnsiTheme="minorHAnsi" w:cstheme="minorHAnsi"/>
                      <w:sz w:val="20"/>
                      <w:szCs w:val="20"/>
                    </w:rPr>
                    <w:t>)</w:t>
                  </w:r>
                </w:p>
                <w:p w14:paraId="2C6CA71A" w14:textId="77777777" w:rsidR="0071110F" w:rsidRPr="00FA04C4" w:rsidRDefault="0071110F" w:rsidP="00326A6B">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57340">
                    <w:rPr>
                      <w:rFonts w:asciiTheme="minorHAnsi" w:hAnsiTheme="minorHAnsi" w:cstheme="minorHAnsi"/>
                      <w:sz w:val="20"/>
                      <w:szCs w:val="20"/>
                    </w:rPr>
                    <w:t>Roll out of innovations in case finding involving communities</w:t>
                  </w:r>
                  <w:r>
                    <w:rPr>
                      <w:rFonts w:asciiTheme="minorHAnsi" w:hAnsiTheme="minorHAnsi" w:cstheme="minorHAnsi"/>
                      <w:sz w:val="20"/>
                      <w:szCs w:val="20"/>
                    </w:rPr>
                    <w:t xml:space="preserve"> </w:t>
                  </w:r>
                  <w:r w:rsidRPr="00FA04C4">
                    <w:rPr>
                      <w:rFonts w:asciiTheme="minorHAnsi" w:hAnsiTheme="minorHAnsi" w:cstheme="minorHAnsi"/>
                      <w:sz w:val="20"/>
                      <w:szCs w:val="20"/>
                    </w:rPr>
                    <w:t>allowing for more tailored approaches for different KP</w:t>
                  </w:r>
                  <w:r>
                    <w:rPr>
                      <w:rFonts w:asciiTheme="minorHAnsi" w:hAnsiTheme="minorHAnsi" w:cstheme="minorHAnsi"/>
                      <w:sz w:val="20"/>
                      <w:szCs w:val="20"/>
                    </w:rPr>
                    <w:t>s</w:t>
                  </w:r>
                  <w:r w:rsidRPr="00FA04C4">
                    <w:rPr>
                      <w:rFonts w:asciiTheme="minorHAnsi" w:hAnsiTheme="minorHAnsi" w:cstheme="minorHAnsi"/>
                      <w:sz w:val="20"/>
                      <w:szCs w:val="20"/>
                    </w:rPr>
                    <w:t xml:space="preserve"> </w:t>
                  </w:r>
                </w:p>
                <w:p w14:paraId="5F5359B9" w14:textId="0DAA3D93" w:rsidR="0071110F" w:rsidRDefault="0046043E" w:rsidP="00326A6B">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w:t>
                  </w:r>
                  <w:r w:rsidR="0071110F" w:rsidRPr="00C334FF">
                    <w:rPr>
                      <w:rFonts w:asciiTheme="minorHAnsi" w:hAnsiTheme="minorHAnsi" w:cstheme="minorHAnsi"/>
                      <w:sz w:val="20"/>
                      <w:szCs w:val="20"/>
                    </w:rPr>
                    <w:t xml:space="preserve">mprove PHC reimbursement mechanisms and financial incentives for ACF; </w:t>
                  </w:r>
                </w:p>
                <w:p w14:paraId="1BA600C6" w14:textId="76C4001E" w:rsidR="0071110F" w:rsidRDefault="0046043E" w:rsidP="00326A6B">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I</w:t>
                  </w:r>
                  <w:r w:rsidR="0071110F" w:rsidRPr="00C334FF">
                    <w:rPr>
                      <w:rFonts w:asciiTheme="minorHAnsi" w:hAnsiTheme="minorHAnsi" w:cstheme="minorHAnsi"/>
                      <w:sz w:val="20"/>
                      <w:szCs w:val="20"/>
                    </w:rPr>
                    <w:t xml:space="preserve">mprove mobile CXR performance and introduce artificial intelligence; expand NGO involvement in ACF. </w:t>
                  </w:r>
                </w:p>
                <w:p w14:paraId="4A787B5A" w14:textId="77777777" w:rsidR="0071110F" w:rsidRPr="00C57340" w:rsidRDefault="0071110F" w:rsidP="00326A6B">
                  <w:pPr>
                    <w:pStyle w:val="ListParagraph"/>
                    <w:numPr>
                      <w:ilvl w:val="0"/>
                      <w:numId w:val="5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57340">
                    <w:rPr>
                      <w:rFonts w:asciiTheme="minorHAnsi" w:hAnsiTheme="minorHAnsi" w:cstheme="minorHAnsi"/>
                      <w:sz w:val="20"/>
                      <w:szCs w:val="20"/>
                    </w:rPr>
                    <w:t xml:space="preserve">Maintain high quality TB diagnostic network using rapid molecular technology and new diagnostics, consistent with WHO guidelines </w:t>
                  </w:r>
                </w:p>
                <w:p w14:paraId="0B211A38" w14:textId="77777777" w:rsidR="0071110F" w:rsidRPr="008D2D6C" w:rsidRDefault="0071110F" w:rsidP="00326A6B">
                  <w:pPr>
                    <w:pStyle w:val="ListParagraph"/>
                    <w:numPr>
                      <w:ilvl w:val="0"/>
                      <w:numId w:val="56"/>
                    </w:numPr>
                    <w:spacing w:after="0" w:line="240" w:lineRule="auto"/>
                    <w:cnfStyle w:val="000000100000" w:firstRow="0" w:lastRow="0" w:firstColumn="0" w:lastColumn="0" w:oddVBand="0" w:evenVBand="0" w:oddHBand="1" w:evenHBand="0" w:firstRowFirstColumn="0" w:firstRowLastColumn="0" w:lastRowFirstColumn="0" w:lastRowLastColumn="0"/>
                    <w:rPr>
                      <w:rStyle w:val="e24kjd"/>
                      <w:rFonts w:asciiTheme="majorHAnsi" w:hAnsiTheme="majorHAnsi" w:cstheme="majorHAnsi"/>
                      <w:sz w:val="20"/>
                    </w:rPr>
                  </w:pPr>
                  <w:r w:rsidRPr="00C57340">
                    <w:rPr>
                      <w:rFonts w:asciiTheme="majorHAnsi" w:hAnsiTheme="majorHAnsi" w:cstheme="majorHAnsi"/>
                      <w:sz w:val="20"/>
                    </w:rPr>
                    <w:t>Access to rapid drug susceptibility testing, especially for ruling out fluoroquinolone resistance</w:t>
                  </w:r>
                </w:p>
              </w:tc>
            </w:tr>
            <w:tr w:rsidR="0071110F" w:rsidRPr="00AC6A1F" w14:paraId="4CBB7430" w14:textId="77777777" w:rsidTr="0046043E">
              <w:tc>
                <w:tcPr>
                  <w:cnfStyle w:val="001000000000" w:firstRow="0" w:lastRow="0" w:firstColumn="1" w:lastColumn="0" w:oddVBand="0" w:evenVBand="0" w:oddHBand="0" w:evenHBand="0" w:firstRowFirstColumn="0" w:firstRowLastColumn="0" w:lastRowFirstColumn="0" w:lastRowLastColumn="0"/>
                  <w:tcW w:w="4375" w:type="dxa"/>
                </w:tcPr>
                <w:p w14:paraId="25F93444" w14:textId="77777777" w:rsidR="0071110F" w:rsidRPr="003458FA" w:rsidRDefault="0071110F" w:rsidP="00781834">
                  <w:pPr>
                    <w:rPr>
                      <w:rFonts w:asciiTheme="minorHAnsi" w:hAnsiTheme="minorHAnsi" w:cstheme="minorHAnsi"/>
                      <w:sz w:val="20"/>
                      <w:szCs w:val="20"/>
                    </w:rPr>
                  </w:pPr>
                  <w:r>
                    <w:rPr>
                      <w:rFonts w:asciiTheme="minorHAnsi" w:hAnsiTheme="minorHAnsi" w:cstheme="minorHAnsi"/>
                      <w:sz w:val="20"/>
                      <w:szCs w:val="20"/>
                    </w:rPr>
                    <w:t>S</w:t>
                  </w:r>
                  <w:r w:rsidRPr="003458FA">
                    <w:rPr>
                      <w:rFonts w:asciiTheme="minorHAnsi" w:hAnsiTheme="minorHAnsi" w:cstheme="minorHAnsi"/>
                      <w:sz w:val="20"/>
                      <w:szCs w:val="20"/>
                    </w:rPr>
                    <w:t>low</w:t>
                  </w:r>
                  <w:r>
                    <w:rPr>
                      <w:rFonts w:asciiTheme="minorHAnsi" w:hAnsiTheme="minorHAnsi" w:cstheme="minorHAnsi"/>
                      <w:sz w:val="20"/>
                      <w:szCs w:val="20"/>
                    </w:rPr>
                    <w:t xml:space="preserve"> pace of </w:t>
                  </w:r>
                  <w:r w:rsidRPr="003458FA">
                    <w:rPr>
                      <w:rFonts w:asciiTheme="minorHAnsi" w:hAnsiTheme="minorHAnsi" w:cstheme="minorHAnsi"/>
                      <w:sz w:val="20"/>
                      <w:szCs w:val="20"/>
                    </w:rPr>
                    <w:t>improvement of treatment outcomes for MDR TB</w:t>
                  </w:r>
                  <w:r>
                    <w:rPr>
                      <w:rFonts w:asciiTheme="minorHAnsi" w:hAnsiTheme="minorHAnsi" w:cstheme="minorHAnsi"/>
                      <w:sz w:val="20"/>
                      <w:szCs w:val="20"/>
                    </w:rPr>
                    <w:t xml:space="preserve">: phased uptake of new treatment regimens </w:t>
                  </w:r>
                </w:p>
                <w:p w14:paraId="6456D73D" w14:textId="77777777" w:rsidR="0071110F" w:rsidRPr="003458FA" w:rsidRDefault="0071110F" w:rsidP="00781834">
                  <w:pPr>
                    <w:rPr>
                      <w:rFonts w:asciiTheme="minorHAnsi" w:hAnsiTheme="minorHAnsi" w:cstheme="minorHAnsi"/>
                      <w:sz w:val="20"/>
                      <w:szCs w:val="20"/>
                    </w:rPr>
                  </w:pPr>
                </w:p>
              </w:tc>
              <w:tc>
                <w:tcPr>
                  <w:tcW w:w="5855" w:type="dxa"/>
                </w:tcPr>
                <w:p w14:paraId="728C2463" w14:textId="77777777" w:rsidR="0071110F" w:rsidRPr="00C57340" w:rsidRDefault="0071110F" w:rsidP="00326A6B">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57340">
                    <w:rPr>
                      <w:rFonts w:asciiTheme="minorHAnsi" w:hAnsiTheme="minorHAnsi" w:cstheme="minorHAnsi"/>
                      <w:sz w:val="20"/>
                      <w:szCs w:val="20"/>
                    </w:rPr>
                    <w:t xml:space="preserve">Scale up </w:t>
                  </w:r>
                  <w:r>
                    <w:rPr>
                      <w:rFonts w:asciiTheme="minorHAnsi" w:hAnsiTheme="minorHAnsi" w:cstheme="minorHAnsi"/>
                      <w:sz w:val="20"/>
                      <w:szCs w:val="20"/>
                    </w:rPr>
                    <w:t xml:space="preserve">use of </w:t>
                  </w:r>
                  <w:r w:rsidRPr="00C57340">
                    <w:rPr>
                      <w:rFonts w:asciiTheme="minorHAnsi" w:hAnsiTheme="minorHAnsi" w:cstheme="minorHAnsi"/>
                      <w:sz w:val="20"/>
                      <w:szCs w:val="20"/>
                    </w:rPr>
                    <w:t xml:space="preserve">new DR-TB regimens consistent with WHO guidelines </w:t>
                  </w:r>
                </w:p>
                <w:p w14:paraId="055CD305" w14:textId="77777777" w:rsidR="0071110F" w:rsidRPr="00C57340" w:rsidRDefault="0071110F" w:rsidP="00326A6B">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57340">
                    <w:rPr>
                      <w:rFonts w:asciiTheme="minorHAnsi" w:hAnsiTheme="minorHAnsi" w:cstheme="minorHAnsi"/>
                      <w:sz w:val="20"/>
                      <w:szCs w:val="20"/>
                    </w:rPr>
                    <w:t>Adequate patient support and case-management for improved treatment outcomes</w:t>
                  </w:r>
                </w:p>
                <w:p w14:paraId="55180D67" w14:textId="77777777" w:rsidR="0071110F" w:rsidRDefault="0071110F" w:rsidP="00326A6B">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57340">
                    <w:rPr>
                      <w:rFonts w:asciiTheme="minorHAnsi" w:hAnsiTheme="minorHAnsi" w:cstheme="minorHAnsi"/>
                      <w:sz w:val="20"/>
                      <w:szCs w:val="20"/>
                    </w:rPr>
                    <w:t>Rapid scale-up of VOT</w:t>
                  </w:r>
                </w:p>
                <w:p w14:paraId="16C7172A" w14:textId="77777777" w:rsidR="0071110F" w:rsidRPr="00C57340" w:rsidRDefault="0071110F" w:rsidP="00326A6B">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Accelerate decentralized and outpatient based treatment, strengthen ambulatory care</w:t>
                  </w:r>
                </w:p>
                <w:p w14:paraId="6ED06B90" w14:textId="77777777" w:rsidR="0071110F" w:rsidRPr="00C57340" w:rsidRDefault="0071110F" w:rsidP="00326A6B">
                  <w:pPr>
                    <w:pStyle w:val="ListParagraph"/>
                    <w:numPr>
                      <w:ilvl w:val="0"/>
                      <w:numId w:val="5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57340">
                    <w:rPr>
                      <w:rFonts w:asciiTheme="minorHAnsi" w:hAnsiTheme="minorHAnsi" w:cstheme="minorHAnsi"/>
                      <w:sz w:val="20"/>
                      <w:szCs w:val="20"/>
                    </w:rPr>
                    <w:t>Integration of TB/HIV Hepatitis, diabetes, drug and alcohol services</w:t>
                  </w:r>
                </w:p>
              </w:tc>
            </w:tr>
            <w:tr w:rsidR="0071110F" w:rsidRPr="00AC6A1F" w14:paraId="7EFF4BC8" w14:textId="77777777" w:rsidTr="0046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5" w:type="dxa"/>
                </w:tcPr>
                <w:p w14:paraId="4E653F76" w14:textId="77777777" w:rsidR="0071110F" w:rsidRDefault="0071110F" w:rsidP="00781834">
                  <w:pPr>
                    <w:rPr>
                      <w:rFonts w:asciiTheme="minorHAnsi" w:hAnsiTheme="minorHAnsi" w:cstheme="minorHAnsi"/>
                      <w:sz w:val="20"/>
                      <w:szCs w:val="20"/>
                    </w:rPr>
                  </w:pPr>
                  <w:r>
                    <w:rPr>
                      <w:rFonts w:asciiTheme="minorHAnsi" w:hAnsiTheme="minorHAnsi" w:cstheme="minorHAnsi"/>
                      <w:sz w:val="20"/>
                      <w:szCs w:val="20"/>
                    </w:rPr>
                    <w:t>Slow implementation of people centered model of care</w:t>
                  </w:r>
                </w:p>
              </w:tc>
              <w:tc>
                <w:tcPr>
                  <w:tcW w:w="5855" w:type="dxa"/>
                </w:tcPr>
                <w:p w14:paraId="1D406C88" w14:textId="6B881551" w:rsidR="0071110F" w:rsidRPr="00C57340" w:rsidRDefault="0066560C" w:rsidP="00326A6B">
                  <w:pPr>
                    <w:pStyle w:val="ListParagraph"/>
                    <w:numPr>
                      <w:ilvl w:val="0"/>
                      <w:numId w:val="5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Develop and advocate for TB medical and non-medical s</w:t>
                  </w:r>
                  <w:r w:rsidR="0071110F" w:rsidRPr="00C57340">
                    <w:rPr>
                      <w:rFonts w:asciiTheme="minorHAnsi" w:hAnsiTheme="minorHAnsi" w:cstheme="minorHAnsi"/>
                      <w:sz w:val="20"/>
                      <w:szCs w:val="20"/>
                    </w:rPr>
                    <w:t>ervice packages for all levels of care as basis for strategic purchasing</w:t>
                  </w:r>
                </w:p>
                <w:p w14:paraId="4B906F01" w14:textId="77777777" w:rsidR="0071110F" w:rsidRPr="00C57340" w:rsidRDefault="0071110F" w:rsidP="00326A6B">
                  <w:pPr>
                    <w:pStyle w:val="ListParagraph"/>
                    <w:numPr>
                      <w:ilvl w:val="0"/>
                      <w:numId w:val="5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Further reduction in unnecessary hospital stays </w:t>
                  </w:r>
                </w:p>
              </w:tc>
            </w:tr>
            <w:tr w:rsidR="0071110F" w:rsidRPr="00AC6A1F" w14:paraId="35F45C5A" w14:textId="77777777" w:rsidTr="0046043E">
              <w:tc>
                <w:tcPr>
                  <w:cnfStyle w:val="001000000000" w:firstRow="0" w:lastRow="0" w:firstColumn="1" w:lastColumn="0" w:oddVBand="0" w:evenVBand="0" w:oddHBand="0" w:evenHBand="0" w:firstRowFirstColumn="0" w:firstRowLastColumn="0" w:lastRowFirstColumn="0" w:lastRowLastColumn="0"/>
                  <w:tcW w:w="4375" w:type="dxa"/>
                </w:tcPr>
                <w:p w14:paraId="230B305E" w14:textId="77777777" w:rsidR="0071110F" w:rsidRPr="003458FA" w:rsidRDefault="0071110F" w:rsidP="00781834">
                  <w:pPr>
                    <w:rPr>
                      <w:rFonts w:asciiTheme="minorHAnsi" w:hAnsiTheme="minorHAnsi" w:cstheme="minorHAnsi"/>
                      <w:sz w:val="20"/>
                      <w:szCs w:val="20"/>
                    </w:rPr>
                  </w:pPr>
                  <w:r w:rsidRPr="003458FA">
                    <w:rPr>
                      <w:rFonts w:asciiTheme="minorHAnsi" w:hAnsiTheme="minorHAnsi" w:cstheme="minorHAnsi"/>
                      <w:sz w:val="20"/>
                      <w:szCs w:val="20"/>
                    </w:rPr>
                    <w:t xml:space="preserve">Suboptimal scale-up of TB prevention measures </w:t>
                  </w:r>
                </w:p>
                <w:p w14:paraId="7F4B5199" w14:textId="77777777" w:rsidR="0071110F" w:rsidRDefault="0071110F" w:rsidP="00781834">
                  <w:pPr>
                    <w:rPr>
                      <w:rFonts w:asciiTheme="minorHAnsi" w:hAnsiTheme="minorHAnsi" w:cstheme="minorHAnsi"/>
                      <w:sz w:val="20"/>
                      <w:szCs w:val="20"/>
                    </w:rPr>
                  </w:pPr>
                </w:p>
              </w:tc>
              <w:tc>
                <w:tcPr>
                  <w:tcW w:w="5855" w:type="dxa"/>
                </w:tcPr>
                <w:p w14:paraId="0786576B" w14:textId="77777777" w:rsidR="0071110F" w:rsidRPr="00C57340" w:rsidRDefault="0071110F" w:rsidP="00326A6B">
                  <w:pPr>
                    <w:pStyle w:val="ListParagraph"/>
                    <w:numPr>
                      <w:ilvl w:val="0"/>
                      <w:numId w:val="5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U</w:t>
                  </w:r>
                  <w:r w:rsidRPr="00C57340">
                    <w:rPr>
                      <w:rFonts w:asciiTheme="minorHAnsi" w:hAnsiTheme="minorHAnsi" w:cstheme="minorHAnsi"/>
                      <w:sz w:val="20"/>
                      <w:szCs w:val="20"/>
                    </w:rPr>
                    <w:t>pdate and implement TPT guidelines, ensure sustainable access to TPT, IGRA.</w:t>
                  </w:r>
                </w:p>
                <w:p w14:paraId="47D448A9" w14:textId="77777777" w:rsidR="0071110F" w:rsidRPr="00C57340" w:rsidRDefault="0071110F" w:rsidP="00326A6B">
                  <w:pPr>
                    <w:pStyle w:val="ListParagraph"/>
                    <w:numPr>
                      <w:ilvl w:val="0"/>
                      <w:numId w:val="5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57340">
                    <w:rPr>
                      <w:rFonts w:asciiTheme="minorHAnsi" w:hAnsiTheme="minorHAnsi" w:cstheme="minorHAnsi"/>
                      <w:sz w:val="20"/>
                      <w:szCs w:val="20"/>
                    </w:rPr>
                    <w:t>Scale-up TB preventive treatment among household contacts (children and adult) and PLHIV</w:t>
                  </w:r>
                </w:p>
              </w:tc>
            </w:tr>
            <w:tr w:rsidR="0071110F" w:rsidRPr="00AC6A1F" w14:paraId="104F890A" w14:textId="77777777" w:rsidTr="0046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5" w:type="dxa"/>
                </w:tcPr>
                <w:p w14:paraId="7A87C42E" w14:textId="77777777" w:rsidR="0071110F" w:rsidRPr="003458FA" w:rsidRDefault="0071110F" w:rsidP="00781834">
                  <w:pPr>
                    <w:rPr>
                      <w:rFonts w:asciiTheme="minorHAnsi" w:hAnsiTheme="minorHAnsi" w:cstheme="minorHAnsi"/>
                      <w:sz w:val="20"/>
                      <w:szCs w:val="20"/>
                    </w:rPr>
                  </w:pPr>
                  <w:r>
                    <w:rPr>
                      <w:rFonts w:asciiTheme="minorHAnsi" w:hAnsiTheme="minorHAnsi" w:cstheme="minorHAnsi"/>
                      <w:sz w:val="20"/>
                      <w:szCs w:val="20"/>
                    </w:rPr>
                    <w:t>Low a</w:t>
                  </w:r>
                  <w:r w:rsidRPr="003458FA">
                    <w:rPr>
                      <w:rFonts w:asciiTheme="minorHAnsi" w:hAnsiTheme="minorHAnsi" w:cstheme="minorHAnsi"/>
                      <w:sz w:val="20"/>
                      <w:szCs w:val="20"/>
                    </w:rPr>
                    <w:t xml:space="preserve">vailability of </w:t>
                  </w:r>
                  <w:r>
                    <w:rPr>
                      <w:rFonts w:asciiTheme="minorHAnsi" w:hAnsiTheme="minorHAnsi" w:cstheme="minorHAnsi"/>
                      <w:sz w:val="20"/>
                      <w:szCs w:val="20"/>
                    </w:rPr>
                    <w:t xml:space="preserve">routine and survey </w:t>
                  </w:r>
                  <w:r w:rsidRPr="003458FA">
                    <w:rPr>
                      <w:rFonts w:asciiTheme="minorHAnsi" w:hAnsiTheme="minorHAnsi" w:cstheme="minorHAnsi"/>
                      <w:sz w:val="20"/>
                      <w:szCs w:val="20"/>
                    </w:rPr>
                    <w:t xml:space="preserve">data for </w:t>
                  </w:r>
                  <w:r>
                    <w:rPr>
                      <w:rFonts w:asciiTheme="minorHAnsi" w:hAnsiTheme="minorHAnsi" w:cstheme="minorHAnsi"/>
                      <w:sz w:val="20"/>
                      <w:szCs w:val="20"/>
                    </w:rPr>
                    <w:t>adaptation of response</w:t>
                  </w:r>
                </w:p>
              </w:tc>
              <w:tc>
                <w:tcPr>
                  <w:tcW w:w="5855" w:type="dxa"/>
                </w:tcPr>
                <w:p w14:paraId="457E1099" w14:textId="77777777" w:rsidR="0071110F" w:rsidRPr="00C57340" w:rsidRDefault="0071110F" w:rsidP="00326A6B">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C57340">
                    <w:rPr>
                      <w:rFonts w:asciiTheme="majorHAnsi" w:hAnsiTheme="majorHAnsi" w:cstheme="majorHAnsi"/>
                      <w:sz w:val="20"/>
                    </w:rPr>
                    <w:t>Strengthen surveillance systems, improve use of data, measure social and economic impact of TB, enhance digital technologies in support of TB treatment delivery adherence, TPT and case finding.</w:t>
                  </w:r>
                </w:p>
              </w:tc>
            </w:tr>
            <w:tr w:rsidR="0071110F" w:rsidRPr="00AC6A1F" w14:paraId="3ACF69C7" w14:textId="77777777" w:rsidTr="0046043E">
              <w:tc>
                <w:tcPr>
                  <w:cnfStyle w:val="001000000000" w:firstRow="0" w:lastRow="0" w:firstColumn="1" w:lastColumn="0" w:oddVBand="0" w:evenVBand="0" w:oddHBand="0" w:evenHBand="0" w:firstRowFirstColumn="0" w:firstRowLastColumn="0" w:lastRowFirstColumn="0" w:lastRowLastColumn="0"/>
                  <w:tcW w:w="4375" w:type="dxa"/>
                </w:tcPr>
                <w:p w14:paraId="5648F4BC" w14:textId="4D74DEBC" w:rsidR="0071110F" w:rsidRPr="002F1AF0" w:rsidRDefault="002054A3" w:rsidP="00781834">
                  <w:pPr>
                    <w:rPr>
                      <w:rFonts w:asciiTheme="minorHAnsi" w:hAnsiTheme="minorHAnsi" w:cstheme="minorHAnsi"/>
                      <w:sz w:val="20"/>
                      <w:szCs w:val="20"/>
                    </w:rPr>
                  </w:pPr>
                  <w:r>
                    <w:rPr>
                      <w:rFonts w:asciiTheme="minorHAnsi" w:hAnsiTheme="minorHAnsi" w:cstheme="minorHAnsi"/>
                      <w:sz w:val="20"/>
                      <w:szCs w:val="20"/>
                    </w:rPr>
                    <w:t>Existing b</w:t>
                  </w:r>
                  <w:r w:rsidR="0071110F" w:rsidRPr="002F1AF0">
                    <w:rPr>
                      <w:rFonts w:asciiTheme="minorHAnsi" w:hAnsiTheme="minorHAnsi" w:cstheme="minorHAnsi"/>
                      <w:sz w:val="20"/>
                      <w:szCs w:val="20"/>
                    </w:rPr>
                    <w:t xml:space="preserve">arriers to access and on key populations </w:t>
                  </w:r>
                </w:p>
              </w:tc>
              <w:tc>
                <w:tcPr>
                  <w:tcW w:w="5855" w:type="dxa"/>
                </w:tcPr>
                <w:p w14:paraId="35EB9B14" w14:textId="77777777" w:rsidR="002054A3" w:rsidRDefault="002054A3" w:rsidP="002054A3">
                  <w:pPr>
                    <w:pStyle w:val="ListParagraph"/>
                    <w:numPr>
                      <w:ilvl w:val="0"/>
                      <w:numId w:val="78"/>
                    </w:num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Conduct CRG analysis to prioritize key populations, establish size estimations </w:t>
                  </w:r>
                </w:p>
                <w:p w14:paraId="5A549ACB" w14:textId="325CF5A1" w:rsidR="002054A3" w:rsidRPr="00000135" w:rsidRDefault="002054A3" w:rsidP="002054A3">
                  <w:pPr>
                    <w:pStyle w:val="ListParagraph"/>
                    <w:numPr>
                      <w:ilvl w:val="0"/>
                      <w:numId w:val="78"/>
                    </w:num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Reduce st</w:t>
                  </w:r>
                  <w:r w:rsidRPr="00000135">
                    <w:rPr>
                      <w:rFonts w:cstheme="minorHAnsi"/>
                      <w:sz w:val="20"/>
                      <w:szCs w:val="20"/>
                    </w:rPr>
                    <w:t xml:space="preserve">igma and discrimination from family members and </w:t>
                  </w:r>
                  <w:r>
                    <w:rPr>
                      <w:rFonts w:cstheme="minorHAnsi"/>
                      <w:sz w:val="20"/>
                      <w:szCs w:val="20"/>
                    </w:rPr>
                    <w:t>community</w:t>
                  </w:r>
                </w:p>
                <w:p w14:paraId="6D81049C" w14:textId="6CAD8921" w:rsidR="002054A3" w:rsidRPr="002054A3" w:rsidRDefault="002054A3" w:rsidP="00DB5315">
                  <w:pPr>
                    <w:pStyle w:val="ListParagraph"/>
                    <w:numPr>
                      <w:ilvl w:val="0"/>
                      <w:numId w:val="78"/>
                    </w:num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054A3">
                    <w:rPr>
                      <w:rFonts w:cstheme="minorHAnsi"/>
                      <w:sz w:val="20"/>
                      <w:szCs w:val="20"/>
                    </w:rPr>
                    <w:t>Ensure choice</w:t>
                  </w:r>
                  <w:r>
                    <w:rPr>
                      <w:rFonts w:cstheme="minorHAnsi"/>
                      <w:sz w:val="20"/>
                      <w:szCs w:val="20"/>
                    </w:rPr>
                    <w:t xml:space="preserve"> </w:t>
                  </w:r>
                  <w:r w:rsidRPr="002054A3">
                    <w:rPr>
                      <w:rFonts w:cstheme="minorHAnsi"/>
                      <w:sz w:val="20"/>
                      <w:szCs w:val="20"/>
                    </w:rPr>
                    <w:t xml:space="preserve">of treatment modalities and right to movement </w:t>
                  </w:r>
                </w:p>
                <w:p w14:paraId="099AD0E8" w14:textId="601D956E" w:rsidR="002054A3" w:rsidRPr="00000135" w:rsidRDefault="002054A3" w:rsidP="002054A3">
                  <w:pPr>
                    <w:pStyle w:val="ListParagraph"/>
                    <w:numPr>
                      <w:ilvl w:val="0"/>
                      <w:numId w:val="78"/>
                    </w:numPr>
                    <w:spacing w:after="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Promote a rights’ based approach </w:t>
                  </w:r>
                </w:p>
                <w:p w14:paraId="47E1C1AA" w14:textId="6A98A128" w:rsidR="0071110F" w:rsidRDefault="002054A3" w:rsidP="002054A3">
                  <w:pPr>
                    <w:pStyle w:val="ListParagraph"/>
                    <w:numPr>
                      <w:ilvl w:val="0"/>
                      <w:numId w:val="78"/>
                    </w:num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Community-based monitoring to reduce barriers</w:t>
                  </w:r>
                </w:p>
              </w:tc>
            </w:tr>
            <w:tr w:rsidR="0071110F" w:rsidRPr="00AC6A1F" w14:paraId="5A2C7423" w14:textId="77777777" w:rsidTr="0046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5" w:type="dxa"/>
                </w:tcPr>
                <w:p w14:paraId="4219DB06" w14:textId="7208C055" w:rsidR="0071110F" w:rsidRPr="002F1AF0" w:rsidRDefault="002054A3" w:rsidP="002054A3">
                  <w:pPr>
                    <w:rPr>
                      <w:rFonts w:asciiTheme="minorHAnsi" w:hAnsiTheme="minorHAnsi" w:cstheme="minorHAnsi"/>
                      <w:sz w:val="20"/>
                      <w:szCs w:val="20"/>
                    </w:rPr>
                  </w:pPr>
                  <w:r>
                    <w:rPr>
                      <w:rFonts w:asciiTheme="minorHAnsi" w:hAnsiTheme="minorHAnsi" w:cstheme="minorHAnsi"/>
                      <w:sz w:val="20"/>
                      <w:szCs w:val="20"/>
                    </w:rPr>
                    <w:t>C</w:t>
                  </w:r>
                  <w:r w:rsidR="0071110F" w:rsidRPr="002F1AF0">
                    <w:rPr>
                      <w:rFonts w:asciiTheme="minorHAnsi" w:hAnsiTheme="minorHAnsi" w:cstheme="minorHAnsi"/>
                      <w:sz w:val="20"/>
                      <w:szCs w:val="20"/>
                    </w:rPr>
                    <w:t>ommunity systems</w:t>
                  </w:r>
                  <w:r>
                    <w:rPr>
                      <w:rFonts w:asciiTheme="minorHAnsi" w:hAnsiTheme="minorHAnsi" w:cstheme="minorHAnsi"/>
                      <w:sz w:val="20"/>
                      <w:szCs w:val="20"/>
                    </w:rPr>
                    <w:t xml:space="preserve"> in TB need strengthening and funding predictability</w:t>
                  </w:r>
                </w:p>
              </w:tc>
              <w:tc>
                <w:tcPr>
                  <w:tcW w:w="5855" w:type="dxa"/>
                </w:tcPr>
                <w:p w14:paraId="49FFB1F9" w14:textId="77777777" w:rsidR="0071110F" w:rsidRDefault="002054A3" w:rsidP="002054A3">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Social contracting of NGOs for TB service delivery</w:t>
                  </w:r>
                </w:p>
                <w:p w14:paraId="74F445F3" w14:textId="0CED046C" w:rsidR="002054A3" w:rsidRPr="002054A3" w:rsidRDefault="002054A3" w:rsidP="002054A3">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Collaborative learning, capacity building organizational development</w:t>
                  </w:r>
                  <w:r>
                    <w:rPr>
                      <w:rStyle w:val="FootnoteReference"/>
                      <w:rFonts w:asciiTheme="minorHAnsi" w:hAnsiTheme="minorHAnsi" w:cstheme="minorHAnsi"/>
                      <w:sz w:val="20"/>
                      <w:szCs w:val="20"/>
                    </w:rPr>
                    <w:footnoteReference w:id="30"/>
                  </w:r>
                </w:p>
              </w:tc>
            </w:tr>
          </w:tbl>
          <w:p w14:paraId="04F9C4D1" w14:textId="568F1BE2" w:rsidR="002802D7" w:rsidRPr="00281121" w:rsidRDefault="002802D7" w:rsidP="00781834">
            <w:pPr>
              <w:spacing w:after="0" w:line="240" w:lineRule="auto"/>
              <w:jc w:val="both"/>
              <w:rPr>
                <w:rStyle w:val="e24kjd"/>
                <w:rFonts w:asciiTheme="majorHAnsi" w:hAnsiTheme="majorHAnsi" w:cstheme="majorHAnsi"/>
                <w:sz w:val="20"/>
              </w:rPr>
            </w:pPr>
          </w:p>
          <w:p w14:paraId="1BA528FE" w14:textId="4B8B39B7" w:rsidR="002054A3" w:rsidRDefault="002054A3" w:rsidP="00781834">
            <w:pPr>
              <w:autoSpaceDE w:val="0"/>
              <w:autoSpaceDN w:val="0"/>
              <w:adjustRightInd w:val="0"/>
              <w:spacing w:after="0" w:line="240" w:lineRule="auto"/>
              <w:jc w:val="both"/>
              <w:rPr>
                <w:rStyle w:val="e24kjd"/>
                <w:rFonts w:asciiTheme="majorHAnsi" w:hAnsiTheme="majorHAnsi" w:cstheme="majorHAnsi"/>
                <w:b/>
                <w:sz w:val="20"/>
              </w:rPr>
            </w:pPr>
          </w:p>
          <w:p w14:paraId="3731F134" w14:textId="40DDD1F4" w:rsidR="008376E7" w:rsidRDefault="008376E7" w:rsidP="00781834">
            <w:pPr>
              <w:autoSpaceDE w:val="0"/>
              <w:autoSpaceDN w:val="0"/>
              <w:adjustRightInd w:val="0"/>
              <w:spacing w:after="0" w:line="240" w:lineRule="auto"/>
              <w:jc w:val="both"/>
              <w:rPr>
                <w:rStyle w:val="e24kjd"/>
                <w:rFonts w:asciiTheme="majorHAnsi" w:hAnsiTheme="majorHAnsi" w:cstheme="majorHAnsi"/>
                <w:b/>
                <w:sz w:val="20"/>
              </w:rPr>
            </w:pPr>
          </w:p>
          <w:p w14:paraId="18CC51A3" w14:textId="77777777" w:rsidR="008376E7" w:rsidRDefault="008376E7" w:rsidP="00781834">
            <w:pPr>
              <w:autoSpaceDE w:val="0"/>
              <w:autoSpaceDN w:val="0"/>
              <w:adjustRightInd w:val="0"/>
              <w:spacing w:after="0" w:line="240" w:lineRule="auto"/>
              <w:jc w:val="both"/>
              <w:rPr>
                <w:rStyle w:val="e24kjd"/>
                <w:rFonts w:asciiTheme="majorHAnsi" w:hAnsiTheme="majorHAnsi" w:cstheme="majorHAnsi"/>
                <w:b/>
                <w:sz w:val="20"/>
              </w:rPr>
            </w:pPr>
          </w:p>
          <w:p w14:paraId="5EF2737E" w14:textId="77777777" w:rsidR="002054A3" w:rsidRDefault="002054A3" w:rsidP="00781834">
            <w:pPr>
              <w:autoSpaceDE w:val="0"/>
              <w:autoSpaceDN w:val="0"/>
              <w:adjustRightInd w:val="0"/>
              <w:spacing w:after="0" w:line="240" w:lineRule="auto"/>
              <w:jc w:val="both"/>
              <w:rPr>
                <w:rStyle w:val="e24kjd"/>
                <w:rFonts w:asciiTheme="majorHAnsi" w:hAnsiTheme="majorHAnsi" w:cstheme="majorHAnsi"/>
                <w:b/>
                <w:sz w:val="20"/>
              </w:rPr>
            </w:pPr>
          </w:p>
          <w:p w14:paraId="6172AF24" w14:textId="77777777" w:rsidR="002054A3" w:rsidRDefault="002054A3" w:rsidP="00781834">
            <w:pPr>
              <w:autoSpaceDE w:val="0"/>
              <w:autoSpaceDN w:val="0"/>
              <w:adjustRightInd w:val="0"/>
              <w:spacing w:after="0" w:line="240" w:lineRule="auto"/>
              <w:jc w:val="both"/>
              <w:rPr>
                <w:rStyle w:val="e24kjd"/>
                <w:rFonts w:asciiTheme="majorHAnsi" w:hAnsiTheme="majorHAnsi" w:cstheme="majorHAnsi"/>
                <w:b/>
                <w:sz w:val="20"/>
              </w:rPr>
            </w:pPr>
          </w:p>
          <w:p w14:paraId="1DC45811" w14:textId="77777777" w:rsidR="002054A3" w:rsidRDefault="002054A3" w:rsidP="00781834">
            <w:pPr>
              <w:autoSpaceDE w:val="0"/>
              <w:autoSpaceDN w:val="0"/>
              <w:adjustRightInd w:val="0"/>
              <w:spacing w:after="0" w:line="240" w:lineRule="auto"/>
              <w:jc w:val="both"/>
              <w:rPr>
                <w:rStyle w:val="e24kjd"/>
                <w:rFonts w:asciiTheme="majorHAnsi" w:hAnsiTheme="majorHAnsi" w:cstheme="majorHAnsi"/>
                <w:b/>
                <w:sz w:val="20"/>
              </w:rPr>
            </w:pPr>
          </w:p>
          <w:p w14:paraId="70603270" w14:textId="77777777" w:rsidR="002054A3" w:rsidRDefault="002054A3" w:rsidP="00781834">
            <w:pPr>
              <w:autoSpaceDE w:val="0"/>
              <w:autoSpaceDN w:val="0"/>
              <w:adjustRightInd w:val="0"/>
              <w:spacing w:after="0" w:line="240" w:lineRule="auto"/>
              <w:jc w:val="both"/>
              <w:rPr>
                <w:rStyle w:val="e24kjd"/>
                <w:rFonts w:asciiTheme="majorHAnsi" w:hAnsiTheme="majorHAnsi" w:cstheme="majorHAnsi"/>
                <w:b/>
                <w:sz w:val="20"/>
              </w:rPr>
            </w:pPr>
          </w:p>
          <w:p w14:paraId="4ABEA609" w14:textId="345D0A48" w:rsidR="0071110F" w:rsidRDefault="0071110F" w:rsidP="00781834">
            <w:pPr>
              <w:autoSpaceDE w:val="0"/>
              <w:autoSpaceDN w:val="0"/>
              <w:adjustRightInd w:val="0"/>
              <w:spacing w:after="0" w:line="240" w:lineRule="auto"/>
              <w:jc w:val="both"/>
              <w:rPr>
                <w:rStyle w:val="e24kjd"/>
                <w:rFonts w:asciiTheme="majorHAnsi" w:hAnsiTheme="majorHAnsi" w:cstheme="majorHAnsi"/>
                <w:b/>
                <w:sz w:val="20"/>
              </w:rPr>
            </w:pPr>
            <w:r w:rsidRPr="000C2CB4">
              <w:rPr>
                <w:rStyle w:val="e24kjd"/>
                <w:rFonts w:asciiTheme="majorHAnsi" w:hAnsiTheme="majorHAnsi" w:cstheme="majorHAnsi"/>
                <w:b/>
                <w:sz w:val="20"/>
              </w:rPr>
              <w:lastRenderedPageBreak/>
              <w:t>HIV context</w:t>
            </w:r>
          </w:p>
          <w:p w14:paraId="43A61DE7" w14:textId="77777777" w:rsidR="00231E5B" w:rsidRDefault="00231E5B" w:rsidP="00781834">
            <w:pPr>
              <w:autoSpaceDE w:val="0"/>
              <w:autoSpaceDN w:val="0"/>
              <w:adjustRightInd w:val="0"/>
              <w:spacing w:after="0" w:line="240" w:lineRule="auto"/>
              <w:jc w:val="both"/>
              <w:rPr>
                <w:rStyle w:val="e24kjd"/>
                <w:rFonts w:asciiTheme="majorHAnsi" w:hAnsiTheme="majorHAnsi" w:cstheme="majorHAnsi"/>
                <w:b/>
                <w:sz w:val="20"/>
              </w:rPr>
            </w:pPr>
          </w:p>
          <w:p w14:paraId="0EF47306" w14:textId="7A4F3EAE" w:rsidR="0071110F" w:rsidRDefault="0071110F" w:rsidP="00781834">
            <w:pPr>
              <w:spacing w:after="0" w:line="240" w:lineRule="auto"/>
              <w:jc w:val="both"/>
              <w:rPr>
                <w:rStyle w:val="e24kjd"/>
                <w:rFonts w:asciiTheme="majorHAnsi" w:hAnsiTheme="majorHAnsi" w:cstheme="majorHAnsi"/>
                <w:sz w:val="20"/>
              </w:rPr>
            </w:pPr>
            <w:r w:rsidRPr="0016353A">
              <w:rPr>
                <w:rStyle w:val="e24kjd"/>
                <w:rFonts w:asciiTheme="majorHAnsi" w:hAnsiTheme="majorHAnsi" w:cstheme="majorHAnsi"/>
                <w:sz w:val="20"/>
              </w:rPr>
              <w:t xml:space="preserve">Moldova </w:t>
            </w:r>
            <w:r>
              <w:rPr>
                <w:rStyle w:val="e24kjd"/>
                <w:rFonts w:asciiTheme="majorHAnsi" w:hAnsiTheme="majorHAnsi" w:cstheme="majorHAnsi"/>
                <w:sz w:val="20"/>
              </w:rPr>
              <w:t>experiences</w:t>
            </w:r>
            <w:r w:rsidRPr="0016353A">
              <w:rPr>
                <w:rStyle w:val="e24kjd"/>
                <w:rFonts w:asciiTheme="majorHAnsi" w:hAnsiTheme="majorHAnsi" w:cstheme="majorHAnsi"/>
                <w:sz w:val="20"/>
              </w:rPr>
              <w:t xml:space="preserve"> a concentrated HIV epidemic</w:t>
            </w:r>
            <w:r>
              <w:rPr>
                <w:rStyle w:val="e24kjd"/>
                <w:rFonts w:asciiTheme="majorHAnsi" w:hAnsiTheme="majorHAnsi" w:cstheme="majorHAnsi"/>
                <w:sz w:val="20"/>
              </w:rPr>
              <w:t xml:space="preserve"> since mid-1990s</w:t>
            </w:r>
            <w:r w:rsidRPr="0016353A">
              <w:rPr>
                <w:rStyle w:val="e24kjd"/>
                <w:rFonts w:asciiTheme="majorHAnsi" w:hAnsiTheme="majorHAnsi" w:cstheme="majorHAnsi"/>
                <w:sz w:val="20"/>
              </w:rPr>
              <w:t xml:space="preserve">. </w:t>
            </w:r>
            <w:r>
              <w:rPr>
                <w:rStyle w:val="e24kjd"/>
                <w:rFonts w:asciiTheme="majorHAnsi" w:hAnsiTheme="majorHAnsi" w:cstheme="majorHAnsi"/>
                <w:sz w:val="20"/>
              </w:rPr>
              <w:t xml:space="preserve">According to SPECTRUM, </w:t>
            </w:r>
            <w:r w:rsidR="00AF420D">
              <w:rPr>
                <w:rStyle w:val="e24kjd"/>
                <w:rFonts w:asciiTheme="majorHAnsi" w:hAnsiTheme="majorHAnsi" w:cstheme="majorHAnsi"/>
                <w:sz w:val="20"/>
              </w:rPr>
              <w:t>the</w:t>
            </w:r>
            <w:r>
              <w:rPr>
                <w:rStyle w:val="e24kjd"/>
                <w:rFonts w:asciiTheme="majorHAnsi" w:hAnsiTheme="majorHAnsi" w:cstheme="majorHAnsi"/>
                <w:sz w:val="20"/>
              </w:rPr>
              <w:t xml:space="preserve"> </w:t>
            </w:r>
            <w:r w:rsidRPr="0016353A">
              <w:rPr>
                <w:rStyle w:val="e24kjd"/>
                <w:rFonts w:asciiTheme="majorHAnsi" w:hAnsiTheme="majorHAnsi" w:cstheme="majorHAnsi"/>
                <w:sz w:val="20"/>
              </w:rPr>
              <w:t xml:space="preserve">estimated HIV prevalence in the adult general population is </w:t>
            </w:r>
            <w:r w:rsidR="00AF420D">
              <w:rPr>
                <w:rStyle w:val="e24kjd"/>
                <w:rFonts w:asciiTheme="majorHAnsi" w:hAnsiTheme="majorHAnsi" w:cstheme="majorHAnsi"/>
                <w:sz w:val="20"/>
              </w:rPr>
              <w:t>0.</w:t>
            </w:r>
            <w:r w:rsidRPr="00281121">
              <w:rPr>
                <w:rStyle w:val="e24kjd"/>
                <w:rFonts w:asciiTheme="majorHAnsi" w:hAnsiTheme="majorHAnsi" w:cstheme="majorHAnsi"/>
                <w:sz w:val="20"/>
              </w:rPr>
              <w:t>6</w:t>
            </w:r>
            <w:r w:rsidRPr="009E3A50">
              <w:rPr>
                <w:rStyle w:val="e24kjd"/>
                <w:rFonts w:asciiTheme="majorHAnsi" w:hAnsiTheme="majorHAnsi" w:cstheme="majorHAnsi"/>
                <w:sz w:val="20"/>
              </w:rPr>
              <w:t>% [0.3 in women and 0.6 in men],</w:t>
            </w:r>
            <w:r w:rsidR="00AF420D">
              <w:rPr>
                <w:rStyle w:val="e24kjd"/>
                <w:rFonts w:asciiTheme="majorHAnsi" w:hAnsiTheme="majorHAnsi" w:cstheme="majorHAnsi"/>
                <w:sz w:val="20"/>
              </w:rPr>
              <w:t xml:space="preserve"> new infections occur</w:t>
            </w:r>
            <w:r>
              <w:rPr>
                <w:rStyle w:val="e24kjd"/>
                <w:rFonts w:asciiTheme="majorHAnsi" w:hAnsiTheme="majorHAnsi" w:cstheme="majorHAnsi"/>
                <w:sz w:val="20"/>
              </w:rPr>
              <w:t xml:space="preserve"> </w:t>
            </w:r>
            <w:r w:rsidR="00AF420D">
              <w:rPr>
                <w:rStyle w:val="e24kjd"/>
                <w:rFonts w:asciiTheme="majorHAnsi" w:hAnsiTheme="majorHAnsi" w:cstheme="majorHAnsi"/>
                <w:sz w:val="20"/>
              </w:rPr>
              <w:t xml:space="preserve">mostly </w:t>
            </w:r>
            <w:r>
              <w:rPr>
                <w:rStyle w:val="e24kjd"/>
                <w:rFonts w:asciiTheme="majorHAnsi" w:hAnsiTheme="majorHAnsi" w:cstheme="majorHAnsi"/>
                <w:sz w:val="20"/>
              </w:rPr>
              <w:t>in adult population over 24: the estimated incidence of 0.45 in 15-49, 0.08 in 50+, 0.29 in 15-24 and 0.04 0-14. The latest estimated number of</w:t>
            </w:r>
            <w:r w:rsidRPr="0016353A">
              <w:rPr>
                <w:rStyle w:val="e24kjd"/>
                <w:rFonts w:asciiTheme="majorHAnsi" w:hAnsiTheme="majorHAnsi" w:cstheme="majorHAnsi"/>
                <w:sz w:val="20"/>
              </w:rPr>
              <w:t xml:space="preserve"> peo</w:t>
            </w:r>
            <w:r>
              <w:rPr>
                <w:rStyle w:val="e24kjd"/>
                <w:rFonts w:asciiTheme="majorHAnsi" w:hAnsiTheme="majorHAnsi" w:cstheme="majorHAnsi"/>
                <w:sz w:val="20"/>
              </w:rPr>
              <w:t>ple living with HIV (PLHIV) in Moldova</w:t>
            </w:r>
            <w:r w:rsidRPr="0016353A">
              <w:rPr>
                <w:rStyle w:val="e24kjd"/>
                <w:rFonts w:asciiTheme="majorHAnsi" w:hAnsiTheme="majorHAnsi" w:cstheme="majorHAnsi"/>
                <w:sz w:val="20"/>
              </w:rPr>
              <w:t xml:space="preserve"> is </w:t>
            </w:r>
            <w:r w:rsidRPr="00281121">
              <w:rPr>
                <w:rStyle w:val="e24kjd"/>
                <w:rFonts w:asciiTheme="majorHAnsi" w:hAnsiTheme="majorHAnsi" w:cstheme="majorHAnsi"/>
                <w:sz w:val="20"/>
              </w:rPr>
              <w:t>14,589</w:t>
            </w:r>
            <w:r>
              <w:rPr>
                <w:rStyle w:val="e24kjd"/>
                <w:rFonts w:asciiTheme="majorHAnsi" w:hAnsiTheme="majorHAnsi" w:cstheme="majorHAnsi"/>
                <w:sz w:val="20"/>
              </w:rPr>
              <w:t xml:space="preserve">, lower compared to previously estimated </w:t>
            </w:r>
            <w:r w:rsidRPr="00281121">
              <w:rPr>
                <w:rStyle w:val="e24kjd"/>
                <w:rFonts w:asciiTheme="majorHAnsi" w:hAnsiTheme="majorHAnsi" w:cstheme="majorHAnsi"/>
                <w:sz w:val="20"/>
              </w:rPr>
              <w:t>17,000</w:t>
            </w:r>
            <w:r>
              <w:rPr>
                <w:rStyle w:val="e24kjd"/>
                <w:rFonts w:asciiTheme="majorHAnsi" w:hAnsiTheme="majorHAnsi" w:cstheme="majorHAnsi"/>
                <w:sz w:val="20"/>
              </w:rPr>
              <w:t xml:space="preserve"> until </w:t>
            </w:r>
            <w:r w:rsidRPr="00281121">
              <w:rPr>
                <w:rStyle w:val="e24kjd"/>
                <w:rFonts w:asciiTheme="majorHAnsi" w:hAnsiTheme="majorHAnsi" w:cstheme="majorHAnsi"/>
                <w:sz w:val="20"/>
              </w:rPr>
              <w:t>2018</w:t>
            </w:r>
            <w:r>
              <w:rPr>
                <w:rStyle w:val="e24kjd"/>
                <w:rFonts w:asciiTheme="majorHAnsi" w:hAnsiTheme="majorHAnsi" w:cstheme="majorHAnsi"/>
                <w:sz w:val="20"/>
              </w:rPr>
              <w:t>, decrease due</w:t>
            </w:r>
            <w:r w:rsidRPr="00281121">
              <w:rPr>
                <w:rStyle w:val="e24kjd"/>
                <w:rFonts w:asciiTheme="majorHAnsi" w:hAnsiTheme="majorHAnsi" w:cstheme="majorHAnsi"/>
                <w:sz w:val="20"/>
              </w:rPr>
              <w:t xml:space="preserve"> to National Bureau of S</w:t>
            </w:r>
            <w:r>
              <w:rPr>
                <w:rStyle w:val="e24kjd"/>
                <w:rFonts w:asciiTheme="majorHAnsi" w:hAnsiTheme="majorHAnsi" w:cstheme="majorHAnsi"/>
                <w:sz w:val="20"/>
              </w:rPr>
              <w:t xml:space="preserve">tatistics revising </w:t>
            </w:r>
            <w:r w:rsidRPr="00281121">
              <w:rPr>
                <w:rStyle w:val="e24kjd"/>
                <w:rFonts w:asciiTheme="majorHAnsi" w:hAnsiTheme="majorHAnsi" w:cstheme="majorHAnsi"/>
                <w:sz w:val="20"/>
              </w:rPr>
              <w:t>po</w:t>
            </w:r>
            <w:r>
              <w:rPr>
                <w:rStyle w:val="e24kjd"/>
                <w:rFonts w:asciiTheme="majorHAnsi" w:hAnsiTheme="majorHAnsi" w:cstheme="majorHAnsi"/>
                <w:sz w:val="20"/>
              </w:rPr>
              <w:t>p</w:t>
            </w:r>
            <w:r w:rsidRPr="00281121">
              <w:rPr>
                <w:rStyle w:val="e24kjd"/>
                <w:rFonts w:asciiTheme="majorHAnsi" w:hAnsiTheme="majorHAnsi" w:cstheme="majorHAnsi"/>
                <w:sz w:val="20"/>
              </w:rPr>
              <w:t xml:space="preserve">ulation </w:t>
            </w:r>
            <w:r>
              <w:rPr>
                <w:rStyle w:val="e24kjd"/>
                <w:rFonts w:asciiTheme="majorHAnsi" w:hAnsiTheme="majorHAnsi" w:cstheme="majorHAnsi"/>
                <w:sz w:val="20"/>
              </w:rPr>
              <w:t xml:space="preserve">size based on </w:t>
            </w:r>
            <w:r w:rsidRPr="00281121">
              <w:rPr>
                <w:rStyle w:val="e24kjd"/>
                <w:rFonts w:asciiTheme="majorHAnsi" w:hAnsiTheme="majorHAnsi" w:cstheme="majorHAnsi"/>
                <w:sz w:val="20"/>
              </w:rPr>
              <w:t>Census</w:t>
            </w:r>
            <w:r>
              <w:rPr>
                <w:rStyle w:val="e24kjd"/>
                <w:rFonts w:asciiTheme="majorHAnsi" w:hAnsiTheme="majorHAnsi" w:cstheme="majorHAnsi"/>
                <w:sz w:val="20"/>
              </w:rPr>
              <w:t xml:space="preserve"> conducted</w:t>
            </w:r>
            <w:r w:rsidRPr="00281121">
              <w:rPr>
                <w:rStyle w:val="e24kjd"/>
                <w:rFonts w:asciiTheme="majorHAnsi" w:hAnsiTheme="majorHAnsi" w:cstheme="majorHAnsi"/>
                <w:sz w:val="20"/>
              </w:rPr>
              <w:t xml:space="preserve"> in 2014.</w:t>
            </w:r>
            <w:r w:rsidR="00F35F01">
              <w:rPr>
                <w:rStyle w:val="e24kjd"/>
                <w:rFonts w:asciiTheme="majorHAnsi" w:hAnsiTheme="majorHAnsi" w:cstheme="majorHAnsi"/>
                <w:sz w:val="20"/>
              </w:rPr>
              <w:t xml:space="preserve"> </w:t>
            </w:r>
            <w:r w:rsidRPr="002054A3">
              <w:rPr>
                <w:rStyle w:val="e24kjd"/>
                <w:rFonts w:asciiTheme="majorHAnsi" w:hAnsiTheme="majorHAnsi" w:cstheme="majorHAnsi"/>
                <w:sz w:val="20"/>
              </w:rPr>
              <w:t>(Annex</w:t>
            </w:r>
            <w:r w:rsidR="002054A3">
              <w:rPr>
                <w:rStyle w:val="e24kjd"/>
                <w:rFonts w:asciiTheme="majorHAnsi" w:hAnsiTheme="majorHAnsi" w:cstheme="majorHAnsi"/>
                <w:sz w:val="20"/>
              </w:rPr>
              <w:t xml:space="preserve"> 10.</w:t>
            </w:r>
            <w:r w:rsidR="00AF420D" w:rsidRPr="002054A3">
              <w:rPr>
                <w:rStyle w:val="e24kjd"/>
                <w:rFonts w:asciiTheme="majorHAnsi" w:hAnsiTheme="majorHAnsi" w:cstheme="majorHAnsi"/>
                <w:sz w:val="20"/>
              </w:rPr>
              <w:t xml:space="preserve"> SPECTRUM 2020</w:t>
            </w:r>
            <w:r w:rsidRPr="002054A3">
              <w:rPr>
                <w:rStyle w:val="e24kjd"/>
                <w:rFonts w:asciiTheme="majorHAnsi" w:hAnsiTheme="majorHAnsi" w:cstheme="majorHAnsi"/>
                <w:sz w:val="20"/>
              </w:rPr>
              <w:t>)</w:t>
            </w:r>
            <w:r>
              <w:rPr>
                <w:rFonts w:asciiTheme="minorHAnsi" w:hAnsiTheme="minorHAnsi" w:cstheme="minorHAnsi"/>
              </w:rPr>
              <w:t xml:space="preserve"> </w:t>
            </w:r>
            <w:r w:rsidRPr="0016353A">
              <w:rPr>
                <w:rStyle w:val="e24kjd"/>
                <w:rFonts w:asciiTheme="majorHAnsi" w:hAnsiTheme="majorHAnsi" w:cstheme="majorHAnsi"/>
                <w:sz w:val="20"/>
              </w:rPr>
              <w:t xml:space="preserve">According to national statistics, </w:t>
            </w:r>
            <w:r>
              <w:rPr>
                <w:rStyle w:val="e24kjd"/>
                <w:rFonts w:asciiTheme="majorHAnsi" w:hAnsiTheme="majorHAnsi" w:cstheme="majorHAnsi"/>
                <w:sz w:val="20"/>
              </w:rPr>
              <w:t>since 1987 to date, a</w:t>
            </w:r>
            <w:r w:rsidRPr="0016353A">
              <w:rPr>
                <w:rStyle w:val="e24kjd"/>
                <w:rFonts w:asciiTheme="majorHAnsi" w:hAnsiTheme="majorHAnsi" w:cstheme="majorHAnsi"/>
                <w:sz w:val="20"/>
              </w:rPr>
              <w:t xml:space="preserve"> total of </w:t>
            </w:r>
            <w:r w:rsidRPr="004D396F">
              <w:rPr>
                <w:rStyle w:val="e24kjd"/>
                <w:rFonts w:asciiTheme="majorHAnsi" w:hAnsiTheme="majorHAnsi" w:cstheme="majorHAnsi"/>
                <w:sz w:val="20"/>
              </w:rPr>
              <w:t>13,656 people with HIV of 4,437 AIDS cases and 3,879 dea</w:t>
            </w:r>
            <w:r>
              <w:rPr>
                <w:rStyle w:val="e24kjd"/>
                <w:rFonts w:asciiTheme="majorHAnsi" w:hAnsiTheme="majorHAnsi" w:cstheme="majorHAnsi"/>
                <w:sz w:val="20"/>
              </w:rPr>
              <w:t>ths</w:t>
            </w:r>
            <w:r w:rsidRPr="004D396F">
              <w:rPr>
                <w:rStyle w:val="e24kjd"/>
                <w:rFonts w:asciiTheme="majorHAnsi" w:hAnsiTheme="majorHAnsi" w:cstheme="majorHAnsi"/>
                <w:sz w:val="20"/>
              </w:rPr>
              <w:t xml:space="preserve"> </w:t>
            </w:r>
            <w:r w:rsidR="00AF420D">
              <w:rPr>
                <w:rStyle w:val="e24kjd"/>
                <w:rFonts w:asciiTheme="majorHAnsi" w:hAnsiTheme="majorHAnsi" w:cstheme="majorHAnsi"/>
                <w:sz w:val="20"/>
              </w:rPr>
              <w:t xml:space="preserve">were </w:t>
            </w:r>
            <w:r w:rsidRPr="004D396F">
              <w:rPr>
                <w:rStyle w:val="e24kjd"/>
                <w:rFonts w:asciiTheme="majorHAnsi" w:hAnsiTheme="majorHAnsi" w:cstheme="majorHAnsi"/>
                <w:sz w:val="20"/>
              </w:rPr>
              <w:t>cumulatively registered on bot</w:t>
            </w:r>
            <w:r>
              <w:rPr>
                <w:rStyle w:val="e24kjd"/>
                <w:rFonts w:asciiTheme="majorHAnsi" w:hAnsiTheme="majorHAnsi" w:cstheme="majorHAnsi"/>
                <w:sz w:val="20"/>
              </w:rPr>
              <w:t>h banks of the Nistru</w:t>
            </w:r>
            <w:r w:rsidR="006D0D17">
              <w:rPr>
                <w:rStyle w:val="e24kjd"/>
                <w:rFonts w:asciiTheme="majorHAnsi" w:hAnsiTheme="majorHAnsi" w:cstheme="majorHAnsi"/>
                <w:sz w:val="20"/>
              </w:rPr>
              <w:t xml:space="preserve"> </w:t>
            </w:r>
            <w:r>
              <w:rPr>
                <w:rStyle w:val="e24kjd"/>
                <w:rFonts w:asciiTheme="majorHAnsi" w:hAnsiTheme="majorHAnsi" w:cstheme="majorHAnsi"/>
                <w:sz w:val="20"/>
              </w:rPr>
              <w:t>River. The readjusted prevalence based on new population is 310 per 100,000. (National Agency for Public Health 2020). In 2019, 922</w:t>
            </w:r>
            <w:r w:rsidRPr="00210B9B">
              <w:rPr>
                <w:rStyle w:val="e24kjd"/>
                <w:rFonts w:asciiTheme="majorHAnsi" w:hAnsiTheme="majorHAnsi" w:cstheme="majorHAnsi"/>
                <w:sz w:val="20"/>
              </w:rPr>
              <w:t xml:space="preserve"> new HIV cases</w:t>
            </w:r>
            <w:r>
              <w:rPr>
                <w:rStyle w:val="e24kjd"/>
                <w:rFonts w:asciiTheme="majorHAnsi" w:hAnsiTheme="majorHAnsi" w:cstheme="majorHAnsi"/>
                <w:sz w:val="20"/>
              </w:rPr>
              <w:t xml:space="preserve"> were registered (31% more compared to 2010)</w:t>
            </w:r>
            <w:r w:rsidRPr="00210B9B">
              <w:rPr>
                <w:rStyle w:val="e24kjd"/>
                <w:rFonts w:asciiTheme="majorHAnsi" w:hAnsiTheme="majorHAnsi" w:cstheme="majorHAnsi"/>
                <w:sz w:val="20"/>
              </w:rPr>
              <w:t xml:space="preserve"> </w:t>
            </w:r>
            <w:r>
              <w:rPr>
                <w:rStyle w:val="e24kjd"/>
                <w:rFonts w:asciiTheme="majorHAnsi" w:hAnsiTheme="majorHAnsi" w:cstheme="majorHAnsi"/>
                <w:sz w:val="20"/>
              </w:rPr>
              <w:t>and 206 AIDS-related deaths, of them 58% men, 42% women and 21% young people 15-24 years. I</w:t>
            </w:r>
            <w:r w:rsidRPr="00210B9B">
              <w:rPr>
                <w:rStyle w:val="e24kjd"/>
                <w:rFonts w:asciiTheme="majorHAnsi" w:hAnsiTheme="majorHAnsi" w:cstheme="majorHAnsi"/>
                <w:sz w:val="20"/>
              </w:rPr>
              <w:t xml:space="preserve">ncidence </w:t>
            </w:r>
            <w:r>
              <w:rPr>
                <w:rStyle w:val="e24kjd"/>
                <w:rFonts w:asciiTheme="majorHAnsi" w:hAnsiTheme="majorHAnsi" w:cstheme="majorHAnsi"/>
                <w:sz w:val="20"/>
              </w:rPr>
              <w:t>w</w:t>
            </w:r>
            <w:r w:rsidRPr="00210B9B">
              <w:rPr>
                <w:rStyle w:val="e24kjd"/>
                <w:rFonts w:asciiTheme="majorHAnsi" w:hAnsiTheme="majorHAnsi" w:cstheme="majorHAnsi"/>
                <w:sz w:val="20"/>
              </w:rPr>
              <w:t>as</w:t>
            </w:r>
            <w:r>
              <w:rPr>
                <w:rStyle w:val="e24kjd"/>
                <w:rFonts w:asciiTheme="majorHAnsi" w:hAnsiTheme="majorHAnsi" w:cstheme="majorHAnsi"/>
                <w:sz w:val="20"/>
              </w:rPr>
              <w:t xml:space="preserve"> 20</w:t>
            </w:r>
            <w:r w:rsidRPr="00210B9B">
              <w:rPr>
                <w:rStyle w:val="e24kjd"/>
                <w:rFonts w:asciiTheme="majorHAnsi" w:hAnsiTheme="majorHAnsi" w:cstheme="majorHAnsi"/>
                <w:sz w:val="20"/>
              </w:rPr>
              <w:t xml:space="preserve"> per 100,000 inhabitants on the Right Bank of Nistru and </w:t>
            </w:r>
            <w:r>
              <w:rPr>
                <w:rStyle w:val="e24kjd"/>
                <w:rFonts w:asciiTheme="majorHAnsi" w:hAnsiTheme="majorHAnsi" w:cstheme="majorHAnsi"/>
                <w:sz w:val="20"/>
              </w:rPr>
              <w:t>47</w:t>
            </w:r>
            <w:r w:rsidRPr="00210B9B">
              <w:rPr>
                <w:rStyle w:val="e24kjd"/>
                <w:rFonts w:asciiTheme="majorHAnsi" w:hAnsiTheme="majorHAnsi" w:cstheme="majorHAnsi"/>
                <w:sz w:val="20"/>
              </w:rPr>
              <w:t xml:space="preserve"> per 100,000 inhabitants in the Transnistria</w:t>
            </w:r>
            <w:r w:rsidR="00AF420D">
              <w:rPr>
                <w:rStyle w:val="e24kjd"/>
                <w:rFonts w:asciiTheme="majorHAnsi" w:hAnsiTheme="majorHAnsi" w:cstheme="majorHAnsi"/>
                <w:sz w:val="20"/>
              </w:rPr>
              <w:t xml:space="preserve"> (Left Bank)</w:t>
            </w:r>
            <w:r>
              <w:rPr>
                <w:rStyle w:val="e24kjd"/>
                <w:rFonts w:asciiTheme="majorHAnsi" w:hAnsiTheme="majorHAnsi" w:cstheme="majorHAnsi"/>
                <w:sz w:val="20"/>
              </w:rPr>
              <w:t>.</w:t>
            </w:r>
          </w:p>
          <w:p w14:paraId="52ED7928" w14:textId="77777777" w:rsidR="0071110F" w:rsidRDefault="0071110F" w:rsidP="00781834">
            <w:pPr>
              <w:spacing w:after="0" w:line="240" w:lineRule="auto"/>
              <w:jc w:val="both"/>
              <w:rPr>
                <w:rStyle w:val="e24kjd"/>
                <w:rFonts w:asciiTheme="majorHAnsi" w:hAnsiTheme="majorHAnsi" w:cstheme="majorHAnsi"/>
                <w:sz w:val="20"/>
              </w:rPr>
            </w:pPr>
          </w:p>
          <w:p w14:paraId="7B4DD469" w14:textId="77777777" w:rsidR="0071110F" w:rsidRPr="00492F49" w:rsidRDefault="0071110F" w:rsidP="00781834">
            <w:pPr>
              <w:spacing w:after="0" w:line="240" w:lineRule="auto"/>
              <w:jc w:val="both"/>
              <w:rPr>
                <w:rStyle w:val="e24kjd"/>
                <w:rFonts w:asciiTheme="majorHAnsi" w:hAnsiTheme="majorHAnsi" w:cstheme="majorHAnsi"/>
                <w:b/>
                <w:sz w:val="20"/>
              </w:rPr>
            </w:pPr>
            <w:r>
              <w:rPr>
                <w:rStyle w:val="e24kjd"/>
                <w:rFonts w:asciiTheme="majorHAnsi" w:hAnsiTheme="majorHAnsi" w:cstheme="majorHAnsi"/>
                <w:b/>
                <w:sz w:val="20"/>
              </w:rPr>
              <w:t>Figure</w:t>
            </w:r>
            <w:r w:rsidRPr="00492F49">
              <w:rPr>
                <w:rStyle w:val="e24kjd"/>
                <w:rFonts w:asciiTheme="majorHAnsi" w:hAnsiTheme="majorHAnsi" w:cstheme="majorHAnsi"/>
                <w:b/>
                <w:sz w:val="20"/>
              </w:rPr>
              <w:t>. HIV incidence (new cases per 100,000), years 2000-2019</w:t>
            </w:r>
          </w:p>
          <w:p w14:paraId="73DABB06" w14:textId="77777777" w:rsidR="0071110F" w:rsidRPr="00210B9B" w:rsidRDefault="0071110F" w:rsidP="00781834">
            <w:pPr>
              <w:spacing w:after="0" w:line="240" w:lineRule="auto"/>
              <w:jc w:val="both"/>
              <w:rPr>
                <w:rStyle w:val="e24kjd"/>
                <w:rFonts w:asciiTheme="majorHAnsi" w:hAnsiTheme="majorHAnsi" w:cstheme="majorHAnsi"/>
                <w:sz w:val="20"/>
              </w:rPr>
            </w:pPr>
            <w:r w:rsidRPr="00E4545E">
              <w:rPr>
                <w:noProof/>
                <w:shd w:val="clear" w:color="auto" w:fill="494A4C" w:themeFill="accent2" w:themeFillShade="80"/>
              </w:rPr>
              <w:drawing>
                <wp:inline distT="0" distB="0" distL="0" distR="0" wp14:anchorId="2B40B08C" wp14:editId="3F575D4B">
                  <wp:extent cx="6238875" cy="23526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945D130" w14:textId="6FCC4A2B" w:rsidR="0071110F" w:rsidRDefault="00AF420D" w:rsidP="00781834">
            <w:pPr>
              <w:spacing w:after="0" w:line="240" w:lineRule="auto"/>
              <w:rPr>
                <w:rStyle w:val="e24kjd"/>
                <w:rFonts w:asciiTheme="majorHAnsi" w:hAnsiTheme="majorHAnsi" w:cstheme="majorHAnsi"/>
                <w:sz w:val="16"/>
              </w:rPr>
            </w:pPr>
            <w:r w:rsidRPr="00C4673D">
              <w:rPr>
                <w:rStyle w:val="e24kjd"/>
                <w:rFonts w:asciiTheme="majorHAnsi" w:hAnsiTheme="majorHAnsi" w:cstheme="majorHAnsi"/>
                <w:sz w:val="16"/>
              </w:rPr>
              <w:t>Source: National Agency of Public Health surveillance data</w:t>
            </w:r>
          </w:p>
          <w:p w14:paraId="0B465088" w14:textId="77777777" w:rsidR="00AF420D" w:rsidRDefault="00AF420D" w:rsidP="00781834">
            <w:pPr>
              <w:spacing w:after="0" w:line="240" w:lineRule="auto"/>
              <w:rPr>
                <w:rStyle w:val="e24kjd"/>
                <w:rFonts w:asciiTheme="majorHAnsi" w:hAnsiTheme="majorHAnsi" w:cstheme="majorHAnsi"/>
                <w:sz w:val="20"/>
              </w:rPr>
            </w:pPr>
          </w:p>
          <w:p w14:paraId="75C4C588" w14:textId="7F66D3F0" w:rsidR="00231E5B" w:rsidRDefault="00231E5B" w:rsidP="00231E5B">
            <w:pPr>
              <w:rPr>
                <w:rFonts w:cs="Arial"/>
                <w:sz w:val="20"/>
                <w:szCs w:val="20"/>
              </w:rPr>
            </w:pPr>
            <w:r w:rsidRPr="003D49A3">
              <w:rPr>
                <w:rFonts w:cs="Arial"/>
                <w:sz w:val="20"/>
                <w:szCs w:val="20"/>
              </w:rPr>
              <w:t>According to the latest Global Aids Monitoring Report 2019, the HIV epidemic continues to be concentrated among key affected po</w:t>
            </w:r>
            <w:r>
              <w:rPr>
                <w:rFonts w:cs="Arial"/>
                <w:sz w:val="20"/>
                <w:szCs w:val="20"/>
              </w:rPr>
              <w:t>pulations, mostly PWID, with an</w:t>
            </w:r>
            <w:r w:rsidRPr="003D49A3">
              <w:rPr>
                <w:rFonts w:cs="Arial"/>
                <w:sz w:val="20"/>
                <w:szCs w:val="20"/>
              </w:rPr>
              <w:t xml:space="preserve"> increasing contribution of SWs and MSM</w:t>
            </w:r>
            <w:r>
              <w:rPr>
                <w:rFonts w:cs="Arial"/>
                <w:sz w:val="20"/>
                <w:szCs w:val="20"/>
              </w:rPr>
              <w:t>s</w:t>
            </w:r>
            <w:r w:rsidRPr="003D49A3">
              <w:rPr>
                <w:rFonts w:cs="Arial"/>
                <w:sz w:val="20"/>
                <w:szCs w:val="20"/>
              </w:rPr>
              <w:t>. Data suggest that the epidemic has transitioned from a PWID driven epidemic to one in which transmissions to sexual partners and other key populations has become a source of new infections</w:t>
            </w:r>
            <w:r w:rsidRPr="002054A3">
              <w:rPr>
                <w:rFonts w:cs="Arial"/>
                <w:sz w:val="20"/>
                <w:szCs w:val="20"/>
              </w:rPr>
              <w:t>. (Annex</w:t>
            </w:r>
            <w:r w:rsidR="002054A3" w:rsidRPr="002054A3">
              <w:rPr>
                <w:rFonts w:cs="Arial"/>
                <w:sz w:val="20"/>
                <w:szCs w:val="20"/>
              </w:rPr>
              <w:t xml:space="preserve"> 11</w:t>
            </w:r>
            <w:r w:rsidRPr="002054A3">
              <w:rPr>
                <w:rFonts w:cs="Arial"/>
                <w:sz w:val="20"/>
                <w:szCs w:val="20"/>
              </w:rPr>
              <w:t xml:space="preserve"> GAM 2019)</w:t>
            </w:r>
          </w:p>
          <w:tbl>
            <w:tblPr>
              <w:tblStyle w:val="TableGrid"/>
              <w:tblW w:w="0" w:type="auto"/>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5034"/>
            </w:tblGrid>
            <w:tr w:rsidR="00231E5B" w14:paraId="078C690B" w14:textId="77777777" w:rsidTr="00231E5B">
              <w:tc>
                <w:tcPr>
                  <w:tcW w:w="5130" w:type="dxa"/>
                </w:tcPr>
                <w:p w14:paraId="18DAEA85" w14:textId="77777777" w:rsidR="00231E5B" w:rsidRPr="0016626A" w:rsidRDefault="00231E5B" w:rsidP="00231E5B">
                  <w:pPr>
                    <w:rPr>
                      <w:rStyle w:val="e24kjd"/>
                      <w:rFonts w:asciiTheme="majorHAnsi" w:hAnsiTheme="majorHAnsi" w:cstheme="majorHAnsi"/>
                      <w:b/>
                      <w:sz w:val="20"/>
                    </w:rPr>
                  </w:pPr>
                  <w:r w:rsidRPr="0016626A">
                    <w:rPr>
                      <w:rStyle w:val="e24kjd"/>
                      <w:rFonts w:asciiTheme="majorHAnsi" w:hAnsiTheme="majorHAnsi" w:cstheme="majorHAnsi"/>
                      <w:b/>
                      <w:sz w:val="20"/>
                    </w:rPr>
                    <w:t>Progress in estimated HIV transmission</w:t>
                  </w:r>
                </w:p>
              </w:tc>
              <w:tc>
                <w:tcPr>
                  <w:tcW w:w="5034" w:type="dxa"/>
                </w:tcPr>
                <w:p w14:paraId="2163AA63" w14:textId="77777777" w:rsidR="00231E5B" w:rsidRPr="0016626A" w:rsidRDefault="00231E5B" w:rsidP="00231E5B">
                  <w:pPr>
                    <w:rPr>
                      <w:rStyle w:val="e24kjd"/>
                      <w:rFonts w:asciiTheme="majorHAnsi" w:hAnsiTheme="majorHAnsi" w:cstheme="majorHAnsi"/>
                      <w:b/>
                      <w:sz w:val="20"/>
                    </w:rPr>
                  </w:pPr>
                  <w:r w:rsidRPr="0016626A">
                    <w:rPr>
                      <w:rStyle w:val="e24kjd"/>
                      <w:rFonts w:asciiTheme="majorHAnsi" w:hAnsiTheme="majorHAnsi" w:cstheme="majorHAnsi"/>
                      <w:b/>
                      <w:sz w:val="20"/>
                    </w:rPr>
                    <w:t>Progress in AIDS-related deaths</w:t>
                  </w:r>
                </w:p>
              </w:tc>
            </w:tr>
            <w:tr w:rsidR="00231E5B" w14:paraId="27BDBCE7" w14:textId="77777777" w:rsidTr="00231E5B">
              <w:tc>
                <w:tcPr>
                  <w:tcW w:w="5130" w:type="dxa"/>
                </w:tcPr>
                <w:p w14:paraId="30A66CA4" w14:textId="77777777" w:rsidR="00231E5B" w:rsidRDefault="00231E5B" w:rsidP="00231E5B">
                  <w:pPr>
                    <w:rPr>
                      <w:rStyle w:val="e24kjd"/>
                      <w:rFonts w:asciiTheme="majorHAnsi" w:hAnsiTheme="majorHAnsi" w:cstheme="majorHAnsi"/>
                      <w:sz w:val="20"/>
                    </w:rPr>
                  </w:pPr>
                  <w:r w:rsidRPr="00E4545E">
                    <w:rPr>
                      <w:rFonts w:asciiTheme="majorHAnsi" w:hAnsiTheme="majorHAnsi" w:cstheme="majorHAnsi"/>
                      <w:noProof/>
                      <w:sz w:val="20"/>
                    </w:rPr>
                    <w:drawing>
                      <wp:inline distT="0" distB="0" distL="0" distR="0" wp14:anchorId="0F3EE489" wp14:editId="7AD21D2E">
                        <wp:extent cx="2935535" cy="1923691"/>
                        <wp:effectExtent l="0" t="0" r="0" b="635"/>
                        <wp:docPr id="15" name="Content Placeholder 3">
                          <a:extLst xmlns:a="http://schemas.openxmlformats.org/drawingml/2006/main">
                            <a:ext uri="{FF2B5EF4-FFF2-40B4-BE49-F238E27FC236}">
                              <a16:creationId xmlns:a16="http://schemas.microsoft.com/office/drawing/2014/main" id="{884A3551-0760-4C95-8FA1-FA36B662B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nt Placeholder 3">
                                  <a:extLst>
                                    <a:ext uri="{FF2B5EF4-FFF2-40B4-BE49-F238E27FC236}">
                                      <a16:creationId xmlns:a16="http://schemas.microsoft.com/office/drawing/2014/main" id="{884A3551-0760-4C95-8FA1-FA36B662BC42}"/>
                                    </a:ext>
                                  </a:extLst>
                                </pic:cNvPr>
                                <pic:cNvPicPr>
                                  <a:picLocks noChangeAspect="1"/>
                                </pic:cNvPicPr>
                              </pic:nvPicPr>
                              <pic:blipFill>
                                <a:blip r:embed="rId33"/>
                                <a:stretch>
                                  <a:fillRect/>
                                </a:stretch>
                              </pic:blipFill>
                              <pic:spPr>
                                <a:xfrm>
                                  <a:off x="0" y="0"/>
                                  <a:ext cx="2935535" cy="1923691"/>
                                </a:xfrm>
                                <a:prstGeom prst="rect">
                                  <a:avLst/>
                                </a:prstGeom>
                              </pic:spPr>
                            </pic:pic>
                          </a:graphicData>
                        </a:graphic>
                      </wp:inline>
                    </w:drawing>
                  </w:r>
                </w:p>
              </w:tc>
              <w:tc>
                <w:tcPr>
                  <w:tcW w:w="5034" w:type="dxa"/>
                </w:tcPr>
                <w:p w14:paraId="7BA29868" w14:textId="77777777" w:rsidR="00231E5B" w:rsidRDefault="00231E5B" w:rsidP="00231E5B">
                  <w:pPr>
                    <w:jc w:val="center"/>
                    <w:rPr>
                      <w:rStyle w:val="e24kjd"/>
                      <w:rFonts w:asciiTheme="majorHAnsi" w:hAnsiTheme="majorHAnsi" w:cstheme="majorHAnsi"/>
                      <w:sz w:val="20"/>
                    </w:rPr>
                  </w:pPr>
                  <w:r w:rsidRPr="00E4545E">
                    <w:rPr>
                      <w:rFonts w:asciiTheme="majorHAnsi" w:hAnsiTheme="majorHAnsi" w:cstheme="majorHAnsi"/>
                      <w:noProof/>
                      <w:sz w:val="20"/>
                    </w:rPr>
                    <w:drawing>
                      <wp:inline distT="0" distB="0" distL="0" distR="0" wp14:anchorId="69B65D80" wp14:editId="142DF801">
                        <wp:extent cx="2803525" cy="1966595"/>
                        <wp:effectExtent l="0" t="0" r="0" b="0"/>
                        <wp:docPr id="16" name="Picture 15">
                          <a:extLst xmlns:a="http://schemas.openxmlformats.org/drawingml/2006/main">
                            <a:ext uri="{FF2B5EF4-FFF2-40B4-BE49-F238E27FC236}">
                              <a16:creationId xmlns:a16="http://schemas.microsoft.com/office/drawing/2014/main" id="{86881E8B-857C-439B-B59A-745AE41CDF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6881E8B-857C-439B-B59A-745AE41CDF38}"/>
                                    </a:ext>
                                  </a:extLst>
                                </pic:cNvPr>
                                <pic:cNvPicPr>
                                  <a:picLocks noChangeAspect="1"/>
                                </pic:cNvPicPr>
                              </pic:nvPicPr>
                              <pic:blipFill>
                                <a:blip r:embed="rId34"/>
                                <a:stretch>
                                  <a:fillRect/>
                                </a:stretch>
                              </pic:blipFill>
                              <pic:spPr>
                                <a:xfrm>
                                  <a:off x="0" y="0"/>
                                  <a:ext cx="2803525" cy="1966595"/>
                                </a:xfrm>
                                <a:prstGeom prst="rect">
                                  <a:avLst/>
                                </a:prstGeom>
                              </pic:spPr>
                            </pic:pic>
                          </a:graphicData>
                        </a:graphic>
                      </wp:inline>
                    </w:drawing>
                  </w:r>
                </w:p>
              </w:tc>
            </w:tr>
          </w:tbl>
          <w:p w14:paraId="3504ABC8" w14:textId="77777777" w:rsidR="00231E5B" w:rsidRPr="00C71542" w:rsidRDefault="00231E5B" w:rsidP="00231E5B">
            <w:pPr>
              <w:rPr>
                <w:rFonts w:asciiTheme="majorHAnsi" w:hAnsiTheme="majorHAnsi" w:cstheme="majorHAnsi"/>
                <w:sz w:val="20"/>
                <w:lang w:val="fr-FR"/>
              </w:rPr>
            </w:pPr>
            <w:r w:rsidRPr="00C71542">
              <w:rPr>
                <w:rStyle w:val="e24kjd"/>
                <w:rFonts w:asciiTheme="majorHAnsi" w:hAnsiTheme="majorHAnsi" w:cstheme="majorHAnsi"/>
                <w:sz w:val="20"/>
                <w:lang w:val="fr-FR"/>
              </w:rPr>
              <w:t xml:space="preserve">Source: </w:t>
            </w:r>
            <w:hyperlink r:id="rId35" w:history="1">
              <w:r w:rsidRPr="00C71542">
                <w:rPr>
                  <w:rStyle w:val="Hyperlink"/>
                  <w:rFonts w:asciiTheme="majorHAnsi" w:hAnsiTheme="majorHAnsi" w:cstheme="majorHAnsi"/>
                  <w:sz w:val="20"/>
                  <w:lang w:val="fr-FR"/>
                </w:rPr>
                <w:t>http://aidsinfo.unaids.org/</w:t>
              </w:r>
            </w:hyperlink>
            <w:r w:rsidRPr="00C71542">
              <w:rPr>
                <w:rFonts w:asciiTheme="majorHAnsi" w:hAnsiTheme="majorHAnsi" w:cstheme="majorHAnsi"/>
                <w:sz w:val="20"/>
                <w:lang w:val="fr-FR"/>
              </w:rPr>
              <w:t xml:space="preserve"> </w:t>
            </w:r>
          </w:p>
          <w:p w14:paraId="2AC38B6C" w14:textId="77777777" w:rsidR="00231E5B" w:rsidRPr="00C71542" w:rsidRDefault="00231E5B" w:rsidP="00781834">
            <w:pPr>
              <w:spacing w:after="0" w:line="240" w:lineRule="auto"/>
              <w:jc w:val="both"/>
              <w:rPr>
                <w:rStyle w:val="e24kjd"/>
                <w:rFonts w:asciiTheme="majorHAnsi" w:hAnsiTheme="majorHAnsi" w:cstheme="majorHAnsi"/>
                <w:sz w:val="20"/>
                <w:lang w:val="fr-FR"/>
              </w:rPr>
            </w:pPr>
          </w:p>
          <w:p w14:paraId="7676E996" w14:textId="510793F2" w:rsidR="0071110F" w:rsidRDefault="0071110F" w:rsidP="00781834">
            <w:pPr>
              <w:spacing w:after="0" w:line="240" w:lineRule="auto"/>
              <w:jc w:val="both"/>
              <w:rPr>
                <w:rStyle w:val="e24kjd"/>
                <w:rFonts w:asciiTheme="majorHAnsi" w:hAnsiTheme="majorHAnsi" w:cstheme="majorHAnsi"/>
                <w:sz w:val="20"/>
              </w:rPr>
            </w:pPr>
            <w:r>
              <w:rPr>
                <w:rStyle w:val="e24kjd"/>
                <w:rFonts w:asciiTheme="majorHAnsi" w:hAnsiTheme="majorHAnsi" w:cstheme="majorHAnsi"/>
                <w:sz w:val="20"/>
              </w:rPr>
              <w:t>The geographic distribution shows concentration in urban areas, t</w:t>
            </w:r>
            <w:r w:rsidRPr="00210B9B">
              <w:rPr>
                <w:rStyle w:val="e24kjd"/>
                <w:rFonts w:asciiTheme="majorHAnsi" w:hAnsiTheme="majorHAnsi" w:cstheme="majorHAnsi"/>
                <w:sz w:val="20"/>
              </w:rPr>
              <w:t xml:space="preserve">he most affected sites are </w:t>
            </w:r>
            <w:r>
              <w:rPr>
                <w:rStyle w:val="e24kjd"/>
                <w:rFonts w:asciiTheme="majorHAnsi" w:hAnsiTheme="majorHAnsi" w:cstheme="majorHAnsi"/>
                <w:sz w:val="20"/>
              </w:rPr>
              <w:t>municipalities of Balti, Tiraspol and a town in Transnistrian region Rybnitsa.</w:t>
            </w:r>
            <w:r w:rsidRPr="00210B9B">
              <w:rPr>
                <w:rStyle w:val="e24kjd"/>
                <w:rFonts w:asciiTheme="majorHAnsi" w:hAnsiTheme="majorHAnsi" w:cstheme="majorHAnsi"/>
                <w:sz w:val="20"/>
              </w:rPr>
              <w:t xml:space="preserve"> (</w:t>
            </w:r>
            <w:r>
              <w:rPr>
                <w:rStyle w:val="e24kjd"/>
                <w:rFonts w:asciiTheme="majorHAnsi" w:hAnsiTheme="majorHAnsi" w:cstheme="majorHAnsi"/>
                <w:sz w:val="20"/>
              </w:rPr>
              <w:t xml:space="preserve">National Agency for Public Health. </w:t>
            </w:r>
            <w:r w:rsidRPr="00210B9B">
              <w:rPr>
                <w:rStyle w:val="e24kjd"/>
                <w:rFonts w:asciiTheme="majorHAnsi" w:hAnsiTheme="majorHAnsi" w:cstheme="majorHAnsi"/>
                <w:sz w:val="20"/>
              </w:rPr>
              <w:t>Annual Epidemic Update 20</w:t>
            </w:r>
            <w:r>
              <w:rPr>
                <w:rStyle w:val="e24kjd"/>
                <w:rFonts w:asciiTheme="majorHAnsi" w:hAnsiTheme="majorHAnsi" w:cstheme="majorHAnsi"/>
                <w:sz w:val="20"/>
              </w:rPr>
              <w:t>20)</w:t>
            </w:r>
          </w:p>
          <w:p w14:paraId="16C24AE2" w14:textId="65E62F0F" w:rsidR="00231E5B" w:rsidRDefault="00231E5B" w:rsidP="00781834">
            <w:pPr>
              <w:spacing w:after="0" w:line="240" w:lineRule="auto"/>
              <w:jc w:val="both"/>
              <w:rPr>
                <w:rStyle w:val="e24kjd"/>
                <w:rFonts w:asciiTheme="majorHAnsi" w:hAnsiTheme="majorHAnsi" w:cstheme="majorHAnsi"/>
                <w:sz w:val="20"/>
              </w:rPr>
            </w:pPr>
          </w:p>
          <w:p w14:paraId="4AA84564" w14:textId="64FA1B12" w:rsidR="00F35F01" w:rsidRDefault="00F35F01" w:rsidP="00781834">
            <w:pPr>
              <w:spacing w:after="0" w:line="240" w:lineRule="auto"/>
              <w:jc w:val="both"/>
              <w:rPr>
                <w:rStyle w:val="e24kjd"/>
                <w:rFonts w:asciiTheme="majorHAnsi" w:hAnsiTheme="majorHAnsi" w:cstheme="majorHAnsi"/>
                <w:sz w:val="20"/>
              </w:rPr>
            </w:pPr>
          </w:p>
          <w:p w14:paraId="69ED5B3A" w14:textId="40FE4E42" w:rsidR="00F35F01" w:rsidRDefault="00F35F01" w:rsidP="00781834">
            <w:pPr>
              <w:spacing w:after="0" w:line="240" w:lineRule="auto"/>
              <w:jc w:val="both"/>
              <w:rPr>
                <w:rStyle w:val="e24kjd"/>
                <w:rFonts w:asciiTheme="majorHAnsi" w:hAnsiTheme="majorHAnsi" w:cstheme="majorHAnsi"/>
                <w:sz w:val="20"/>
              </w:rPr>
            </w:pPr>
          </w:p>
          <w:p w14:paraId="770D208D" w14:textId="77777777" w:rsidR="00F35F01" w:rsidRDefault="00F35F01" w:rsidP="00781834">
            <w:pPr>
              <w:spacing w:after="0" w:line="240" w:lineRule="auto"/>
              <w:jc w:val="both"/>
              <w:rPr>
                <w:rStyle w:val="e24kjd"/>
                <w:rFonts w:asciiTheme="majorHAnsi" w:hAnsiTheme="majorHAnsi" w:cstheme="majorHAnsi"/>
                <w:sz w:val="20"/>
              </w:rPr>
            </w:pPr>
          </w:p>
          <w:p w14:paraId="1F4900D5" w14:textId="77777777" w:rsidR="00F35F01" w:rsidRDefault="00F35F01" w:rsidP="00781834">
            <w:pPr>
              <w:spacing w:after="0" w:line="240" w:lineRule="auto"/>
              <w:jc w:val="both"/>
              <w:rPr>
                <w:rStyle w:val="e24kjd"/>
                <w:rFonts w:asciiTheme="majorHAnsi" w:hAnsiTheme="majorHAnsi" w:cstheme="majorHAns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5405"/>
            </w:tblGrid>
            <w:tr w:rsidR="0071110F" w14:paraId="5321811F" w14:textId="77777777" w:rsidTr="00781834">
              <w:tc>
                <w:tcPr>
                  <w:tcW w:w="4825" w:type="dxa"/>
                </w:tcPr>
                <w:p w14:paraId="6099D533" w14:textId="2A09D8AC" w:rsidR="0071110F" w:rsidRPr="00797E28" w:rsidRDefault="0071110F" w:rsidP="00781834">
                  <w:pPr>
                    <w:spacing w:after="0" w:line="240" w:lineRule="auto"/>
                    <w:jc w:val="both"/>
                    <w:rPr>
                      <w:rStyle w:val="e24kjd"/>
                      <w:rFonts w:asciiTheme="majorHAnsi" w:hAnsiTheme="majorHAnsi" w:cstheme="majorHAnsi"/>
                      <w:sz w:val="18"/>
                    </w:rPr>
                  </w:pPr>
                  <w:r>
                    <w:rPr>
                      <w:rStyle w:val="e24kjd"/>
                      <w:rFonts w:asciiTheme="majorHAnsi" w:hAnsiTheme="majorHAnsi" w:cstheme="majorHAnsi"/>
                      <w:b/>
                      <w:sz w:val="18"/>
                    </w:rPr>
                    <w:lastRenderedPageBreak/>
                    <w:t>C</w:t>
                  </w:r>
                  <w:r w:rsidRPr="00797E28">
                    <w:rPr>
                      <w:rStyle w:val="e24kjd"/>
                      <w:rFonts w:asciiTheme="majorHAnsi" w:hAnsiTheme="majorHAnsi" w:cstheme="majorHAnsi"/>
                      <w:b/>
                      <w:sz w:val="18"/>
                    </w:rPr>
                    <w:t xml:space="preserve">umulative number of HIV cases registered (absolute number) and cumulative incidence (per 100,000), </w:t>
                  </w:r>
                  <w:r>
                    <w:rPr>
                      <w:rStyle w:val="e24kjd"/>
                      <w:rFonts w:asciiTheme="majorHAnsi" w:hAnsiTheme="majorHAnsi" w:cstheme="majorHAnsi"/>
                      <w:b/>
                      <w:sz w:val="18"/>
                    </w:rPr>
                    <w:t xml:space="preserve">by district </w:t>
                  </w:r>
                  <w:r w:rsidRPr="00797E28">
                    <w:rPr>
                      <w:rStyle w:val="e24kjd"/>
                      <w:rFonts w:asciiTheme="majorHAnsi" w:hAnsiTheme="majorHAnsi" w:cstheme="majorHAnsi"/>
                      <w:b/>
                      <w:sz w:val="18"/>
                    </w:rPr>
                    <w:t>2019</w:t>
                  </w:r>
                </w:p>
              </w:tc>
              <w:tc>
                <w:tcPr>
                  <w:tcW w:w="5405" w:type="dxa"/>
                </w:tcPr>
                <w:p w14:paraId="0894E4FD" w14:textId="730E6098" w:rsidR="0071110F" w:rsidRPr="00797E28" w:rsidRDefault="0071110F" w:rsidP="00781834">
                  <w:pPr>
                    <w:spacing w:after="0" w:line="240" w:lineRule="auto"/>
                    <w:jc w:val="both"/>
                    <w:rPr>
                      <w:rStyle w:val="e24kjd"/>
                      <w:rFonts w:asciiTheme="majorHAnsi" w:hAnsiTheme="majorHAnsi" w:cstheme="majorHAnsi"/>
                      <w:sz w:val="18"/>
                    </w:rPr>
                  </w:pPr>
                  <w:r>
                    <w:rPr>
                      <w:rStyle w:val="e24kjd"/>
                      <w:rFonts w:asciiTheme="majorHAnsi" w:hAnsiTheme="majorHAnsi" w:cstheme="majorHAnsi"/>
                      <w:b/>
                      <w:sz w:val="18"/>
                    </w:rPr>
                    <w:t>N</w:t>
                  </w:r>
                  <w:r w:rsidRPr="00797E28">
                    <w:rPr>
                      <w:rStyle w:val="e24kjd"/>
                      <w:rFonts w:asciiTheme="majorHAnsi" w:hAnsiTheme="majorHAnsi" w:cstheme="majorHAnsi"/>
                      <w:b/>
                      <w:sz w:val="18"/>
                    </w:rPr>
                    <w:t>ew HIV cases registered (absolute number) and incidence (per 100,000), 2019</w:t>
                  </w:r>
                </w:p>
              </w:tc>
            </w:tr>
            <w:tr w:rsidR="0071110F" w14:paraId="639C951D" w14:textId="77777777" w:rsidTr="00781834">
              <w:tc>
                <w:tcPr>
                  <w:tcW w:w="4825" w:type="dxa"/>
                </w:tcPr>
                <w:p w14:paraId="4763597A" w14:textId="68E3C255" w:rsidR="0071110F" w:rsidRDefault="00160565" w:rsidP="00781834">
                  <w:pPr>
                    <w:spacing w:after="0" w:line="240" w:lineRule="auto"/>
                    <w:jc w:val="center"/>
                    <w:rPr>
                      <w:rStyle w:val="e24kjd"/>
                      <w:rFonts w:asciiTheme="majorHAnsi" w:hAnsiTheme="majorHAnsi" w:cstheme="majorHAnsi"/>
                      <w:sz w:val="20"/>
                    </w:rPr>
                  </w:pPr>
                  <w:r w:rsidRPr="00160565">
                    <w:rPr>
                      <w:rStyle w:val="e24kjd"/>
                      <w:rFonts w:asciiTheme="majorHAnsi" w:hAnsiTheme="majorHAnsi" w:cstheme="majorHAnsi"/>
                      <w:noProof/>
                      <w:sz w:val="20"/>
                    </w:rPr>
                    <w:drawing>
                      <wp:inline distT="0" distB="0" distL="0" distR="0" wp14:anchorId="04A32B65" wp14:editId="50408F28">
                        <wp:extent cx="2428994" cy="3307742"/>
                        <wp:effectExtent l="0" t="0" r="9525" b="6985"/>
                        <wp:docPr id="27" name="Picture 27" descr="C:\Users\Stela Bivol\AppData\Local\Microsoft\Windows\INetCache\Content.Outlook\837HB3RO\Prevalenta RM _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la Bivol\AppData\Local\Microsoft\Windows\INetCache\Content.Outlook\837HB3RO\Prevalenta RM _2-0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0001" cy="3336349"/>
                                </a:xfrm>
                                <a:prstGeom prst="rect">
                                  <a:avLst/>
                                </a:prstGeom>
                                <a:noFill/>
                                <a:ln>
                                  <a:noFill/>
                                </a:ln>
                              </pic:spPr>
                            </pic:pic>
                          </a:graphicData>
                        </a:graphic>
                      </wp:inline>
                    </w:drawing>
                  </w:r>
                </w:p>
              </w:tc>
              <w:tc>
                <w:tcPr>
                  <w:tcW w:w="5405" w:type="dxa"/>
                </w:tcPr>
                <w:p w14:paraId="496C87A5" w14:textId="78849345" w:rsidR="0071110F" w:rsidRDefault="00160565" w:rsidP="00781834">
                  <w:pPr>
                    <w:spacing w:after="0" w:line="240" w:lineRule="auto"/>
                    <w:jc w:val="center"/>
                    <w:rPr>
                      <w:rStyle w:val="e24kjd"/>
                      <w:rFonts w:asciiTheme="majorHAnsi" w:hAnsiTheme="majorHAnsi" w:cstheme="majorHAnsi"/>
                      <w:sz w:val="20"/>
                    </w:rPr>
                  </w:pPr>
                  <w:r w:rsidRPr="00160565">
                    <w:rPr>
                      <w:rStyle w:val="e24kjd"/>
                      <w:rFonts w:asciiTheme="majorHAnsi" w:hAnsiTheme="majorHAnsi" w:cstheme="majorHAnsi"/>
                      <w:noProof/>
                      <w:sz w:val="20"/>
                    </w:rPr>
                    <w:drawing>
                      <wp:inline distT="0" distB="0" distL="0" distR="0" wp14:anchorId="1112C072" wp14:editId="7101720E">
                        <wp:extent cx="2520510" cy="3220278"/>
                        <wp:effectExtent l="0" t="0" r="0" b="0"/>
                        <wp:docPr id="26" name="Picture 26" descr="C:\Users\Stela Bivol\AppData\Local\Microsoft\Windows\INetCache\Content.Outlook\837HB3RO\Incidenta RM _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la Bivol\AppData\Local\Microsoft\Windows\INetCache\Content.Outlook\837HB3RO\Incidenta RM _2-0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33417" cy="3236768"/>
                                </a:xfrm>
                                <a:prstGeom prst="rect">
                                  <a:avLst/>
                                </a:prstGeom>
                                <a:noFill/>
                                <a:ln>
                                  <a:noFill/>
                                </a:ln>
                              </pic:spPr>
                            </pic:pic>
                          </a:graphicData>
                        </a:graphic>
                      </wp:inline>
                    </w:drawing>
                  </w:r>
                </w:p>
              </w:tc>
            </w:tr>
            <w:tr w:rsidR="0071110F" w14:paraId="1D07E175" w14:textId="77777777" w:rsidTr="00781834">
              <w:tc>
                <w:tcPr>
                  <w:tcW w:w="10230" w:type="dxa"/>
                  <w:gridSpan w:val="2"/>
                </w:tcPr>
                <w:p w14:paraId="09116104" w14:textId="77777777" w:rsidR="0071110F" w:rsidRPr="00C4673D" w:rsidRDefault="0071110F" w:rsidP="00781834">
                  <w:pPr>
                    <w:spacing w:after="0" w:line="240" w:lineRule="auto"/>
                    <w:jc w:val="both"/>
                    <w:rPr>
                      <w:rStyle w:val="e24kjd"/>
                      <w:rFonts w:asciiTheme="majorHAnsi" w:hAnsiTheme="majorHAnsi" w:cstheme="majorHAnsi"/>
                      <w:sz w:val="16"/>
                    </w:rPr>
                  </w:pPr>
                  <w:r w:rsidRPr="00C4673D">
                    <w:rPr>
                      <w:rStyle w:val="e24kjd"/>
                      <w:rFonts w:asciiTheme="majorHAnsi" w:hAnsiTheme="majorHAnsi" w:cstheme="majorHAnsi"/>
                      <w:sz w:val="16"/>
                    </w:rPr>
                    <w:t>Source: National Agency of Public Health surveillance data.</w:t>
                  </w:r>
                </w:p>
                <w:p w14:paraId="7AC38402" w14:textId="77777777" w:rsidR="0071110F" w:rsidRPr="00C4673D" w:rsidRDefault="0071110F" w:rsidP="00781834">
                  <w:pPr>
                    <w:spacing w:after="0" w:line="240" w:lineRule="auto"/>
                    <w:jc w:val="both"/>
                    <w:rPr>
                      <w:rStyle w:val="e24kjd"/>
                      <w:rFonts w:asciiTheme="majorHAnsi" w:hAnsiTheme="majorHAnsi" w:cstheme="majorHAnsi"/>
                      <w:sz w:val="16"/>
                    </w:rPr>
                  </w:pPr>
                  <w:r w:rsidRPr="00C4673D">
                    <w:rPr>
                      <w:rStyle w:val="e24kjd"/>
                      <w:rFonts w:asciiTheme="majorHAnsi" w:hAnsiTheme="majorHAnsi" w:cstheme="majorHAnsi"/>
                      <w:sz w:val="16"/>
                    </w:rPr>
                    <w:t xml:space="preserve">Note: exact values of incidence and </w:t>
                  </w:r>
                  <w:r>
                    <w:rPr>
                      <w:rStyle w:val="e24kjd"/>
                      <w:rFonts w:asciiTheme="majorHAnsi" w:hAnsiTheme="majorHAnsi" w:cstheme="majorHAnsi"/>
                      <w:sz w:val="16"/>
                    </w:rPr>
                    <w:t>cumulative incidence</w:t>
                  </w:r>
                  <w:r w:rsidRPr="00C4673D">
                    <w:rPr>
                      <w:rStyle w:val="e24kjd"/>
                      <w:rFonts w:asciiTheme="majorHAnsi" w:hAnsiTheme="majorHAnsi" w:cstheme="majorHAnsi"/>
                      <w:sz w:val="16"/>
                    </w:rPr>
                    <w:t xml:space="preserve"> per 100,000 will be adjusted when new population size per district is released by NBS.</w:t>
                  </w:r>
                  <w:r>
                    <w:rPr>
                      <w:rStyle w:val="e24kjd"/>
                      <w:rFonts w:asciiTheme="majorHAnsi" w:hAnsiTheme="majorHAnsi" w:cstheme="majorHAnsi"/>
                      <w:sz w:val="20"/>
                    </w:rPr>
                    <w:t xml:space="preserve"> </w:t>
                  </w:r>
                  <w:r w:rsidRPr="00C4673D">
                    <w:rPr>
                      <w:rStyle w:val="e24kjd"/>
                      <w:rFonts w:asciiTheme="majorHAnsi" w:hAnsiTheme="majorHAnsi" w:cstheme="majorHAnsi"/>
                      <w:sz w:val="16"/>
                    </w:rPr>
                    <w:t>Cumulative incidence includes all number of cases registered since 1987 until 2019</w:t>
                  </w:r>
                  <w:r>
                    <w:rPr>
                      <w:rStyle w:val="e24kjd"/>
                      <w:rFonts w:asciiTheme="majorHAnsi" w:hAnsiTheme="majorHAnsi" w:cstheme="majorHAnsi"/>
                      <w:sz w:val="16"/>
                    </w:rPr>
                    <w:t>.</w:t>
                  </w:r>
                </w:p>
                <w:p w14:paraId="39AC2B5A" w14:textId="77777777" w:rsidR="0071110F" w:rsidRDefault="0071110F" w:rsidP="00781834">
                  <w:pPr>
                    <w:spacing w:after="0" w:line="240" w:lineRule="auto"/>
                    <w:jc w:val="both"/>
                    <w:rPr>
                      <w:rStyle w:val="e24kjd"/>
                      <w:rFonts w:asciiTheme="majorHAnsi" w:hAnsiTheme="majorHAnsi" w:cstheme="majorHAnsi"/>
                      <w:sz w:val="20"/>
                    </w:rPr>
                  </w:pPr>
                </w:p>
              </w:tc>
            </w:tr>
          </w:tbl>
          <w:p w14:paraId="5260FD1A" w14:textId="20644477" w:rsidR="0071110F" w:rsidRPr="003E41B8" w:rsidRDefault="0071110F" w:rsidP="00781834">
            <w:pPr>
              <w:spacing w:after="0" w:line="240" w:lineRule="auto"/>
              <w:jc w:val="both"/>
              <w:rPr>
                <w:rStyle w:val="e24kjd"/>
                <w:rFonts w:asciiTheme="majorHAnsi" w:hAnsiTheme="majorHAnsi" w:cstheme="majorHAnsi"/>
                <w:sz w:val="20"/>
              </w:rPr>
            </w:pPr>
            <w:r>
              <w:rPr>
                <w:rStyle w:val="e24kjd"/>
                <w:rFonts w:asciiTheme="majorHAnsi" w:hAnsiTheme="majorHAnsi" w:cstheme="majorHAnsi"/>
                <w:sz w:val="20"/>
              </w:rPr>
              <w:t xml:space="preserve">A trend analysis shows an overall changing epidemic, from </w:t>
            </w:r>
            <w:r w:rsidRPr="0016353A">
              <w:rPr>
                <w:rStyle w:val="e24kjd"/>
                <w:rFonts w:asciiTheme="majorHAnsi" w:hAnsiTheme="majorHAnsi" w:cstheme="majorHAnsi"/>
                <w:sz w:val="20"/>
              </w:rPr>
              <w:t>predominantly transmission through drug injection towards transmission to sexual partners of</w:t>
            </w:r>
            <w:r>
              <w:rPr>
                <w:rStyle w:val="e24kjd"/>
                <w:rFonts w:asciiTheme="majorHAnsi" w:hAnsiTheme="majorHAnsi" w:cstheme="majorHAnsi"/>
                <w:sz w:val="20"/>
              </w:rPr>
              <w:t xml:space="preserve"> key populations and an increasing trend among MSM and SWs. Following the first outbreak among people who injected drugs in 1996-1999, the harm reduction</w:t>
            </w:r>
            <w:r w:rsidR="00886006">
              <w:rPr>
                <w:rStyle w:val="e24kjd"/>
                <w:rFonts w:asciiTheme="majorHAnsi" w:hAnsiTheme="majorHAnsi" w:cstheme="majorHAnsi"/>
                <w:sz w:val="20"/>
              </w:rPr>
              <w:t xml:space="preserve"> / needle and syringe programs </w:t>
            </w:r>
            <w:r>
              <w:rPr>
                <w:rStyle w:val="e24kjd"/>
                <w:rFonts w:asciiTheme="majorHAnsi" w:hAnsiTheme="majorHAnsi" w:cstheme="majorHAnsi"/>
                <w:sz w:val="20"/>
              </w:rPr>
              <w:t>set up in hot spots in 2000 significantly decreased transmission through injecting drugs. In 2019, among 922</w:t>
            </w:r>
            <w:r w:rsidRPr="0016353A">
              <w:rPr>
                <w:rStyle w:val="e24kjd"/>
                <w:rFonts w:asciiTheme="majorHAnsi" w:hAnsiTheme="majorHAnsi" w:cstheme="majorHAnsi"/>
                <w:sz w:val="20"/>
              </w:rPr>
              <w:t xml:space="preserve"> newly diagnosed PLHIV, </w:t>
            </w:r>
            <w:r>
              <w:rPr>
                <w:rStyle w:val="e24kjd"/>
                <w:rFonts w:asciiTheme="majorHAnsi" w:hAnsiTheme="majorHAnsi" w:cstheme="majorHAnsi"/>
                <w:sz w:val="20"/>
              </w:rPr>
              <w:t>69</w:t>
            </w:r>
            <w:r w:rsidRPr="0016353A">
              <w:rPr>
                <w:rStyle w:val="e24kjd"/>
                <w:rFonts w:asciiTheme="majorHAnsi" w:hAnsiTheme="majorHAnsi" w:cstheme="majorHAnsi"/>
                <w:sz w:val="20"/>
              </w:rPr>
              <w:t xml:space="preserve">% reported a </w:t>
            </w:r>
            <w:r>
              <w:rPr>
                <w:rStyle w:val="e24kjd"/>
                <w:rFonts w:asciiTheme="majorHAnsi" w:hAnsiTheme="majorHAnsi" w:cstheme="majorHAnsi"/>
                <w:sz w:val="20"/>
              </w:rPr>
              <w:t>hetero</w:t>
            </w:r>
            <w:r w:rsidRPr="0016353A">
              <w:rPr>
                <w:rStyle w:val="e24kjd"/>
                <w:rFonts w:asciiTheme="majorHAnsi" w:hAnsiTheme="majorHAnsi" w:cstheme="majorHAnsi"/>
                <w:sz w:val="20"/>
              </w:rPr>
              <w:t>sexual transmission route</w:t>
            </w:r>
            <w:r>
              <w:rPr>
                <w:rStyle w:val="e24kjd"/>
                <w:rFonts w:asciiTheme="majorHAnsi" w:hAnsiTheme="majorHAnsi" w:cstheme="majorHAnsi"/>
                <w:sz w:val="20"/>
              </w:rPr>
              <w:t>,</w:t>
            </w:r>
            <w:r w:rsidRPr="0016353A">
              <w:rPr>
                <w:rStyle w:val="e24kjd"/>
                <w:rFonts w:asciiTheme="majorHAnsi" w:hAnsiTheme="majorHAnsi" w:cstheme="majorHAnsi"/>
                <w:sz w:val="20"/>
              </w:rPr>
              <w:t xml:space="preserve"> </w:t>
            </w:r>
            <w:r>
              <w:rPr>
                <w:rStyle w:val="e24kjd"/>
                <w:rFonts w:asciiTheme="majorHAnsi" w:hAnsiTheme="majorHAnsi" w:cstheme="majorHAnsi"/>
                <w:sz w:val="20"/>
              </w:rPr>
              <w:t>1.3% through same sex, 4</w:t>
            </w:r>
            <w:r w:rsidRPr="0016353A">
              <w:rPr>
                <w:rStyle w:val="e24kjd"/>
                <w:rFonts w:asciiTheme="majorHAnsi" w:hAnsiTheme="majorHAnsi" w:cstheme="majorHAnsi"/>
                <w:sz w:val="20"/>
              </w:rPr>
              <w:t>% through injecting drugs</w:t>
            </w:r>
            <w:r>
              <w:rPr>
                <w:rStyle w:val="e24kjd"/>
                <w:rFonts w:asciiTheme="majorHAnsi" w:hAnsiTheme="majorHAnsi" w:cstheme="majorHAnsi"/>
                <w:sz w:val="20"/>
              </w:rPr>
              <w:t xml:space="preserve"> and 2% PMTCT (rest 22% unknown). </w:t>
            </w:r>
            <w:r w:rsidRPr="003E41B8">
              <w:rPr>
                <w:rStyle w:val="e24kjd"/>
                <w:rFonts w:asciiTheme="majorHAnsi" w:hAnsiTheme="majorHAnsi" w:cstheme="majorHAnsi"/>
                <w:sz w:val="20"/>
              </w:rPr>
              <w:t>Mother t</w:t>
            </w:r>
            <w:r>
              <w:rPr>
                <w:rStyle w:val="e24kjd"/>
                <w:rFonts w:asciiTheme="majorHAnsi" w:hAnsiTheme="majorHAnsi" w:cstheme="majorHAnsi"/>
                <w:sz w:val="20"/>
              </w:rPr>
              <w:t xml:space="preserve">o child transmission has been at less than 2% </w:t>
            </w:r>
            <w:r w:rsidRPr="003E41B8">
              <w:rPr>
                <w:rStyle w:val="e24kjd"/>
                <w:rFonts w:asciiTheme="majorHAnsi" w:hAnsiTheme="majorHAnsi" w:cstheme="majorHAnsi"/>
                <w:sz w:val="20"/>
              </w:rPr>
              <w:t>in the past decade, contributing 1-2% and in absolute terms between 10-20 newborns are diagnosed with HIV every year.</w:t>
            </w:r>
          </w:p>
          <w:p w14:paraId="6DDA9FBD" w14:textId="0F83654D" w:rsidR="0071110F" w:rsidRDefault="0071110F" w:rsidP="00781834">
            <w:pPr>
              <w:spacing w:after="0" w:line="240" w:lineRule="auto"/>
              <w:jc w:val="both"/>
              <w:rPr>
                <w:rStyle w:val="e24kjd"/>
                <w:rFonts w:asciiTheme="majorHAnsi" w:hAnsiTheme="majorHAnsi" w:cstheme="majorHAnsi"/>
                <w:sz w:val="20"/>
              </w:rPr>
            </w:pPr>
          </w:p>
          <w:p w14:paraId="772F18EE" w14:textId="65D7E0E7" w:rsidR="0071110F" w:rsidRDefault="0071110F" w:rsidP="00781834">
            <w:pPr>
              <w:spacing w:after="0" w:line="240" w:lineRule="auto"/>
              <w:jc w:val="both"/>
              <w:rPr>
                <w:rStyle w:val="e24kjd"/>
                <w:rFonts w:asciiTheme="majorHAnsi" w:hAnsiTheme="majorHAnsi" w:cstheme="majorHAnsi"/>
                <w:sz w:val="20"/>
              </w:rPr>
            </w:pPr>
            <w:r>
              <w:rPr>
                <w:rStyle w:val="e24kjd"/>
                <w:rFonts w:asciiTheme="majorHAnsi" w:hAnsiTheme="majorHAnsi" w:cstheme="majorHAnsi"/>
                <w:sz w:val="20"/>
              </w:rPr>
              <w:t>A shift in trends by gender and age has also occurred. Newly diagnosed cases are registered in adult populations, highest in 25-39-year group (54%), age groups over 26 years accounting for 84% of HIV diagnosed cases. Since 2010, the share of 15-24-year age group has decreased from 22% in 2010 to 8% in 2019. Gender distribution of HIV diagnoses evolved over time: initially an</w:t>
            </w:r>
            <w:r w:rsidRPr="00CC1675">
              <w:rPr>
                <w:rStyle w:val="e24kjd"/>
                <w:rFonts w:asciiTheme="majorHAnsi" w:hAnsiTheme="majorHAnsi" w:cstheme="majorHAnsi"/>
                <w:sz w:val="20"/>
              </w:rPr>
              <w:t xml:space="preserve"> increase </w:t>
            </w:r>
            <w:r>
              <w:rPr>
                <w:rStyle w:val="e24kjd"/>
                <w:rFonts w:asciiTheme="majorHAnsi" w:hAnsiTheme="majorHAnsi" w:cstheme="majorHAnsi"/>
                <w:sz w:val="20"/>
              </w:rPr>
              <w:t>in proportion</w:t>
            </w:r>
            <w:r w:rsidRPr="00CC1675">
              <w:rPr>
                <w:rStyle w:val="e24kjd"/>
                <w:rFonts w:asciiTheme="majorHAnsi" w:hAnsiTheme="majorHAnsi" w:cstheme="majorHAnsi"/>
                <w:sz w:val="20"/>
              </w:rPr>
              <w:t xml:space="preserve"> of women </w:t>
            </w:r>
            <w:r>
              <w:rPr>
                <w:rStyle w:val="e24kjd"/>
                <w:rFonts w:asciiTheme="majorHAnsi" w:hAnsiTheme="majorHAnsi" w:cstheme="majorHAnsi"/>
                <w:sz w:val="20"/>
              </w:rPr>
              <w:t>from 27</w:t>
            </w:r>
            <w:r w:rsidRPr="00CC1675">
              <w:rPr>
                <w:rStyle w:val="e24kjd"/>
                <w:rFonts w:asciiTheme="majorHAnsi" w:hAnsiTheme="majorHAnsi" w:cstheme="majorHAnsi"/>
                <w:sz w:val="20"/>
              </w:rPr>
              <w:t xml:space="preserve">% in 2001 to </w:t>
            </w:r>
            <w:r>
              <w:rPr>
                <w:rStyle w:val="e24kjd"/>
                <w:rFonts w:asciiTheme="majorHAnsi" w:hAnsiTheme="majorHAnsi" w:cstheme="majorHAnsi"/>
                <w:sz w:val="20"/>
              </w:rPr>
              <w:t>52%</w:t>
            </w:r>
            <w:r w:rsidRPr="00CC1675">
              <w:rPr>
                <w:rStyle w:val="e24kjd"/>
                <w:rFonts w:asciiTheme="majorHAnsi" w:hAnsiTheme="majorHAnsi" w:cstheme="majorHAnsi"/>
                <w:sz w:val="20"/>
              </w:rPr>
              <w:t xml:space="preserve"> in year 201</w:t>
            </w:r>
            <w:r>
              <w:rPr>
                <w:rStyle w:val="e24kjd"/>
                <w:rFonts w:asciiTheme="majorHAnsi" w:hAnsiTheme="majorHAnsi" w:cstheme="majorHAnsi"/>
                <w:sz w:val="20"/>
              </w:rPr>
              <w:t>0, probably mostly as sexual partners of PWID and among female PWID</w:t>
            </w:r>
            <w:r w:rsidR="00AF420D">
              <w:rPr>
                <w:rStyle w:val="e24kjd"/>
                <w:rFonts w:asciiTheme="majorHAnsi" w:hAnsiTheme="majorHAnsi" w:cstheme="majorHAnsi"/>
                <w:sz w:val="20"/>
              </w:rPr>
              <w:t xml:space="preserve"> and SWs</w:t>
            </w:r>
            <w:r>
              <w:rPr>
                <w:rStyle w:val="e24kjd"/>
                <w:rFonts w:asciiTheme="majorHAnsi" w:hAnsiTheme="majorHAnsi" w:cstheme="majorHAnsi"/>
                <w:sz w:val="20"/>
              </w:rPr>
              <w:t xml:space="preserve">, followed by a decrease to 41% in 2019. In absolute terms, number of new cases is stable among women (&lt;380 cases per year) and increasing in men from 341 cases in 2010 to 544 cases in 2019. </w:t>
            </w:r>
            <w:r w:rsidRPr="001E68EA">
              <w:rPr>
                <w:rStyle w:val="e24kjd"/>
                <w:rFonts w:asciiTheme="majorHAnsi" w:hAnsiTheme="majorHAnsi" w:cstheme="majorHAnsi"/>
                <w:sz w:val="20"/>
              </w:rPr>
              <w:t>Heterosexu</w:t>
            </w:r>
            <w:r>
              <w:rPr>
                <w:rStyle w:val="e24kjd"/>
                <w:rFonts w:asciiTheme="majorHAnsi" w:hAnsiTheme="majorHAnsi" w:cstheme="majorHAnsi"/>
                <w:sz w:val="20"/>
              </w:rPr>
              <w:t>al</w:t>
            </w:r>
            <w:r w:rsidRPr="001E68EA">
              <w:rPr>
                <w:rStyle w:val="e24kjd"/>
                <w:rFonts w:asciiTheme="majorHAnsi" w:hAnsiTheme="majorHAnsi" w:cstheme="majorHAnsi"/>
                <w:sz w:val="20"/>
              </w:rPr>
              <w:t xml:space="preserve"> transmission route prevails but as a share has decreased from 86% in 2010 to 69% in 2019. </w:t>
            </w:r>
            <w:r>
              <w:rPr>
                <w:rStyle w:val="e24kjd"/>
                <w:rFonts w:asciiTheme="majorHAnsi" w:hAnsiTheme="majorHAnsi" w:cstheme="majorHAnsi"/>
                <w:sz w:val="20"/>
              </w:rPr>
              <w:t xml:space="preserve">Case </w:t>
            </w:r>
            <w:r w:rsidRPr="001E68EA">
              <w:rPr>
                <w:rStyle w:val="e24kjd"/>
                <w:rFonts w:asciiTheme="majorHAnsi" w:hAnsiTheme="majorHAnsi" w:cstheme="majorHAnsi"/>
                <w:sz w:val="20"/>
              </w:rPr>
              <w:t xml:space="preserve">reporting </w:t>
            </w:r>
            <w:r>
              <w:rPr>
                <w:rStyle w:val="e24kjd"/>
                <w:rFonts w:asciiTheme="majorHAnsi" w:hAnsiTheme="majorHAnsi" w:cstheme="majorHAnsi"/>
                <w:sz w:val="20"/>
              </w:rPr>
              <w:t>among</w:t>
            </w:r>
            <w:r w:rsidRPr="001E68EA">
              <w:rPr>
                <w:rStyle w:val="e24kjd"/>
                <w:rFonts w:asciiTheme="majorHAnsi" w:hAnsiTheme="majorHAnsi" w:cstheme="majorHAnsi"/>
                <w:sz w:val="20"/>
              </w:rPr>
              <w:t xml:space="preserve"> men having sex with men </w:t>
            </w:r>
            <w:r>
              <w:rPr>
                <w:rStyle w:val="e24kjd"/>
                <w:rFonts w:asciiTheme="majorHAnsi" w:hAnsiTheme="majorHAnsi" w:cstheme="majorHAnsi"/>
                <w:sz w:val="20"/>
              </w:rPr>
              <w:t xml:space="preserve">increased from 6 in 2010 to 27 in 2019. These trends are </w:t>
            </w:r>
            <w:r w:rsidRPr="001E68EA">
              <w:rPr>
                <w:rStyle w:val="e24kjd"/>
                <w:rFonts w:asciiTheme="majorHAnsi" w:hAnsiTheme="majorHAnsi" w:cstheme="majorHAnsi"/>
                <w:sz w:val="20"/>
              </w:rPr>
              <w:t>an indication o</w:t>
            </w:r>
            <w:r>
              <w:rPr>
                <w:rStyle w:val="e24kjd"/>
                <w:rFonts w:asciiTheme="majorHAnsi" w:hAnsiTheme="majorHAnsi" w:cstheme="majorHAnsi"/>
                <w:sz w:val="20"/>
              </w:rPr>
              <w:t>f</w:t>
            </w:r>
            <w:r w:rsidRPr="001E68EA">
              <w:rPr>
                <w:rStyle w:val="e24kjd"/>
                <w:rFonts w:asciiTheme="majorHAnsi" w:hAnsiTheme="majorHAnsi" w:cstheme="majorHAnsi"/>
                <w:sz w:val="20"/>
              </w:rPr>
              <w:t xml:space="preserve"> increase</w:t>
            </w:r>
            <w:r>
              <w:rPr>
                <w:rStyle w:val="e24kjd"/>
                <w:rFonts w:asciiTheme="majorHAnsi" w:hAnsiTheme="majorHAnsi" w:cstheme="majorHAnsi"/>
                <w:sz w:val="20"/>
              </w:rPr>
              <w:t xml:space="preserve"> of HIV transmission among</w:t>
            </w:r>
            <w:r w:rsidRPr="001E68EA">
              <w:rPr>
                <w:rStyle w:val="e24kjd"/>
                <w:rFonts w:asciiTheme="majorHAnsi" w:hAnsiTheme="majorHAnsi" w:cstheme="majorHAnsi"/>
                <w:sz w:val="20"/>
              </w:rPr>
              <w:t xml:space="preserve"> men having sex with men</w:t>
            </w:r>
            <w:r>
              <w:rPr>
                <w:rStyle w:val="e24kjd"/>
                <w:rFonts w:asciiTheme="majorHAnsi" w:hAnsiTheme="majorHAnsi" w:cstheme="majorHAnsi"/>
                <w:sz w:val="20"/>
              </w:rPr>
              <w:t xml:space="preserve">. </w:t>
            </w:r>
          </w:p>
          <w:p w14:paraId="64DC6BA7" w14:textId="77777777" w:rsidR="0071110F" w:rsidRDefault="0071110F" w:rsidP="00781834">
            <w:pPr>
              <w:spacing w:after="0" w:line="240" w:lineRule="auto"/>
              <w:jc w:val="both"/>
              <w:rPr>
                <w:rStyle w:val="e24kjd"/>
                <w:rFonts w:asciiTheme="majorHAnsi" w:hAnsiTheme="majorHAnsi" w:cstheme="majorHAns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5"/>
              <w:gridCol w:w="5115"/>
            </w:tblGrid>
            <w:tr w:rsidR="0071110F" w14:paraId="3FB9FB4B" w14:textId="77777777" w:rsidTr="00781834">
              <w:trPr>
                <w:trHeight w:val="548"/>
              </w:trPr>
              <w:tc>
                <w:tcPr>
                  <w:tcW w:w="5115" w:type="dxa"/>
                </w:tcPr>
                <w:p w14:paraId="771AD5FC" w14:textId="7E663087" w:rsidR="0071110F" w:rsidRDefault="0071110F" w:rsidP="00781834">
                  <w:pPr>
                    <w:spacing w:after="0" w:line="240" w:lineRule="auto"/>
                    <w:jc w:val="both"/>
                    <w:rPr>
                      <w:rStyle w:val="e24kjd"/>
                      <w:rFonts w:asciiTheme="majorHAnsi" w:hAnsiTheme="majorHAnsi" w:cstheme="majorHAnsi"/>
                      <w:sz w:val="20"/>
                    </w:rPr>
                  </w:pPr>
                  <w:r>
                    <w:rPr>
                      <w:rStyle w:val="e24kjd"/>
                      <w:rFonts w:asciiTheme="majorHAnsi" w:hAnsiTheme="majorHAnsi" w:cstheme="majorHAnsi"/>
                      <w:b/>
                      <w:sz w:val="20"/>
                    </w:rPr>
                    <w:t>Relative distribution ratio of</w:t>
                  </w:r>
                  <w:r w:rsidRPr="001E68EA">
                    <w:rPr>
                      <w:rStyle w:val="e24kjd"/>
                      <w:rFonts w:asciiTheme="majorHAnsi" w:hAnsiTheme="majorHAnsi" w:cstheme="majorHAnsi"/>
                      <w:b/>
                      <w:sz w:val="20"/>
                    </w:rPr>
                    <w:t xml:space="preserve"> new HIV cases, years 2010-2019</w:t>
                  </w:r>
                </w:p>
              </w:tc>
              <w:tc>
                <w:tcPr>
                  <w:tcW w:w="5115" w:type="dxa"/>
                </w:tcPr>
                <w:p w14:paraId="5B900919" w14:textId="1FD12572" w:rsidR="0071110F" w:rsidRDefault="0071110F" w:rsidP="00781834">
                  <w:pPr>
                    <w:spacing w:after="0" w:line="240" w:lineRule="auto"/>
                    <w:jc w:val="both"/>
                    <w:rPr>
                      <w:rStyle w:val="e24kjd"/>
                      <w:rFonts w:asciiTheme="majorHAnsi" w:hAnsiTheme="majorHAnsi" w:cstheme="majorHAnsi"/>
                      <w:sz w:val="20"/>
                    </w:rPr>
                  </w:pPr>
                  <w:r w:rsidRPr="00FD3D17">
                    <w:rPr>
                      <w:rStyle w:val="e24kjd"/>
                      <w:rFonts w:asciiTheme="majorHAnsi" w:hAnsiTheme="majorHAnsi" w:cstheme="majorHAnsi"/>
                      <w:b/>
                      <w:sz w:val="20"/>
                    </w:rPr>
                    <w:t>Distribution by age groups, cumulative 2010-2019</w:t>
                  </w:r>
                </w:p>
              </w:tc>
            </w:tr>
            <w:tr w:rsidR="0071110F" w14:paraId="25C5CE02" w14:textId="77777777" w:rsidTr="00781834">
              <w:tc>
                <w:tcPr>
                  <w:tcW w:w="5115" w:type="dxa"/>
                </w:tcPr>
                <w:p w14:paraId="5CEA45B6" w14:textId="77777777" w:rsidR="0071110F" w:rsidRDefault="0071110F" w:rsidP="00781834">
                  <w:pPr>
                    <w:spacing w:after="0" w:line="240" w:lineRule="auto"/>
                    <w:jc w:val="both"/>
                    <w:rPr>
                      <w:rStyle w:val="e24kjd"/>
                      <w:rFonts w:asciiTheme="majorHAnsi" w:hAnsiTheme="majorHAnsi" w:cstheme="majorHAnsi"/>
                      <w:sz w:val="20"/>
                    </w:rPr>
                  </w:pPr>
                  <w:r>
                    <w:rPr>
                      <w:noProof/>
                    </w:rPr>
                    <w:drawing>
                      <wp:inline distT="0" distB="0" distL="0" distR="0" wp14:anchorId="766146D1" wp14:editId="348994FD">
                        <wp:extent cx="2943225" cy="19526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5115" w:type="dxa"/>
                </w:tcPr>
                <w:tbl>
                  <w:tblPr>
                    <w:tblStyle w:val="ListTable3-Accent4"/>
                    <w:tblW w:w="4420" w:type="dxa"/>
                    <w:tblLook w:val="04A0" w:firstRow="1" w:lastRow="0" w:firstColumn="1" w:lastColumn="0" w:noHBand="0" w:noVBand="1"/>
                  </w:tblPr>
                  <w:tblGrid>
                    <w:gridCol w:w="2500"/>
                    <w:gridCol w:w="960"/>
                    <w:gridCol w:w="960"/>
                  </w:tblGrid>
                  <w:tr w:rsidR="0071110F" w:rsidRPr="00FD3D17" w14:paraId="7A662BCF" w14:textId="77777777" w:rsidTr="00500EA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500" w:type="dxa"/>
                        <w:noWrap/>
                        <w:hideMark/>
                      </w:tcPr>
                      <w:p w14:paraId="22812C50" w14:textId="77777777" w:rsidR="0071110F" w:rsidRPr="00500EA7" w:rsidRDefault="0071110F" w:rsidP="00E806B5">
                        <w:pPr>
                          <w:spacing w:after="0" w:line="240" w:lineRule="auto"/>
                          <w:rPr>
                            <w:rFonts w:asciiTheme="minorHAnsi" w:eastAsia="Times New Roman" w:hAnsiTheme="minorHAnsi" w:cstheme="minorHAnsi"/>
                            <w:sz w:val="20"/>
                            <w:szCs w:val="20"/>
                          </w:rPr>
                        </w:pPr>
                        <w:r w:rsidRPr="00500EA7">
                          <w:rPr>
                            <w:rFonts w:asciiTheme="minorHAnsi" w:eastAsia="Times New Roman" w:hAnsiTheme="minorHAnsi" w:cstheme="minorHAnsi"/>
                            <w:sz w:val="20"/>
                            <w:szCs w:val="20"/>
                          </w:rPr>
                          <w:t>Age, years</w:t>
                        </w:r>
                      </w:p>
                    </w:tc>
                    <w:tc>
                      <w:tcPr>
                        <w:tcW w:w="960" w:type="dxa"/>
                        <w:noWrap/>
                        <w:hideMark/>
                      </w:tcPr>
                      <w:p w14:paraId="508DC0B1" w14:textId="77777777" w:rsidR="0071110F" w:rsidRPr="00500EA7"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500EA7">
                          <w:rPr>
                            <w:rFonts w:asciiTheme="minorHAnsi" w:eastAsia="Times New Roman" w:hAnsiTheme="minorHAnsi" w:cstheme="minorHAnsi"/>
                            <w:sz w:val="20"/>
                            <w:szCs w:val="20"/>
                          </w:rPr>
                          <w:t>#</w:t>
                        </w:r>
                      </w:p>
                    </w:tc>
                    <w:tc>
                      <w:tcPr>
                        <w:tcW w:w="960" w:type="dxa"/>
                        <w:noWrap/>
                        <w:hideMark/>
                      </w:tcPr>
                      <w:p w14:paraId="69263904" w14:textId="77777777" w:rsidR="0071110F" w:rsidRPr="00500EA7"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500EA7">
                          <w:rPr>
                            <w:rFonts w:asciiTheme="minorHAnsi" w:eastAsia="Times New Roman" w:hAnsiTheme="minorHAnsi" w:cstheme="minorHAnsi"/>
                            <w:sz w:val="20"/>
                            <w:szCs w:val="20"/>
                          </w:rPr>
                          <w:t>%</w:t>
                        </w:r>
                      </w:p>
                    </w:tc>
                  </w:tr>
                  <w:tr w:rsidR="0071110F" w:rsidRPr="00FD3D17" w14:paraId="049F552A" w14:textId="77777777" w:rsidTr="00500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3CABB0D7" w14:textId="77777777" w:rsidR="0071110F" w:rsidRPr="00500EA7" w:rsidRDefault="0071110F" w:rsidP="00781834">
                        <w:pPr>
                          <w:spacing w:after="0" w:line="240" w:lineRule="auto"/>
                          <w:rPr>
                            <w:rFonts w:asciiTheme="minorHAnsi" w:eastAsia="Times New Roman" w:hAnsiTheme="minorHAnsi" w:cstheme="minorHAnsi"/>
                            <w:b w:val="0"/>
                            <w:color w:val="FFFFFF" w:themeColor="background1"/>
                            <w:sz w:val="20"/>
                            <w:szCs w:val="20"/>
                          </w:rPr>
                        </w:pPr>
                        <w:r w:rsidRPr="00500EA7">
                          <w:rPr>
                            <w:rFonts w:asciiTheme="minorHAnsi" w:eastAsia="Times New Roman" w:hAnsiTheme="minorHAnsi" w:cstheme="minorHAnsi"/>
                            <w:b w:val="0"/>
                            <w:color w:val="FFFFFF" w:themeColor="background1"/>
                            <w:sz w:val="20"/>
                            <w:szCs w:val="20"/>
                          </w:rPr>
                          <w:t>0-5</w:t>
                        </w:r>
                      </w:p>
                    </w:tc>
                    <w:tc>
                      <w:tcPr>
                        <w:tcW w:w="960" w:type="dxa"/>
                        <w:noWrap/>
                        <w:hideMark/>
                      </w:tcPr>
                      <w:p w14:paraId="21ABFFB3" w14:textId="77777777" w:rsidR="0071110F" w:rsidRPr="00500EA7"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FFFF" w:themeColor="background1"/>
                            <w:sz w:val="20"/>
                            <w:szCs w:val="20"/>
                          </w:rPr>
                        </w:pPr>
                        <w:r w:rsidRPr="00500EA7">
                          <w:rPr>
                            <w:rFonts w:asciiTheme="minorHAnsi" w:eastAsia="Times New Roman" w:hAnsiTheme="minorHAnsi" w:cstheme="minorHAnsi"/>
                            <w:color w:val="FFFFFF" w:themeColor="background1"/>
                            <w:sz w:val="20"/>
                            <w:szCs w:val="20"/>
                          </w:rPr>
                          <w:t>107</w:t>
                        </w:r>
                      </w:p>
                    </w:tc>
                    <w:tc>
                      <w:tcPr>
                        <w:tcW w:w="960" w:type="dxa"/>
                        <w:noWrap/>
                        <w:hideMark/>
                      </w:tcPr>
                      <w:p w14:paraId="5E7D3677" w14:textId="77777777" w:rsidR="0071110F" w:rsidRPr="00500EA7"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FFFF" w:themeColor="background1"/>
                            <w:sz w:val="20"/>
                            <w:szCs w:val="20"/>
                          </w:rPr>
                        </w:pPr>
                        <w:r w:rsidRPr="00500EA7">
                          <w:rPr>
                            <w:rFonts w:asciiTheme="minorHAnsi" w:eastAsia="Times New Roman" w:hAnsiTheme="minorHAnsi" w:cstheme="minorHAnsi"/>
                            <w:color w:val="FFFFFF" w:themeColor="background1"/>
                            <w:sz w:val="20"/>
                            <w:szCs w:val="20"/>
                          </w:rPr>
                          <w:t>1%</w:t>
                        </w:r>
                      </w:p>
                    </w:tc>
                  </w:tr>
                  <w:tr w:rsidR="0071110F" w:rsidRPr="00FD3D17" w14:paraId="25823431" w14:textId="77777777" w:rsidTr="00500EA7">
                    <w:trPr>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6F92EF3E" w14:textId="77777777" w:rsidR="0071110F" w:rsidRPr="00823FF5" w:rsidRDefault="0071110F" w:rsidP="00781834">
                        <w:pPr>
                          <w:spacing w:after="0" w:line="240" w:lineRule="auto"/>
                          <w:rPr>
                            <w:rFonts w:asciiTheme="minorHAnsi" w:eastAsia="Times New Roman" w:hAnsiTheme="minorHAnsi" w:cstheme="minorHAnsi"/>
                            <w:color w:val="000000"/>
                            <w:sz w:val="20"/>
                            <w:szCs w:val="20"/>
                          </w:rPr>
                        </w:pPr>
                        <w:r w:rsidRPr="00823FF5">
                          <w:rPr>
                            <w:rFonts w:asciiTheme="minorHAnsi" w:eastAsia="Times New Roman" w:hAnsiTheme="minorHAnsi" w:cstheme="minorHAnsi"/>
                            <w:color w:val="000000"/>
                            <w:sz w:val="20"/>
                            <w:szCs w:val="20"/>
                          </w:rPr>
                          <w:t xml:space="preserve"> 6-14</w:t>
                        </w:r>
                      </w:p>
                    </w:tc>
                    <w:tc>
                      <w:tcPr>
                        <w:tcW w:w="960" w:type="dxa"/>
                        <w:noWrap/>
                        <w:hideMark/>
                      </w:tcPr>
                      <w:p w14:paraId="72F10632" w14:textId="77777777" w:rsidR="0071110F" w:rsidRPr="00823FF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23FF5">
                          <w:rPr>
                            <w:rFonts w:asciiTheme="minorHAnsi" w:eastAsia="Times New Roman" w:hAnsiTheme="minorHAnsi" w:cstheme="minorHAnsi"/>
                            <w:color w:val="000000"/>
                            <w:sz w:val="20"/>
                            <w:szCs w:val="20"/>
                          </w:rPr>
                          <w:t>32</w:t>
                        </w:r>
                      </w:p>
                    </w:tc>
                    <w:tc>
                      <w:tcPr>
                        <w:tcW w:w="960" w:type="dxa"/>
                        <w:noWrap/>
                        <w:hideMark/>
                      </w:tcPr>
                      <w:p w14:paraId="2387A2ED" w14:textId="77777777" w:rsidR="0071110F" w:rsidRPr="00823FF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23FF5">
                          <w:rPr>
                            <w:rFonts w:asciiTheme="minorHAnsi" w:eastAsia="Times New Roman" w:hAnsiTheme="minorHAnsi" w:cstheme="minorHAnsi"/>
                            <w:color w:val="000000"/>
                            <w:sz w:val="20"/>
                            <w:szCs w:val="20"/>
                          </w:rPr>
                          <w:t>0%</w:t>
                        </w:r>
                      </w:p>
                    </w:tc>
                  </w:tr>
                  <w:tr w:rsidR="0071110F" w:rsidRPr="00FD3D17" w14:paraId="4EBB792F" w14:textId="77777777" w:rsidTr="00500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0F190A54" w14:textId="77777777" w:rsidR="0071110F" w:rsidRPr="00823FF5" w:rsidRDefault="0071110F" w:rsidP="00781834">
                        <w:pPr>
                          <w:spacing w:after="0" w:line="240" w:lineRule="auto"/>
                          <w:rPr>
                            <w:rFonts w:asciiTheme="minorHAnsi" w:eastAsia="Times New Roman" w:hAnsiTheme="minorHAnsi" w:cstheme="minorHAnsi"/>
                            <w:color w:val="000000"/>
                            <w:sz w:val="20"/>
                            <w:szCs w:val="20"/>
                          </w:rPr>
                        </w:pPr>
                        <w:r w:rsidRPr="00823FF5">
                          <w:rPr>
                            <w:rFonts w:asciiTheme="minorHAnsi" w:eastAsia="Times New Roman" w:hAnsiTheme="minorHAnsi" w:cstheme="minorHAnsi"/>
                            <w:color w:val="000000"/>
                            <w:sz w:val="20"/>
                            <w:szCs w:val="20"/>
                          </w:rPr>
                          <w:t>15 -19</w:t>
                        </w:r>
                      </w:p>
                    </w:tc>
                    <w:tc>
                      <w:tcPr>
                        <w:tcW w:w="960" w:type="dxa"/>
                        <w:noWrap/>
                        <w:hideMark/>
                      </w:tcPr>
                      <w:p w14:paraId="4EADF9C7" w14:textId="77777777" w:rsidR="0071110F" w:rsidRPr="00823FF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23FF5">
                          <w:rPr>
                            <w:rFonts w:asciiTheme="minorHAnsi" w:eastAsia="Times New Roman" w:hAnsiTheme="minorHAnsi" w:cstheme="minorHAnsi"/>
                            <w:color w:val="000000"/>
                            <w:sz w:val="20"/>
                            <w:szCs w:val="20"/>
                          </w:rPr>
                          <w:t>237</w:t>
                        </w:r>
                      </w:p>
                    </w:tc>
                    <w:tc>
                      <w:tcPr>
                        <w:tcW w:w="960" w:type="dxa"/>
                        <w:noWrap/>
                        <w:hideMark/>
                      </w:tcPr>
                      <w:p w14:paraId="03542927" w14:textId="77777777" w:rsidR="0071110F" w:rsidRPr="00823FF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23FF5">
                          <w:rPr>
                            <w:rFonts w:asciiTheme="minorHAnsi" w:eastAsia="Times New Roman" w:hAnsiTheme="minorHAnsi" w:cstheme="minorHAnsi"/>
                            <w:color w:val="000000"/>
                            <w:sz w:val="20"/>
                            <w:szCs w:val="20"/>
                          </w:rPr>
                          <w:t>3%</w:t>
                        </w:r>
                      </w:p>
                    </w:tc>
                  </w:tr>
                  <w:tr w:rsidR="0071110F" w:rsidRPr="00FD3D17" w14:paraId="62DE8CE7" w14:textId="77777777" w:rsidTr="00500EA7">
                    <w:trPr>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0924ECE0" w14:textId="77777777" w:rsidR="0071110F" w:rsidRPr="00823FF5" w:rsidRDefault="0071110F" w:rsidP="00781834">
                        <w:pPr>
                          <w:spacing w:after="0" w:line="240" w:lineRule="auto"/>
                          <w:rPr>
                            <w:rFonts w:asciiTheme="minorHAnsi" w:eastAsia="Times New Roman" w:hAnsiTheme="minorHAnsi" w:cstheme="minorHAnsi"/>
                            <w:color w:val="000000"/>
                            <w:sz w:val="20"/>
                            <w:szCs w:val="20"/>
                          </w:rPr>
                        </w:pPr>
                        <w:r w:rsidRPr="00823FF5">
                          <w:rPr>
                            <w:rFonts w:asciiTheme="minorHAnsi" w:eastAsia="Times New Roman" w:hAnsiTheme="minorHAnsi" w:cstheme="minorHAnsi"/>
                            <w:color w:val="000000"/>
                            <w:sz w:val="20"/>
                            <w:szCs w:val="20"/>
                          </w:rPr>
                          <w:t>20-24</w:t>
                        </w:r>
                      </w:p>
                    </w:tc>
                    <w:tc>
                      <w:tcPr>
                        <w:tcW w:w="960" w:type="dxa"/>
                        <w:noWrap/>
                        <w:hideMark/>
                      </w:tcPr>
                      <w:p w14:paraId="68A00DF6" w14:textId="77777777" w:rsidR="0071110F" w:rsidRPr="00823FF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23FF5">
                          <w:rPr>
                            <w:rFonts w:asciiTheme="minorHAnsi" w:eastAsia="Times New Roman" w:hAnsiTheme="minorHAnsi" w:cstheme="minorHAnsi"/>
                            <w:color w:val="000000"/>
                            <w:sz w:val="20"/>
                            <w:szCs w:val="20"/>
                          </w:rPr>
                          <w:t>886</w:t>
                        </w:r>
                      </w:p>
                    </w:tc>
                    <w:tc>
                      <w:tcPr>
                        <w:tcW w:w="960" w:type="dxa"/>
                        <w:noWrap/>
                        <w:hideMark/>
                      </w:tcPr>
                      <w:p w14:paraId="5F44863C" w14:textId="77777777" w:rsidR="0071110F" w:rsidRPr="00823FF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23FF5">
                          <w:rPr>
                            <w:rFonts w:asciiTheme="minorHAnsi" w:eastAsia="Times New Roman" w:hAnsiTheme="minorHAnsi" w:cstheme="minorHAnsi"/>
                            <w:color w:val="000000"/>
                            <w:sz w:val="20"/>
                            <w:szCs w:val="20"/>
                          </w:rPr>
                          <w:t>11%</w:t>
                        </w:r>
                      </w:p>
                    </w:tc>
                  </w:tr>
                  <w:tr w:rsidR="0071110F" w:rsidRPr="00FD3D17" w14:paraId="309598A4" w14:textId="77777777" w:rsidTr="00500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0ED06358" w14:textId="77777777" w:rsidR="0071110F" w:rsidRPr="00823FF5" w:rsidRDefault="0071110F" w:rsidP="00781834">
                        <w:pPr>
                          <w:spacing w:after="0" w:line="240" w:lineRule="auto"/>
                          <w:rPr>
                            <w:rFonts w:asciiTheme="minorHAnsi" w:eastAsia="Times New Roman" w:hAnsiTheme="minorHAnsi" w:cstheme="minorHAnsi"/>
                            <w:color w:val="000000"/>
                            <w:sz w:val="20"/>
                            <w:szCs w:val="20"/>
                          </w:rPr>
                        </w:pPr>
                        <w:r w:rsidRPr="00823FF5">
                          <w:rPr>
                            <w:rFonts w:asciiTheme="minorHAnsi" w:eastAsia="Times New Roman" w:hAnsiTheme="minorHAnsi" w:cstheme="minorHAnsi"/>
                            <w:color w:val="000000"/>
                            <w:sz w:val="20"/>
                            <w:szCs w:val="20"/>
                          </w:rPr>
                          <w:t>25-39</w:t>
                        </w:r>
                      </w:p>
                    </w:tc>
                    <w:tc>
                      <w:tcPr>
                        <w:tcW w:w="960" w:type="dxa"/>
                        <w:noWrap/>
                        <w:hideMark/>
                      </w:tcPr>
                      <w:p w14:paraId="6B7FF03F" w14:textId="77777777" w:rsidR="0071110F" w:rsidRPr="00823FF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23FF5">
                          <w:rPr>
                            <w:rFonts w:asciiTheme="minorHAnsi" w:eastAsia="Times New Roman" w:hAnsiTheme="minorHAnsi" w:cstheme="minorHAnsi"/>
                            <w:color w:val="000000"/>
                            <w:sz w:val="20"/>
                            <w:szCs w:val="20"/>
                          </w:rPr>
                          <w:t>4,320</w:t>
                        </w:r>
                      </w:p>
                    </w:tc>
                    <w:tc>
                      <w:tcPr>
                        <w:tcW w:w="960" w:type="dxa"/>
                        <w:noWrap/>
                        <w:hideMark/>
                      </w:tcPr>
                      <w:p w14:paraId="26309374" w14:textId="77777777" w:rsidR="0071110F" w:rsidRPr="00823FF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23FF5">
                          <w:rPr>
                            <w:rFonts w:asciiTheme="minorHAnsi" w:eastAsia="Times New Roman" w:hAnsiTheme="minorHAnsi" w:cstheme="minorHAnsi"/>
                            <w:color w:val="000000"/>
                            <w:sz w:val="20"/>
                            <w:szCs w:val="20"/>
                          </w:rPr>
                          <w:t>54%</w:t>
                        </w:r>
                      </w:p>
                    </w:tc>
                  </w:tr>
                  <w:tr w:rsidR="0071110F" w:rsidRPr="00FD3D17" w14:paraId="51402191" w14:textId="77777777" w:rsidTr="00500EA7">
                    <w:trPr>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760D9AB3" w14:textId="77777777" w:rsidR="0071110F" w:rsidRPr="00823FF5" w:rsidRDefault="0071110F" w:rsidP="00781834">
                        <w:pPr>
                          <w:spacing w:after="0" w:line="240" w:lineRule="auto"/>
                          <w:rPr>
                            <w:rFonts w:asciiTheme="minorHAnsi" w:eastAsia="Times New Roman" w:hAnsiTheme="minorHAnsi" w:cstheme="minorHAnsi"/>
                            <w:color w:val="000000"/>
                            <w:sz w:val="20"/>
                            <w:szCs w:val="20"/>
                          </w:rPr>
                        </w:pPr>
                        <w:r w:rsidRPr="00823FF5">
                          <w:rPr>
                            <w:rFonts w:asciiTheme="minorHAnsi" w:eastAsia="Times New Roman" w:hAnsiTheme="minorHAnsi" w:cstheme="minorHAnsi"/>
                            <w:color w:val="000000"/>
                            <w:sz w:val="20"/>
                            <w:szCs w:val="20"/>
                          </w:rPr>
                          <w:t>40-49</w:t>
                        </w:r>
                      </w:p>
                    </w:tc>
                    <w:tc>
                      <w:tcPr>
                        <w:tcW w:w="960" w:type="dxa"/>
                        <w:noWrap/>
                        <w:hideMark/>
                      </w:tcPr>
                      <w:p w14:paraId="02F4BE0A" w14:textId="77777777" w:rsidR="0071110F" w:rsidRPr="00823FF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23FF5">
                          <w:rPr>
                            <w:rFonts w:asciiTheme="minorHAnsi" w:eastAsia="Times New Roman" w:hAnsiTheme="minorHAnsi" w:cstheme="minorHAnsi"/>
                            <w:color w:val="000000"/>
                            <w:sz w:val="20"/>
                            <w:szCs w:val="20"/>
                          </w:rPr>
                          <w:t>1,463</w:t>
                        </w:r>
                      </w:p>
                    </w:tc>
                    <w:tc>
                      <w:tcPr>
                        <w:tcW w:w="960" w:type="dxa"/>
                        <w:noWrap/>
                        <w:hideMark/>
                      </w:tcPr>
                      <w:p w14:paraId="022B469A" w14:textId="77777777" w:rsidR="0071110F" w:rsidRPr="00823FF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23FF5">
                          <w:rPr>
                            <w:rFonts w:asciiTheme="minorHAnsi" w:eastAsia="Times New Roman" w:hAnsiTheme="minorHAnsi" w:cstheme="minorHAnsi"/>
                            <w:color w:val="000000"/>
                            <w:sz w:val="20"/>
                            <w:szCs w:val="20"/>
                          </w:rPr>
                          <w:t>18%</w:t>
                        </w:r>
                      </w:p>
                    </w:tc>
                  </w:tr>
                  <w:tr w:rsidR="0071110F" w:rsidRPr="00FD3D17" w14:paraId="69E1A477" w14:textId="77777777" w:rsidTr="00500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24549B2E" w14:textId="77777777" w:rsidR="0071110F" w:rsidRPr="00823FF5" w:rsidRDefault="0071110F" w:rsidP="00781834">
                        <w:pPr>
                          <w:spacing w:after="0" w:line="240" w:lineRule="auto"/>
                          <w:rPr>
                            <w:rFonts w:asciiTheme="minorHAnsi" w:eastAsia="Times New Roman" w:hAnsiTheme="minorHAnsi" w:cstheme="minorHAnsi"/>
                            <w:color w:val="000000"/>
                            <w:sz w:val="20"/>
                            <w:szCs w:val="20"/>
                          </w:rPr>
                        </w:pPr>
                        <w:r w:rsidRPr="00823FF5">
                          <w:rPr>
                            <w:rFonts w:asciiTheme="minorHAnsi" w:eastAsia="Times New Roman" w:hAnsiTheme="minorHAnsi" w:cstheme="minorHAnsi"/>
                            <w:color w:val="000000"/>
                            <w:sz w:val="20"/>
                            <w:szCs w:val="20"/>
                          </w:rPr>
                          <w:t>50-59</w:t>
                        </w:r>
                      </w:p>
                    </w:tc>
                    <w:tc>
                      <w:tcPr>
                        <w:tcW w:w="960" w:type="dxa"/>
                        <w:noWrap/>
                        <w:hideMark/>
                      </w:tcPr>
                      <w:p w14:paraId="5CD1E7EF" w14:textId="77777777" w:rsidR="0071110F" w:rsidRPr="00823FF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23FF5">
                          <w:rPr>
                            <w:rFonts w:asciiTheme="minorHAnsi" w:eastAsia="Times New Roman" w:hAnsiTheme="minorHAnsi" w:cstheme="minorHAnsi"/>
                            <w:color w:val="000000"/>
                            <w:sz w:val="20"/>
                            <w:szCs w:val="20"/>
                          </w:rPr>
                          <w:t>723</w:t>
                        </w:r>
                      </w:p>
                    </w:tc>
                    <w:tc>
                      <w:tcPr>
                        <w:tcW w:w="960" w:type="dxa"/>
                        <w:noWrap/>
                        <w:hideMark/>
                      </w:tcPr>
                      <w:p w14:paraId="7BBBACD0" w14:textId="77777777" w:rsidR="0071110F" w:rsidRPr="00823FF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rPr>
                        </w:pPr>
                        <w:r w:rsidRPr="00823FF5">
                          <w:rPr>
                            <w:rFonts w:asciiTheme="minorHAnsi" w:eastAsia="Times New Roman" w:hAnsiTheme="minorHAnsi" w:cstheme="minorHAnsi"/>
                            <w:color w:val="000000"/>
                            <w:sz w:val="20"/>
                            <w:szCs w:val="20"/>
                          </w:rPr>
                          <w:t>9%</w:t>
                        </w:r>
                      </w:p>
                    </w:tc>
                  </w:tr>
                  <w:tr w:rsidR="0071110F" w:rsidRPr="00FD3D17" w14:paraId="76356DAD" w14:textId="77777777" w:rsidTr="00500EA7">
                    <w:trPr>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06F61A5" w14:textId="77777777" w:rsidR="0071110F" w:rsidRPr="00823FF5" w:rsidRDefault="0071110F" w:rsidP="00781834">
                        <w:pPr>
                          <w:spacing w:after="0" w:line="240" w:lineRule="auto"/>
                          <w:rPr>
                            <w:rFonts w:asciiTheme="minorHAnsi" w:eastAsia="Times New Roman" w:hAnsiTheme="minorHAnsi" w:cstheme="minorHAnsi"/>
                            <w:color w:val="000000"/>
                            <w:sz w:val="20"/>
                            <w:szCs w:val="20"/>
                          </w:rPr>
                        </w:pPr>
                        <w:r w:rsidRPr="00823FF5">
                          <w:rPr>
                            <w:rFonts w:asciiTheme="minorHAnsi" w:eastAsia="Times New Roman" w:hAnsiTheme="minorHAnsi" w:cstheme="minorHAnsi"/>
                            <w:color w:val="000000"/>
                            <w:sz w:val="20"/>
                            <w:szCs w:val="20"/>
                          </w:rPr>
                          <w:t>60&gt;</w:t>
                        </w:r>
                      </w:p>
                    </w:tc>
                    <w:tc>
                      <w:tcPr>
                        <w:tcW w:w="960" w:type="dxa"/>
                        <w:noWrap/>
                        <w:hideMark/>
                      </w:tcPr>
                      <w:p w14:paraId="1C01A673" w14:textId="77777777" w:rsidR="0071110F" w:rsidRPr="00823FF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23FF5">
                          <w:rPr>
                            <w:rFonts w:asciiTheme="minorHAnsi" w:eastAsia="Times New Roman" w:hAnsiTheme="minorHAnsi" w:cstheme="minorHAnsi"/>
                            <w:color w:val="000000"/>
                            <w:sz w:val="20"/>
                            <w:szCs w:val="20"/>
                          </w:rPr>
                          <w:t>263</w:t>
                        </w:r>
                      </w:p>
                    </w:tc>
                    <w:tc>
                      <w:tcPr>
                        <w:tcW w:w="960" w:type="dxa"/>
                        <w:noWrap/>
                        <w:hideMark/>
                      </w:tcPr>
                      <w:p w14:paraId="065B4367" w14:textId="77777777" w:rsidR="0071110F" w:rsidRPr="00823FF5"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rPr>
                        </w:pPr>
                        <w:r w:rsidRPr="00823FF5">
                          <w:rPr>
                            <w:rFonts w:asciiTheme="minorHAnsi" w:eastAsia="Times New Roman" w:hAnsiTheme="minorHAnsi" w:cstheme="minorHAnsi"/>
                            <w:color w:val="000000"/>
                            <w:sz w:val="20"/>
                            <w:szCs w:val="20"/>
                          </w:rPr>
                          <w:t>3%</w:t>
                        </w:r>
                      </w:p>
                    </w:tc>
                  </w:tr>
                  <w:tr w:rsidR="0071110F" w:rsidRPr="00FD3D17" w14:paraId="03081E46" w14:textId="77777777" w:rsidTr="00500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7ABD8CF1" w14:textId="77777777" w:rsidR="0071110F" w:rsidRPr="00823FF5" w:rsidRDefault="0071110F" w:rsidP="00781834">
                        <w:pPr>
                          <w:spacing w:after="0" w:line="240" w:lineRule="auto"/>
                          <w:rPr>
                            <w:rFonts w:asciiTheme="minorHAnsi" w:eastAsia="Times New Roman" w:hAnsiTheme="minorHAnsi" w:cstheme="minorHAnsi"/>
                            <w:color w:val="000000"/>
                            <w:sz w:val="20"/>
                            <w:szCs w:val="20"/>
                          </w:rPr>
                        </w:pPr>
                        <w:r w:rsidRPr="00823FF5">
                          <w:rPr>
                            <w:rFonts w:asciiTheme="minorHAnsi" w:eastAsia="Times New Roman" w:hAnsiTheme="minorHAnsi" w:cstheme="minorHAnsi"/>
                            <w:color w:val="000000"/>
                            <w:sz w:val="20"/>
                            <w:szCs w:val="20"/>
                          </w:rPr>
                          <w:t>Cumulative total</w:t>
                        </w:r>
                      </w:p>
                    </w:tc>
                    <w:tc>
                      <w:tcPr>
                        <w:tcW w:w="960" w:type="dxa"/>
                        <w:noWrap/>
                        <w:hideMark/>
                      </w:tcPr>
                      <w:p w14:paraId="54D4E692" w14:textId="77777777" w:rsidR="0071110F" w:rsidRPr="00823FF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rPr>
                        </w:pPr>
                        <w:r w:rsidRPr="00823FF5">
                          <w:rPr>
                            <w:rFonts w:asciiTheme="minorHAnsi" w:eastAsia="Times New Roman" w:hAnsiTheme="minorHAnsi" w:cstheme="minorHAnsi"/>
                            <w:b/>
                            <w:bCs/>
                            <w:color w:val="000000"/>
                            <w:sz w:val="20"/>
                            <w:szCs w:val="20"/>
                          </w:rPr>
                          <w:t>8,031</w:t>
                        </w:r>
                      </w:p>
                    </w:tc>
                    <w:tc>
                      <w:tcPr>
                        <w:tcW w:w="960" w:type="dxa"/>
                        <w:noWrap/>
                        <w:hideMark/>
                      </w:tcPr>
                      <w:p w14:paraId="069E53F9" w14:textId="77777777" w:rsidR="0071110F" w:rsidRPr="00823FF5"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rPr>
                        </w:pPr>
                        <w:r w:rsidRPr="00823FF5">
                          <w:rPr>
                            <w:rFonts w:asciiTheme="minorHAnsi" w:eastAsia="Times New Roman" w:hAnsiTheme="minorHAnsi" w:cstheme="minorHAnsi"/>
                            <w:b/>
                            <w:bCs/>
                            <w:color w:val="000000"/>
                            <w:sz w:val="20"/>
                            <w:szCs w:val="20"/>
                          </w:rPr>
                          <w:t>100%</w:t>
                        </w:r>
                      </w:p>
                    </w:tc>
                  </w:tr>
                </w:tbl>
                <w:p w14:paraId="697E1A5A" w14:textId="77777777" w:rsidR="0071110F" w:rsidRDefault="0071110F" w:rsidP="00781834">
                  <w:pPr>
                    <w:spacing w:after="0" w:line="240" w:lineRule="auto"/>
                    <w:jc w:val="both"/>
                    <w:rPr>
                      <w:rStyle w:val="e24kjd"/>
                      <w:rFonts w:asciiTheme="majorHAnsi" w:hAnsiTheme="majorHAnsi" w:cstheme="majorHAnsi"/>
                      <w:sz w:val="20"/>
                    </w:rPr>
                  </w:pPr>
                </w:p>
              </w:tc>
            </w:tr>
          </w:tbl>
          <w:p w14:paraId="307CEF01" w14:textId="3CDBE13A" w:rsidR="0071110F" w:rsidRDefault="0071110F" w:rsidP="00781834">
            <w:pPr>
              <w:spacing w:after="0" w:line="240" w:lineRule="auto"/>
              <w:jc w:val="both"/>
              <w:rPr>
                <w:rStyle w:val="e24kjd"/>
                <w:rFonts w:asciiTheme="majorHAnsi" w:hAnsiTheme="majorHAnsi" w:cstheme="majorHAnsi"/>
                <w:sz w:val="20"/>
              </w:rPr>
            </w:pPr>
          </w:p>
          <w:p w14:paraId="5A5C3720" w14:textId="5C268427" w:rsidR="006D0D17" w:rsidRDefault="006D0D17" w:rsidP="00781834">
            <w:pPr>
              <w:spacing w:after="0" w:line="240" w:lineRule="auto"/>
              <w:jc w:val="both"/>
              <w:rPr>
                <w:rStyle w:val="e24kjd"/>
                <w:rFonts w:asciiTheme="majorHAnsi" w:hAnsiTheme="majorHAnsi" w:cstheme="majorHAnsi"/>
                <w:sz w:val="16"/>
              </w:rPr>
            </w:pPr>
            <w:r w:rsidRPr="00C4673D">
              <w:rPr>
                <w:rStyle w:val="e24kjd"/>
                <w:rFonts w:asciiTheme="majorHAnsi" w:hAnsiTheme="majorHAnsi" w:cstheme="majorHAnsi"/>
                <w:sz w:val="16"/>
              </w:rPr>
              <w:t>Source: National Agency of Public Health surveillance data</w:t>
            </w:r>
          </w:p>
          <w:p w14:paraId="4CA8ADF3" w14:textId="77777777" w:rsidR="006D0D17" w:rsidRDefault="006D0D17" w:rsidP="00781834">
            <w:pPr>
              <w:spacing w:after="0" w:line="240" w:lineRule="auto"/>
              <w:jc w:val="both"/>
              <w:rPr>
                <w:rStyle w:val="e24kjd"/>
                <w:rFonts w:asciiTheme="majorHAnsi" w:hAnsiTheme="majorHAnsi" w:cstheme="majorHAnsi"/>
                <w:sz w:val="20"/>
              </w:rPr>
            </w:pPr>
          </w:p>
          <w:p w14:paraId="43E9CFC1" w14:textId="77777777" w:rsidR="0071110F" w:rsidRDefault="0071110F" w:rsidP="00781834">
            <w:pPr>
              <w:spacing w:after="0" w:line="240" w:lineRule="auto"/>
              <w:jc w:val="both"/>
              <w:rPr>
                <w:rStyle w:val="e24kjd"/>
                <w:rFonts w:asciiTheme="majorHAnsi" w:hAnsiTheme="majorHAnsi" w:cstheme="majorHAnsi"/>
                <w:b/>
                <w:sz w:val="20"/>
              </w:rPr>
            </w:pPr>
            <w:r w:rsidRPr="00791341">
              <w:rPr>
                <w:rStyle w:val="e24kjd"/>
                <w:rFonts w:asciiTheme="majorHAnsi" w:hAnsiTheme="majorHAnsi" w:cstheme="majorHAnsi"/>
                <w:b/>
                <w:sz w:val="20"/>
              </w:rPr>
              <w:lastRenderedPageBreak/>
              <w:t>Key populations</w:t>
            </w:r>
            <w:r>
              <w:rPr>
                <w:rStyle w:val="e24kjd"/>
                <w:rFonts w:asciiTheme="majorHAnsi" w:hAnsiTheme="majorHAnsi" w:cstheme="majorHAnsi"/>
                <w:b/>
                <w:sz w:val="20"/>
              </w:rPr>
              <w:t xml:space="preserve"> affected by HIV</w:t>
            </w:r>
          </w:p>
          <w:p w14:paraId="5273DF25" w14:textId="77777777" w:rsidR="00AF420D" w:rsidRDefault="0071110F" w:rsidP="00781834">
            <w:pPr>
              <w:spacing w:after="0" w:line="240" w:lineRule="auto"/>
              <w:jc w:val="both"/>
              <w:rPr>
                <w:rStyle w:val="e24kjd"/>
                <w:rFonts w:asciiTheme="majorHAnsi" w:hAnsiTheme="majorHAnsi" w:cstheme="majorHAnsi"/>
                <w:sz w:val="20"/>
              </w:rPr>
            </w:pPr>
            <w:r>
              <w:rPr>
                <w:rStyle w:val="e24kjd"/>
                <w:rFonts w:asciiTheme="majorHAnsi" w:hAnsiTheme="majorHAnsi" w:cstheme="majorHAnsi"/>
                <w:sz w:val="20"/>
              </w:rPr>
              <w:t xml:space="preserve">The HIV epidemic is concentrated in the following </w:t>
            </w:r>
            <w:r w:rsidRPr="00791341">
              <w:rPr>
                <w:rStyle w:val="e24kjd"/>
                <w:rFonts w:asciiTheme="majorHAnsi" w:hAnsiTheme="majorHAnsi" w:cstheme="majorHAnsi"/>
                <w:sz w:val="20"/>
              </w:rPr>
              <w:t xml:space="preserve">key populations </w:t>
            </w:r>
            <w:r>
              <w:rPr>
                <w:rStyle w:val="e24kjd"/>
                <w:rFonts w:asciiTheme="majorHAnsi" w:hAnsiTheme="majorHAnsi" w:cstheme="majorHAnsi"/>
                <w:sz w:val="20"/>
              </w:rPr>
              <w:t>prioritized by national HIV programs: people who inject drugs (PWID), men who have sex with men (MSM), sex workers (SWs) and people in detention. Four rounds of Integrated Bio Behavioral Survey (IBBS) support these trends. Since 2010 IBBS has been conducted through respondent-driven sampling in all surveyed key populations in main cities. Based on preliminary data of IBBS 2020</w:t>
            </w:r>
            <w:r w:rsidR="00AF420D">
              <w:rPr>
                <w:rStyle w:val="e24kjd"/>
                <w:rFonts w:asciiTheme="majorHAnsi" w:hAnsiTheme="majorHAnsi" w:cstheme="majorHAnsi"/>
                <w:sz w:val="20"/>
              </w:rPr>
              <w:t xml:space="preserve"> (still I progress)</w:t>
            </w:r>
            <w:r>
              <w:rPr>
                <w:rStyle w:val="e24kjd"/>
                <w:rFonts w:asciiTheme="majorHAnsi" w:hAnsiTheme="majorHAnsi" w:cstheme="majorHAnsi"/>
                <w:sz w:val="20"/>
              </w:rPr>
              <w:t xml:space="preserve">, the HIV epidemic continues to be </w:t>
            </w:r>
            <w:r w:rsidRPr="0016353A">
              <w:rPr>
                <w:rStyle w:val="e24kjd"/>
                <w:rFonts w:asciiTheme="majorHAnsi" w:hAnsiTheme="majorHAnsi" w:cstheme="majorHAnsi"/>
                <w:sz w:val="20"/>
              </w:rPr>
              <w:t xml:space="preserve">concentrated in key populations, with prevalence of </w:t>
            </w:r>
            <w:r>
              <w:rPr>
                <w:rStyle w:val="e24kjd"/>
                <w:rFonts w:asciiTheme="majorHAnsi" w:hAnsiTheme="majorHAnsi" w:cstheme="majorHAnsi"/>
                <w:sz w:val="20"/>
              </w:rPr>
              <w:t>12.</w:t>
            </w:r>
            <w:r w:rsidRPr="0016353A">
              <w:rPr>
                <w:rStyle w:val="e24kjd"/>
                <w:rFonts w:asciiTheme="majorHAnsi" w:hAnsiTheme="majorHAnsi" w:cstheme="majorHAnsi"/>
                <w:sz w:val="20"/>
              </w:rPr>
              <w:t xml:space="preserve">5% among people who inject drugs (PWID), </w:t>
            </w:r>
            <w:r>
              <w:rPr>
                <w:rStyle w:val="e24kjd"/>
                <w:rFonts w:asciiTheme="majorHAnsi" w:hAnsiTheme="majorHAnsi" w:cstheme="majorHAnsi"/>
                <w:sz w:val="20"/>
              </w:rPr>
              <w:t>12.</w:t>
            </w:r>
            <w:r w:rsidRPr="0016353A">
              <w:rPr>
                <w:rStyle w:val="e24kjd"/>
                <w:rFonts w:asciiTheme="majorHAnsi" w:hAnsiTheme="majorHAnsi" w:cstheme="majorHAnsi"/>
                <w:sz w:val="20"/>
              </w:rPr>
              <w:t>3% among men who have sex with men (MSM)</w:t>
            </w:r>
            <w:r>
              <w:rPr>
                <w:rStyle w:val="e24kjd"/>
                <w:rFonts w:asciiTheme="majorHAnsi" w:hAnsiTheme="majorHAnsi" w:cstheme="majorHAnsi"/>
                <w:sz w:val="20"/>
              </w:rPr>
              <w:t xml:space="preserve">, </w:t>
            </w:r>
            <w:r w:rsidRPr="0016353A">
              <w:rPr>
                <w:rStyle w:val="e24kjd"/>
                <w:rFonts w:asciiTheme="majorHAnsi" w:hAnsiTheme="majorHAnsi" w:cstheme="majorHAnsi"/>
                <w:sz w:val="20"/>
              </w:rPr>
              <w:t xml:space="preserve">3% </w:t>
            </w:r>
            <w:r>
              <w:rPr>
                <w:rStyle w:val="e24kjd"/>
                <w:rFonts w:asciiTheme="majorHAnsi" w:hAnsiTheme="majorHAnsi" w:cstheme="majorHAnsi"/>
                <w:sz w:val="20"/>
              </w:rPr>
              <w:t xml:space="preserve">among sex workers (SW). </w:t>
            </w:r>
          </w:p>
          <w:p w14:paraId="4222EF89" w14:textId="77777777" w:rsidR="00AF420D" w:rsidRDefault="00AF420D" w:rsidP="00781834">
            <w:pPr>
              <w:spacing w:after="0" w:line="240" w:lineRule="auto"/>
              <w:jc w:val="both"/>
              <w:rPr>
                <w:rStyle w:val="e24kjd"/>
                <w:rFonts w:asciiTheme="majorHAnsi" w:hAnsiTheme="majorHAnsi" w:cstheme="majorHAnsi"/>
                <w:sz w:val="20"/>
              </w:rPr>
            </w:pPr>
          </w:p>
          <w:p w14:paraId="7BD40982" w14:textId="0C26A8B5" w:rsidR="0071110F" w:rsidRDefault="0071110F" w:rsidP="00781834">
            <w:pPr>
              <w:spacing w:after="0" w:line="240" w:lineRule="auto"/>
              <w:jc w:val="both"/>
              <w:rPr>
                <w:rStyle w:val="e24kjd"/>
                <w:rFonts w:asciiTheme="majorHAnsi" w:hAnsiTheme="majorHAnsi" w:cstheme="majorHAnsi"/>
                <w:sz w:val="20"/>
              </w:rPr>
            </w:pPr>
            <w:r>
              <w:rPr>
                <w:rStyle w:val="e24kjd"/>
                <w:rFonts w:asciiTheme="majorHAnsi" w:hAnsiTheme="majorHAnsi" w:cstheme="majorHAnsi"/>
                <w:sz w:val="20"/>
              </w:rPr>
              <w:t>However, there are differentiated trends observed, site by site and by key population:</w:t>
            </w:r>
          </w:p>
          <w:p w14:paraId="107DBDBC" w14:textId="77777777" w:rsidR="0071110F" w:rsidRDefault="0071110F" w:rsidP="00326A6B">
            <w:pPr>
              <w:pStyle w:val="ListParagraph"/>
              <w:numPr>
                <w:ilvl w:val="0"/>
                <w:numId w:val="52"/>
              </w:numPr>
              <w:spacing w:after="0" w:line="240" w:lineRule="auto"/>
              <w:jc w:val="both"/>
              <w:rPr>
                <w:rStyle w:val="e24kjd"/>
                <w:rFonts w:asciiTheme="majorHAnsi" w:hAnsiTheme="majorHAnsi" w:cstheme="majorHAnsi"/>
                <w:sz w:val="20"/>
              </w:rPr>
            </w:pPr>
            <w:r w:rsidRPr="007E6D27">
              <w:rPr>
                <w:rStyle w:val="e24kjd"/>
                <w:rFonts w:asciiTheme="majorHAnsi" w:hAnsiTheme="majorHAnsi" w:cstheme="majorHAnsi"/>
                <w:sz w:val="20"/>
              </w:rPr>
              <w:t xml:space="preserve">In Chisinau a continuing increase in MSM, stable in PWID, and decrease in SWs. </w:t>
            </w:r>
          </w:p>
          <w:p w14:paraId="42E4925D" w14:textId="77777777" w:rsidR="0071110F" w:rsidRDefault="0071110F" w:rsidP="00326A6B">
            <w:pPr>
              <w:pStyle w:val="ListParagraph"/>
              <w:numPr>
                <w:ilvl w:val="0"/>
                <w:numId w:val="52"/>
              </w:numPr>
              <w:spacing w:after="0" w:line="240" w:lineRule="auto"/>
              <w:jc w:val="both"/>
              <w:rPr>
                <w:rStyle w:val="e24kjd"/>
                <w:rFonts w:asciiTheme="majorHAnsi" w:hAnsiTheme="majorHAnsi" w:cstheme="majorHAnsi"/>
                <w:sz w:val="20"/>
              </w:rPr>
            </w:pPr>
            <w:r w:rsidRPr="007E6D27">
              <w:rPr>
                <w:rStyle w:val="e24kjd"/>
                <w:rFonts w:asciiTheme="majorHAnsi" w:hAnsiTheme="majorHAnsi" w:cstheme="majorHAnsi"/>
                <w:sz w:val="20"/>
              </w:rPr>
              <w:t xml:space="preserve">In Balti HIV prevalence is a decreasing in PWID due to normative use of single use of syringes and needles, stable trend in SWs and decrease in MSM. </w:t>
            </w:r>
          </w:p>
          <w:p w14:paraId="55CFD50C" w14:textId="77777777" w:rsidR="0071110F" w:rsidRDefault="0071110F" w:rsidP="00326A6B">
            <w:pPr>
              <w:pStyle w:val="ListParagraph"/>
              <w:numPr>
                <w:ilvl w:val="0"/>
                <w:numId w:val="52"/>
              </w:numPr>
              <w:spacing w:after="0" w:line="240" w:lineRule="auto"/>
              <w:jc w:val="both"/>
              <w:rPr>
                <w:rStyle w:val="e24kjd"/>
                <w:rFonts w:asciiTheme="majorHAnsi" w:hAnsiTheme="majorHAnsi" w:cstheme="majorHAnsi"/>
                <w:sz w:val="20"/>
              </w:rPr>
            </w:pPr>
            <w:r w:rsidRPr="007E6D27">
              <w:rPr>
                <w:rStyle w:val="e24kjd"/>
                <w:rFonts w:asciiTheme="majorHAnsi" w:hAnsiTheme="majorHAnsi" w:cstheme="majorHAnsi"/>
                <w:sz w:val="20"/>
              </w:rPr>
              <w:t xml:space="preserve">In Tiraspol the HIV prevalence has been increasing in PWID, the only population surveyed. </w:t>
            </w:r>
          </w:p>
          <w:p w14:paraId="5B844E36" w14:textId="5B02519A" w:rsidR="0046043E" w:rsidRPr="006D0D17" w:rsidRDefault="0071110F" w:rsidP="00326A6B">
            <w:pPr>
              <w:pStyle w:val="ListParagraph"/>
              <w:numPr>
                <w:ilvl w:val="0"/>
                <w:numId w:val="52"/>
              </w:numPr>
              <w:spacing w:after="0" w:line="240" w:lineRule="auto"/>
              <w:jc w:val="both"/>
              <w:rPr>
                <w:rStyle w:val="e24kjd"/>
                <w:rFonts w:asciiTheme="majorHAnsi" w:hAnsiTheme="majorHAnsi" w:cstheme="majorHAnsi"/>
                <w:sz w:val="20"/>
              </w:rPr>
            </w:pPr>
            <w:r w:rsidRPr="006D0D17">
              <w:rPr>
                <w:rStyle w:val="e24kjd"/>
                <w:rFonts w:asciiTheme="majorHAnsi" w:hAnsiTheme="majorHAnsi" w:cstheme="majorHAnsi"/>
                <w:sz w:val="20"/>
              </w:rPr>
              <w:t>Among people in detenti</w:t>
            </w:r>
            <w:r w:rsidR="006D0D17">
              <w:rPr>
                <w:rStyle w:val="e24kjd"/>
                <w:rFonts w:asciiTheme="majorHAnsi" w:hAnsiTheme="majorHAnsi" w:cstheme="majorHAnsi"/>
                <w:sz w:val="20"/>
              </w:rPr>
              <w:t xml:space="preserve">on, the trend has been stable. </w:t>
            </w:r>
          </w:p>
          <w:p w14:paraId="432D37A5" w14:textId="77777777" w:rsidR="0009442E" w:rsidRDefault="0009442E" w:rsidP="00781834">
            <w:pPr>
              <w:spacing w:after="0" w:line="240" w:lineRule="auto"/>
              <w:jc w:val="both"/>
              <w:rPr>
                <w:rStyle w:val="e24kjd"/>
                <w:rFonts w:asciiTheme="majorHAnsi" w:hAnsiTheme="majorHAnsi" w:cstheme="majorHAnsi"/>
                <w:sz w:val="20"/>
              </w:rPr>
            </w:pPr>
          </w:p>
          <w:p w14:paraId="58D8B16C" w14:textId="49404F40" w:rsidR="0071110F" w:rsidRDefault="0071110F" w:rsidP="00781834">
            <w:pPr>
              <w:spacing w:after="0" w:line="240" w:lineRule="auto"/>
              <w:jc w:val="both"/>
              <w:rPr>
                <w:rStyle w:val="e24kjd"/>
                <w:rFonts w:asciiTheme="majorHAnsi" w:hAnsiTheme="majorHAnsi" w:cstheme="majorHAnsi"/>
                <w:sz w:val="20"/>
              </w:rPr>
            </w:pPr>
            <w:r>
              <w:rPr>
                <w:rStyle w:val="e24kjd"/>
                <w:rFonts w:asciiTheme="majorHAnsi" w:hAnsiTheme="majorHAnsi" w:cstheme="majorHAnsi"/>
                <w:sz w:val="20"/>
              </w:rPr>
              <w:t xml:space="preserve">Since 2010, size estimates in these populations are conducted. </w:t>
            </w:r>
            <w:r w:rsidRPr="009E3A50">
              <w:rPr>
                <w:rStyle w:val="e24kjd"/>
                <w:rFonts w:asciiTheme="majorHAnsi" w:hAnsiTheme="majorHAnsi" w:cstheme="majorHAnsi"/>
                <w:sz w:val="20"/>
              </w:rPr>
              <w:t>The current size estimates are 36,900 PWID, 21,300 SWs, and 17,100 MSM.</w:t>
            </w:r>
            <w:r>
              <w:rPr>
                <w:rStyle w:val="e24kjd"/>
                <w:rFonts w:asciiTheme="majorHAnsi" w:hAnsiTheme="majorHAnsi" w:cstheme="majorHAnsi"/>
                <w:sz w:val="20"/>
              </w:rPr>
              <w:t xml:space="preserve"> The latest size estimation exercise is now in progress and results will be available later in 2020.</w:t>
            </w:r>
          </w:p>
          <w:p w14:paraId="57E4B579" w14:textId="77777777" w:rsidR="00AF420D" w:rsidRPr="009E3A50" w:rsidRDefault="00AF420D" w:rsidP="00781834">
            <w:pPr>
              <w:spacing w:after="0" w:line="240" w:lineRule="auto"/>
              <w:jc w:val="both"/>
              <w:rPr>
                <w:rStyle w:val="e24kjd"/>
                <w:rFonts w:asciiTheme="majorHAnsi" w:hAnsiTheme="majorHAnsi" w:cstheme="majorHAns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8"/>
              <w:gridCol w:w="5022"/>
            </w:tblGrid>
            <w:tr w:rsidR="0071110F" w14:paraId="0F157056" w14:textId="77777777" w:rsidTr="00781834">
              <w:tc>
                <w:tcPr>
                  <w:tcW w:w="10230" w:type="dxa"/>
                  <w:gridSpan w:val="2"/>
                </w:tcPr>
                <w:p w14:paraId="0C1B5195" w14:textId="2626B229" w:rsidR="0071110F" w:rsidRDefault="0071110F" w:rsidP="00781834">
                  <w:pPr>
                    <w:spacing w:after="0" w:line="240" w:lineRule="auto"/>
                    <w:jc w:val="both"/>
                    <w:rPr>
                      <w:rStyle w:val="e24kjd"/>
                      <w:rFonts w:asciiTheme="majorHAnsi" w:hAnsiTheme="majorHAnsi" w:cstheme="majorHAnsi"/>
                      <w:sz w:val="20"/>
                    </w:rPr>
                  </w:pPr>
                  <w:r>
                    <w:rPr>
                      <w:rStyle w:val="e24kjd"/>
                      <w:rFonts w:asciiTheme="majorHAnsi" w:hAnsiTheme="majorHAnsi" w:cstheme="majorHAnsi"/>
                      <w:b/>
                      <w:sz w:val="20"/>
                    </w:rPr>
                    <w:t>HIV prevalence and size estimates in key populations</w:t>
                  </w:r>
                </w:p>
              </w:tc>
            </w:tr>
            <w:tr w:rsidR="0071110F" w14:paraId="67262D4C" w14:textId="77777777" w:rsidTr="00781834">
              <w:tc>
                <w:tcPr>
                  <w:tcW w:w="5235" w:type="dxa"/>
                </w:tcPr>
                <w:tbl>
                  <w:tblPr>
                    <w:tblStyle w:val="ListTable3-Accent4"/>
                    <w:tblW w:w="5005" w:type="dxa"/>
                    <w:tblLook w:val="04A0" w:firstRow="1" w:lastRow="0" w:firstColumn="1" w:lastColumn="0" w:noHBand="0" w:noVBand="1"/>
                  </w:tblPr>
                  <w:tblGrid>
                    <w:gridCol w:w="1236"/>
                    <w:gridCol w:w="1285"/>
                    <w:gridCol w:w="633"/>
                    <w:gridCol w:w="617"/>
                    <w:gridCol w:w="617"/>
                    <w:gridCol w:w="617"/>
                  </w:tblGrid>
                  <w:tr w:rsidR="0071110F" w:rsidRPr="00A83718" w14:paraId="01D2EA49" w14:textId="77777777" w:rsidTr="008376E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18" w:type="dxa"/>
                        <w:vMerge w:val="restart"/>
                        <w:shd w:val="clear" w:color="auto" w:fill="C00000"/>
                        <w:hideMark/>
                      </w:tcPr>
                      <w:p w14:paraId="4483575A" w14:textId="77777777" w:rsidR="0071110F" w:rsidRPr="0046043E" w:rsidRDefault="0071110F" w:rsidP="00781834">
                        <w:pPr>
                          <w:spacing w:after="0" w:line="240" w:lineRule="auto"/>
                          <w:ind w:firstLineChars="200" w:firstLine="361"/>
                          <w:rPr>
                            <w:rFonts w:asciiTheme="minorHAnsi" w:eastAsia="Times New Roman" w:hAnsiTheme="minorHAnsi" w:cstheme="minorHAnsi"/>
                            <w:sz w:val="18"/>
                            <w:szCs w:val="18"/>
                          </w:rPr>
                        </w:pPr>
                        <w:r w:rsidRPr="0046043E">
                          <w:rPr>
                            <w:rFonts w:asciiTheme="minorHAnsi" w:eastAsia="Times New Roman" w:hAnsiTheme="minorHAnsi" w:cstheme="minorHAnsi"/>
                            <w:sz w:val="18"/>
                            <w:szCs w:val="18"/>
                          </w:rPr>
                          <w:t>Key populations</w:t>
                        </w:r>
                      </w:p>
                    </w:tc>
                    <w:tc>
                      <w:tcPr>
                        <w:tcW w:w="1353" w:type="dxa"/>
                        <w:vMerge w:val="restart"/>
                        <w:shd w:val="clear" w:color="auto" w:fill="C00000"/>
                        <w:hideMark/>
                      </w:tcPr>
                      <w:p w14:paraId="7DBAF5CD" w14:textId="77777777" w:rsidR="0071110F" w:rsidRPr="0046043E" w:rsidRDefault="0071110F" w:rsidP="00781834">
                        <w:pPr>
                          <w:spacing w:after="0" w:line="240" w:lineRule="auto"/>
                          <w:ind w:firstLineChars="200" w:firstLine="361"/>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6043E">
                          <w:rPr>
                            <w:rFonts w:asciiTheme="minorHAnsi" w:eastAsia="Times New Roman" w:hAnsiTheme="minorHAnsi" w:cstheme="minorHAnsi"/>
                            <w:sz w:val="18"/>
                            <w:szCs w:val="18"/>
                          </w:rPr>
                          <w:t>Site</w:t>
                        </w:r>
                      </w:p>
                    </w:tc>
                    <w:tc>
                      <w:tcPr>
                        <w:tcW w:w="2434" w:type="dxa"/>
                        <w:gridSpan w:val="4"/>
                        <w:shd w:val="clear" w:color="auto" w:fill="C00000"/>
                        <w:hideMark/>
                      </w:tcPr>
                      <w:p w14:paraId="0874BF13" w14:textId="77777777" w:rsidR="0071110F" w:rsidRPr="0046043E"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6043E">
                          <w:rPr>
                            <w:rFonts w:asciiTheme="minorHAnsi" w:eastAsia="Times New Roman" w:hAnsiTheme="minorHAnsi" w:cstheme="minorHAnsi"/>
                            <w:sz w:val="18"/>
                            <w:szCs w:val="18"/>
                          </w:rPr>
                          <w:t>HIV prevalence</w:t>
                        </w:r>
                      </w:p>
                    </w:tc>
                  </w:tr>
                  <w:tr w:rsidR="0071110F" w:rsidRPr="00A83718" w14:paraId="5457F6BE" w14:textId="77777777" w:rsidTr="008376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8" w:type="dxa"/>
                        <w:vMerge/>
                        <w:shd w:val="clear" w:color="auto" w:fill="C00000"/>
                        <w:hideMark/>
                      </w:tcPr>
                      <w:p w14:paraId="1372B6B5" w14:textId="77777777" w:rsidR="0071110F" w:rsidRPr="0046043E" w:rsidRDefault="0071110F" w:rsidP="00781834">
                        <w:pPr>
                          <w:spacing w:after="0" w:line="240" w:lineRule="auto"/>
                          <w:rPr>
                            <w:rFonts w:asciiTheme="minorHAnsi" w:eastAsia="Times New Roman" w:hAnsiTheme="minorHAnsi" w:cstheme="minorHAnsi"/>
                            <w:color w:val="FFFFFF" w:themeColor="background1"/>
                            <w:sz w:val="18"/>
                            <w:szCs w:val="18"/>
                          </w:rPr>
                        </w:pPr>
                      </w:p>
                    </w:tc>
                    <w:tc>
                      <w:tcPr>
                        <w:tcW w:w="1353" w:type="dxa"/>
                        <w:vMerge/>
                        <w:shd w:val="clear" w:color="auto" w:fill="C00000"/>
                        <w:hideMark/>
                      </w:tcPr>
                      <w:p w14:paraId="32D7FC79" w14:textId="77777777" w:rsidR="0071110F" w:rsidRPr="0046043E" w:rsidRDefault="0071110F" w:rsidP="0078183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p>
                    </w:tc>
                    <w:tc>
                      <w:tcPr>
                        <w:tcW w:w="782" w:type="dxa"/>
                        <w:shd w:val="clear" w:color="auto" w:fill="C00000"/>
                        <w:hideMark/>
                      </w:tcPr>
                      <w:p w14:paraId="22FD79B6" w14:textId="77777777" w:rsidR="0071110F" w:rsidRPr="0046043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46043E">
                          <w:rPr>
                            <w:rFonts w:asciiTheme="minorHAnsi" w:eastAsia="Times New Roman" w:hAnsiTheme="minorHAnsi" w:cstheme="minorHAnsi"/>
                            <w:b/>
                            <w:bCs/>
                            <w:color w:val="FFFFFF" w:themeColor="background1"/>
                            <w:sz w:val="18"/>
                            <w:szCs w:val="18"/>
                          </w:rPr>
                          <w:t>2010</w:t>
                        </w:r>
                      </w:p>
                    </w:tc>
                    <w:tc>
                      <w:tcPr>
                        <w:tcW w:w="616" w:type="dxa"/>
                        <w:shd w:val="clear" w:color="auto" w:fill="C00000"/>
                        <w:hideMark/>
                      </w:tcPr>
                      <w:p w14:paraId="71330718" w14:textId="77777777" w:rsidR="0071110F" w:rsidRPr="0046043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46043E">
                          <w:rPr>
                            <w:rFonts w:asciiTheme="minorHAnsi" w:eastAsia="Times New Roman" w:hAnsiTheme="minorHAnsi" w:cstheme="minorHAnsi"/>
                            <w:b/>
                            <w:bCs/>
                            <w:color w:val="FFFFFF" w:themeColor="background1"/>
                            <w:sz w:val="18"/>
                            <w:szCs w:val="18"/>
                          </w:rPr>
                          <w:t>2013</w:t>
                        </w:r>
                      </w:p>
                    </w:tc>
                    <w:tc>
                      <w:tcPr>
                        <w:tcW w:w="616" w:type="dxa"/>
                        <w:shd w:val="clear" w:color="auto" w:fill="C00000"/>
                        <w:hideMark/>
                      </w:tcPr>
                      <w:p w14:paraId="4DA4049A" w14:textId="77777777" w:rsidR="0071110F" w:rsidRPr="0046043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46043E">
                          <w:rPr>
                            <w:rFonts w:asciiTheme="minorHAnsi" w:eastAsia="Times New Roman" w:hAnsiTheme="minorHAnsi" w:cstheme="minorHAnsi"/>
                            <w:b/>
                            <w:bCs/>
                            <w:color w:val="FFFFFF" w:themeColor="background1"/>
                            <w:sz w:val="18"/>
                            <w:szCs w:val="18"/>
                          </w:rPr>
                          <w:t>2016</w:t>
                        </w:r>
                      </w:p>
                    </w:tc>
                    <w:tc>
                      <w:tcPr>
                        <w:tcW w:w="420" w:type="dxa"/>
                        <w:shd w:val="clear" w:color="auto" w:fill="C00000"/>
                        <w:hideMark/>
                      </w:tcPr>
                      <w:p w14:paraId="28515C8B" w14:textId="77777777" w:rsidR="0071110F" w:rsidRPr="0046043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46043E">
                          <w:rPr>
                            <w:rFonts w:asciiTheme="minorHAnsi" w:eastAsia="Times New Roman" w:hAnsiTheme="minorHAnsi" w:cstheme="minorHAnsi"/>
                            <w:b/>
                            <w:bCs/>
                            <w:color w:val="FFFFFF" w:themeColor="background1"/>
                            <w:sz w:val="18"/>
                            <w:szCs w:val="18"/>
                          </w:rPr>
                          <w:t>2020</w:t>
                        </w:r>
                      </w:p>
                    </w:tc>
                  </w:tr>
                  <w:tr w:rsidR="0071110F" w:rsidRPr="00A83718" w14:paraId="203505FD" w14:textId="77777777" w:rsidTr="0046043E">
                    <w:trPr>
                      <w:trHeight w:val="98"/>
                    </w:trPr>
                    <w:tc>
                      <w:tcPr>
                        <w:cnfStyle w:val="001000000000" w:firstRow="0" w:lastRow="0" w:firstColumn="1" w:lastColumn="0" w:oddVBand="0" w:evenVBand="0" w:oddHBand="0" w:evenHBand="0" w:firstRowFirstColumn="0" w:firstRowLastColumn="0" w:lastRowFirstColumn="0" w:lastRowLastColumn="0"/>
                        <w:tcW w:w="1218" w:type="dxa"/>
                        <w:vMerge w:val="restart"/>
                        <w:hideMark/>
                      </w:tcPr>
                      <w:p w14:paraId="4DA1C458" w14:textId="77777777" w:rsidR="0071110F" w:rsidRPr="005A10EE" w:rsidRDefault="0071110F" w:rsidP="00781834">
                        <w:pPr>
                          <w:spacing w:after="0" w:line="240" w:lineRule="auto"/>
                          <w:jc w:val="center"/>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PWID</w:t>
                        </w:r>
                      </w:p>
                    </w:tc>
                    <w:tc>
                      <w:tcPr>
                        <w:tcW w:w="1353" w:type="dxa"/>
                        <w:hideMark/>
                      </w:tcPr>
                      <w:p w14:paraId="51F63E55" w14:textId="77777777" w:rsidR="0071110F" w:rsidRPr="005A10EE" w:rsidRDefault="0071110F" w:rsidP="00781834">
                        <w:pPr>
                          <w:spacing w:after="0" w:line="240" w:lineRule="auto"/>
                          <w:ind w:firstLineChars="200" w:firstLine="3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Chisinau</w:t>
                        </w:r>
                      </w:p>
                    </w:tc>
                    <w:tc>
                      <w:tcPr>
                        <w:tcW w:w="782" w:type="dxa"/>
                        <w:hideMark/>
                      </w:tcPr>
                      <w:p w14:paraId="6EC21EF7" w14:textId="77777777" w:rsidR="0071110F" w:rsidRPr="005A10EE"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16</w:t>
                        </w:r>
                      </w:p>
                    </w:tc>
                    <w:tc>
                      <w:tcPr>
                        <w:tcW w:w="616" w:type="dxa"/>
                        <w:hideMark/>
                      </w:tcPr>
                      <w:p w14:paraId="282ACCA3" w14:textId="77777777" w:rsidR="0071110F" w:rsidRPr="005A10EE"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9</w:t>
                        </w:r>
                      </w:p>
                    </w:tc>
                    <w:tc>
                      <w:tcPr>
                        <w:tcW w:w="616" w:type="dxa"/>
                        <w:hideMark/>
                      </w:tcPr>
                      <w:p w14:paraId="0CF95A11" w14:textId="77777777" w:rsidR="0071110F" w:rsidRPr="005A10EE"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14</w:t>
                        </w:r>
                      </w:p>
                    </w:tc>
                    <w:tc>
                      <w:tcPr>
                        <w:tcW w:w="420" w:type="dxa"/>
                        <w:hideMark/>
                      </w:tcPr>
                      <w:p w14:paraId="5500F147" w14:textId="77777777" w:rsidR="0071110F" w:rsidRPr="005A10EE"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8"/>
                            <w:szCs w:val="18"/>
                          </w:rPr>
                        </w:pPr>
                        <w:r w:rsidRPr="005F7EE5">
                          <w:rPr>
                            <w:rFonts w:asciiTheme="minorHAnsi" w:eastAsia="Times New Roman" w:hAnsiTheme="minorHAnsi" w:cstheme="minorHAnsi"/>
                            <w:color w:val="FF0000"/>
                            <w:sz w:val="18"/>
                            <w:szCs w:val="18"/>
                          </w:rPr>
                          <w:t>13</w:t>
                        </w:r>
                      </w:p>
                    </w:tc>
                  </w:tr>
                  <w:tr w:rsidR="0071110F" w:rsidRPr="00A83718" w14:paraId="600F734C" w14:textId="77777777" w:rsidTr="004604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8" w:type="dxa"/>
                        <w:vMerge/>
                        <w:hideMark/>
                      </w:tcPr>
                      <w:p w14:paraId="2D33828B" w14:textId="77777777" w:rsidR="0071110F" w:rsidRPr="005A10EE" w:rsidRDefault="0071110F" w:rsidP="00781834">
                        <w:pPr>
                          <w:spacing w:after="0" w:line="240" w:lineRule="auto"/>
                          <w:rPr>
                            <w:rFonts w:asciiTheme="minorHAnsi" w:eastAsia="Times New Roman" w:hAnsiTheme="minorHAnsi" w:cstheme="minorHAnsi"/>
                            <w:color w:val="000000"/>
                            <w:sz w:val="18"/>
                            <w:szCs w:val="18"/>
                          </w:rPr>
                        </w:pPr>
                      </w:p>
                    </w:tc>
                    <w:tc>
                      <w:tcPr>
                        <w:tcW w:w="1353" w:type="dxa"/>
                        <w:hideMark/>
                      </w:tcPr>
                      <w:p w14:paraId="2C23DAD9" w14:textId="77777777" w:rsidR="0071110F" w:rsidRPr="005A10EE" w:rsidRDefault="0071110F" w:rsidP="00781834">
                        <w:pPr>
                          <w:spacing w:after="0" w:line="240" w:lineRule="auto"/>
                          <w:ind w:firstLineChars="200" w:firstLine="3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Balti</w:t>
                        </w:r>
                      </w:p>
                    </w:tc>
                    <w:tc>
                      <w:tcPr>
                        <w:tcW w:w="782" w:type="dxa"/>
                        <w:hideMark/>
                      </w:tcPr>
                      <w:p w14:paraId="768F9431" w14:textId="77777777" w:rsidR="0071110F" w:rsidRPr="005A10E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40</w:t>
                        </w:r>
                      </w:p>
                    </w:tc>
                    <w:tc>
                      <w:tcPr>
                        <w:tcW w:w="616" w:type="dxa"/>
                        <w:hideMark/>
                      </w:tcPr>
                      <w:p w14:paraId="7D350213" w14:textId="77777777" w:rsidR="0071110F" w:rsidRPr="005A10E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42</w:t>
                        </w:r>
                      </w:p>
                    </w:tc>
                    <w:tc>
                      <w:tcPr>
                        <w:tcW w:w="616" w:type="dxa"/>
                        <w:hideMark/>
                      </w:tcPr>
                      <w:p w14:paraId="759D90DB" w14:textId="77777777" w:rsidR="0071110F" w:rsidRPr="005A10E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17</w:t>
                        </w:r>
                      </w:p>
                    </w:tc>
                    <w:tc>
                      <w:tcPr>
                        <w:tcW w:w="420" w:type="dxa"/>
                        <w:hideMark/>
                      </w:tcPr>
                      <w:p w14:paraId="38CB0870" w14:textId="77777777" w:rsidR="0071110F" w:rsidRPr="005A10E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sz w:val="18"/>
                            <w:szCs w:val="18"/>
                          </w:rPr>
                        </w:pPr>
                        <w:r w:rsidRPr="005F7EE5">
                          <w:rPr>
                            <w:rFonts w:asciiTheme="minorHAnsi" w:eastAsia="Times New Roman" w:hAnsiTheme="minorHAnsi" w:cstheme="minorHAnsi"/>
                            <w:color w:val="FF0000"/>
                            <w:sz w:val="18"/>
                            <w:szCs w:val="18"/>
                          </w:rPr>
                          <w:t>15</w:t>
                        </w:r>
                      </w:p>
                    </w:tc>
                  </w:tr>
                  <w:tr w:rsidR="0071110F" w:rsidRPr="00A83718" w14:paraId="047ACD66" w14:textId="77777777" w:rsidTr="0046043E">
                    <w:trPr>
                      <w:trHeight w:val="170"/>
                    </w:trPr>
                    <w:tc>
                      <w:tcPr>
                        <w:cnfStyle w:val="001000000000" w:firstRow="0" w:lastRow="0" w:firstColumn="1" w:lastColumn="0" w:oddVBand="0" w:evenVBand="0" w:oddHBand="0" w:evenHBand="0" w:firstRowFirstColumn="0" w:firstRowLastColumn="0" w:lastRowFirstColumn="0" w:lastRowLastColumn="0"/>
                        <w:tcW w:w="1218" w:type="dxa"/>
                        <w:vMerge/>
                        <w:hideMark/>
                      </w:tcPr>
                      <w:p w14:paraId="4BC716CE" w14:textId="77777777" w:rsidR="0071110F" w:rsidRPr="005A10EE" w:rsidRDefault="0071110F" w:rsidP="00781834">
                        <w:pPr>
                          <w:spacing w:after="0" w:line="240" w:lineRule="auto"/>
                          <w:rPr>
                            <w:rFonts w:asciiTheme="minorHAnsi" w:eastAsia="Times New Roman" w:hAnsiTheme="minorHAnsi" w:cstheme="minorHAnsi"/>
                            <w:color w:val="000000"/>
                            <w:sz w:val="18"/>
                            <w:szCs w:val="18"/>
                          </w:rPr>
                        </w:pPr>
                      </w:p>
                    </w:tc>
                    <w:tc>
                      <w:tcPr>
                        <w:tcW w:w="1353" w:type="dxa"/>
                        <w:hideMark/>
                      </w:tcPr>
                      <w:p w14:paraId="2FC2C1C4" w14:textId="77777777" w:rsidR="0071110F" w:rsidRPr="005A10EE" w:rsidRDefault="0071110F" w:rsidP="00781834">
                        <w:pPr>
                          <w:spacing w:after="0" w:line="240" w:lineRule="auto"/>
                          <w:ind w:firstLineChars="200" w:firstLine="3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Tiraspol</w:t>
                        </w:r>
                      </w:p>
                    </w:tc>
                    <w:tc>
                      <w:tcPr>
                        <w:tcW w:w="782" w:type="dxa"/>
                        <w:hideMark/>
                      </w:tcPr>
                      <w:p w14:paraId="5D904961" w14:textId="77777777" w:rsidR="0071110F" w:rsidRPr="005A10EE"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12</w:t>
                        </w:r>
                      </w:p>
                    </w:tc>
                    <w:tc>
                      <w:tcPr>
                        <w:tcW w:w="616" w:type="dxa"/>
                        <w:hideMark/>
                      </w:tcPr>
                      <w:p w14:paraId="035BEB87" w14:textId="77777777" w:rsidR="0071110F" w:rsidRPr="005A10EE"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24</w:t>
                        </w:r>
                      </w:p>
                    </w:tc>
                    <w:tc>
                      <w:tcPr>
                        <w:tcW w:w="616" w:type="dxa"/>
                        <w:hideMark/>
                      </w:tcPr>
                      <w:p w14:paraId="786752FC" w14:textId="77777777" w:rsidR="0071110F" w:rsidRPr="005A10EE"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29</w:t>
                        </w:r>
                      </w:p>
                    </w:tc>
                    <w:tc>
                      <w:tcPr>
                        <w:tcW w:w="420" w:type="dxa"/>
                        <w:hideMark/>
                      </w:tcPr>
                      <w:p w14:paraId="2EE78F8D" w14:textId="77777777" w:rsidR="0071110F" w:rsidRPr="005A10EE"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N/A</w:t>
                        </w:r>
                      </w:p>
                    </w:tc>
                  </w:tr>
                  <w:tr w:rsidR="0071110F" w:rsidRPr="00A83718" w14:paraId="6F6AF99D" w14:textId="77777777" w:rsidTr="0046043E">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218" w:type="dxa"/>
                        <w:vMerge w:val="restart"/>
                        <w:hideMark/>
                      </w:tcPr>
                      <w:p w14:paraId="762665DE" w14:textId="77777777" w:rsidR="0071110F" w:rsidRPr="005A10EE" w:rsidRDefault="0071110F" w:rsidP="00781834">
                        <w:pPr>
                          <w:spacing w:after="0" w:line="240" w:lineRule="auto"/>
                          <w:jc w:val="center"/>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SWs</w:t>
                        </w:r>
                      </w:p>
                    </w:tc>
                    <w:tc>
                      <w:tcPr>
                        <w:tcW w:w="1353" w:type="dxa"/>
                        <w:hideMark/>
                      </w:tcPr>
                      <w:p w14:paraId="3A1EEF1C" w14:textId="77777777" w:rsidR="0071110F" w:rsidRPr="005A10EE" w:rsidRDefault="0071110F" w:rsidP="00781834">
                        <w:pPr>
                          <w:spacing w:after="0" w:line="240" w:lineRule="auto"/>
                          <w:ind w:firstLineChars="200" w:firstLine="3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Chisinau</w:t>
                        </w:r>
                      </w:p>
                    </w:tc>
                    <w:tc>
                      <w:tcPr>
                        <w:tcW w:w="782" w:type="dxa"/>
                        <w:hideMark/>
                      </w:tcPr>
                      <w:p w14:paraId="4FC7C995" w14:textId="77777777" w:rsidR="0071110F" w:rsidRPr="005A10E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6</w:t>
                        </w:r>
                      </w:p>
                    </w:tc>
                    <w:tc>
                      <w:tcPr>
                        <w:tcW w:w="616" w:type="dxa"/>
                        <w:hideMark/>
                      </w:tcPr>
                      <w:p w14:paraId="3E8D2CC0" w14:textId="77777777" w:rsidR="0071110F" w:rsidRPr="005A10E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A10EE">
                          <w:rPr>
                            <w:rFonts w:asciiTheme="minorHAnsi" w:eastAsia="Times New Roman" w:hAnsiTheme="minorHAnsi" w:cstheme="minorHAnsi"/>
                            <w:color w:val="000000"/>
                            <w:sz w:val="18"/>
                            <w:szCs w:val="18"/>
                          </w:rPr>
                          <w:t>12</w:t>
                        </w:r>
                      </w:p>
                    </w:tc>
                    <w:tc>
                      <w:tcPr>
                        <w:tcW w:w="616" w:type="dxa"/>
                        <w:hideMark/>
                      </w:tcPr>
                      <w:p w14:paraId="48FA9080" w14:textId="77777777" w:rsidR="0071110F" w:rsidRPr="005A10E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A10EE">
                          <w:rPr>
                            <w:rFonts w:asciiTheme="minorHAnsi" w:eastAsia="Times New Roman" w:hAnsiTheme="minorHAnsi" w:cstheme="minorHAnsi"/>
                            <w:color w:val="000000"/>
                            <w:sz w:val="18"/>
                            <w:szCs w:val="18"/>
                          </w:rPr>
                          <w:t>4</w:t>
                        </w:r>
                      </w:p>
                    </w:tc>
                    <w:tc>
                      <w:tcPr>
                        <w:tcW w:w="420" w:type="dxa"/>
                        <w:hideMark/>
                      </w:tcPr>
                      <w:p w14:paraId="4F8654AB" w14:textId="77777777" w:rsidR="0071110F" w:rsidRPr="005A10E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FF0000"/>
                            <w:sz w:val="18"/>
                            <w:szCs w:val="18"/>
                          </w:rPr>
                          <w:t>3</w:t>
                        </w:r>
                      </w:p>
                    </w:tc>
                  </w:tr>
                  <w:tr w:rsidR="0071110F" w:rsidRPr="00A83718" w14:paraId="682C7648" w14:textId="77777777" w:rsidTr="0046043E">
                    <w:trPr>
                      <w:trHeight w:val="233"/>
                    </w:trPr>
                    <w:tc>
                      <w:tcPr>
                        <w:cnfStyle w:val="001000000000" w:firstRow="0" w:lastRow="0" w:firstColumn="1" w:lastColumn="0" w:oddVBand="0" w:evenVBand="0" w:oddHBand="0" w:evenHBand="0" w:firstRowFirstColumn="0" w:firstRowLastColumn="0" w:lastRowFirstColumn="0" w:lastRowLastColumn="0"/>
                        <w:tcW w:w="1218" w:type="dxa"/>
                        <w:vMerge/>
                        <w:hideMark/>
                      </w:tcPr>
                      <w:p w14:paraId="75F6DF89" w14:textId="77777777" w:rsidR="0071110F" w:rsidRPr="005A10EE" w:rsidRDefault="0071110F" w:rsidP="00781834">
                        <w:pPr>
                          <w:spacing w:after="0" w:line="240" w:lineRule="auto"/>
                          <w:rPr>
                            <w:rFonts w:asciiTheme="minorHAnsi" w:eastAsia="Times New Roman" w:hAnsiTheme="minorHAnsi" w:cstheme="minorHAnsi"/>
                            <w:color w:val="000000"/>
                            <w:sz w:val="18"/>
                            <w:szCs w:val="18"/>
                          </w:rPr>
                        </w:pPr>
                      </w:p>
                    </w:tc>
                    <w:tc>
                      <w:tcPr>
                        <w:tcW w:w="1353" w:type="dxa"/>
                        <w:hideMark/>
                      </w:tcPr>
                      <w:p w14:paraId="1AEA935E" w14:textId="77777777" w:rsidR="0071110F" w:rsidRPr="005A10EE" w:rsidRDefault="0071110F" w:rsidP="00781834">
                        <w:pPr>
                          <w:spacing w:after="0" w:line="240" w:lineRule="auto"/>
                          <w:ind w:firstLineChars="200" w:firstLine="3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Balti</w:t>
                        </w:r>
                      </w:p>
                    </w:tc>
                    <w:tc>
                      <w:tcPr>
                        <w:tcW w:w="782" w:type="dxa"/>
                        <w:hideMark/>
                      </w:tcPr>
                      <w:p w14:paraId="342435B8" w14:textId="77777777" w:rsidR="0071110F" w:rsidRPr="005A10EE"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23</w:t>
                        </w:r>
                      </w:p>
                    </w:tc>
                    <w:tc>
                      <w:tcPr>
                        <w:tcW w:w="616" w:type="dxa"/>
                        <w:hideMark/>
                      </w:tcPr>
                      <w:p w14:paraId="6C2DB300" w14:textId="77777777" w:rsidR="0071110F" w:rsidRPr="005A10EE"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22</w:t>
                        </w:r>
                      </w:p>
                    </w:tc>
                    <w:tc>
                      <w:tcPr>
                        <w:tcW w:w="616" w:type="dxa"/>
                        <w:hideMark/>
                      </w:tcPr>
                      <w:p w14:paraId="3038FB11" w14:textId="77777777" w:rsidR="0071110F" w:rsidRPr="005A10EE"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22</w:t>
                        </w:r>
                      </w:p>
                    </w:tc>
                    <w:tc>
                      <w:tcPr>
                        <w:tcW w:w="420" w:type="dxa"/>
                        <w:hideMark/>
                      </w:tcPr>
                      <w:p w14:paraId="15047C97" w14:textId="77777777" w:rsidR="0071110F" w:rsidRPr="005A10EE"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N/A</w:t>
                        </w:r>
                      </w:p>
                    </w:tc>
                  </w:tr>
                  <w:tr w:rsidR="0071110F" w:rsidRPr="00A83718" w14:paraId="47BF39D9" w14:textId="77777777" w:rsidTr="0046043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18" w:type="dxa"/>
                        <w:vMerge w:val="restart"/>
                        <w:hideMark/>
                      </w:tcPr>
                      <w:p w14:paraId="0CC2A8A9" w14:textId="77777777" w:rsidR="0071110F" w:rsidRPr="005A10EE" w:rsidRDefault="0071110F" w:rsidP="00781834">
                        <w:pPr>
                          <w:spacing w:after="0" w:line="240" w:lineRule="auto"/>
                          <w:jc w:val="center"/>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MSM</w:t>
                        </w:r>
                      </w:p>
                    </w:tc>
                    <w:tc>
                      <w:tcPr>
                        <w:tcW w:w="1353" w:type="dxa"/>
                        <w:hideMark/>
                      </w:tcPr>
                      <w:p w14:paraId="22CD2294" w14:textId="77777777" w:rsidR="0071110F" w:rsidRPr="005A10EE" w:rsidRDefault="0071110F" w:rsidP="00781834">
                        <w:pPr>
                          <w:spacing w:after="0" w:line="240" w:lineRule="auto"/>
                          <w:ind w:firstLineChars="200" w:firstLine="36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Chisinau</w:t>
                        </w:r>
                      </w:p>
                    </w:tc>
                    <w:tc>
                      <w:tcPr>
                        <w:tcW w:w="782" w:type="dxa"/>
                        <w:hideMark/>
                      </w:tcPr>
                      <w:p w14:paraId="32B450AC" w14:textId="77777777" w:rsidR="0071110F" w:rsidRPr="005A10E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A10EE">
                          <w:rPr>
                            <w:rFonts w:asciiTheme="minorHAnsi" w:eastAsia="Times New Roman" w:hAnsiTheme="minorHAnsi" w:cstheme="minorHAnsi"/>
                            <w:color w:val="000000"/>
                            <w:sz w:val="18"/>
                            <w:szCs w:val="18"/>
                          </w:rPr>
                          <w:t>2</w:t>
                        </w:r>
                      </w:p>
                    </w:tc>
                    <w:tc>
                      <w:tcPr>
                        <w:tcW w:w="616" w:type="dxa"/>
                        <w:hideMark/>
                      </w:tcPr>
                      <w:p w14:paraId="4A87A635" w14:textId="77777777" w:rsidR="0071110F" w:rsidRPr="005A10E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5</w:t>
                        </w:r>
                      </w:p>
                    </w:tc>
                    <w:tc>
                      <w:tcPr>
                        <w:tcW w:w="616" w:type="dxa"/>
                        <w:hideMark/>
                      </w:tcPr>
                      <w:p w14:paraId="51002348" w14:textId="77777777" w:rsidR="0071110F" w:rsidRPr="005A10E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000000"/>
                            <w:sz w:val="18"/>
                            <w:szCs w:val="18"/>
                          </w:rPr>
                          <w:t>9</w:t>
                        </w:r>
                      </w:p>
                    </w:tc>
                    <w:tc>
                      <w:tcPr>
                        <w:tcW w:w="420" w:type="dxa"/>
                        <w:hideMark/>
                      </w:tcPr>
                      <w:p w14:paraId="0D566DCE" w14:textId="77777777" w:rsidR="0071110F" w:rsidRPr="005A10E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F7EE5">
                          <w:rPr>
                            <w:rFonts w:asciiTheme="minorHAnsi" w:eastAsia="Times New Roman" w:hAnsiTheme="minorHAnsi" w:cstheme="minorHAnsi"/>
                            <w:color w:val="FF0000"/>
                            <w:sz w:val="18"/>
                            <w:szCs w:val="18"/>
                          </w:rPr>
                          <w:t>12</w:t>
                        </w:r>
                      </w:p>
                    </w:tc>
                  </w:tr>
                  <w:tr w:rsidR="0071110F" w:rsidRPr="00A83718" w14:paraId="14DD760E" w14:textId="77777777" w:rsidTr="0046043E">
                    <w:trPr>
                      <w:trHeight w:val="300"/>
                    </w:trPr>
                    <w:tc>
                      <w:tcPr>
                        <w:cnfStyle w:val="001000000000" w:firstRow="0" w:lastRow="0" w:firstColumn="1" w:lastColumn="0" w:oddVBand="0" w:evenVBand="0" w:oddHBand="0" w:evenHBand="0" w:firstRowFirstColumn="0" w:firstRowLastColumn="0" w:lastRowFirstColumn="0" w:lastRowLastColumn="0"/>
                        <w:tcW w:w="1218" w:type="dxa"/>
                        <w:vMerge/>
                        <w:hideMark/>
                      </w:tcPr>
                      <w:p w14:paraId="0E1B14A6" w14:textId="77777777" w:rsidR="0071110F" w:rsidRPr="005A10EE" w:rsidRDefault="0071110F" w:rsidP="00781834">
                        <w:pPr>
                          <w:spacing w:after="0" w:line="240" w:lineRule="auto"/>
                          <w:rPr>
                            <w:rFonts w:asciiTheme="minorHAnsi" w:eastAsia="Times New Roman" w:hAnsiTheme="minorHAnsi" w:cstheme="minorHAnsi"/>
                            <w:color w:val="000000"/>
                            <w:sz w:val="18"/>
                            <w:szCs w:val="18"/>
                          </w:rPr>
                        </w:pPr>
                      </w:p>
                    </w:tc>
                    <w:tc>
                      <w:tcPr>
                        <w:tcW w:w="1353" w:type="dxa"/>
                        <w:hideMark/>
                      </w:tcPr>
                      <w:p w14:paraId="3FF3DD7A" w14:textId="77777777" w:rsidR="0071110F" w:rsidRPr="005A10EE" w:rsidRDefault="0071110F" w:rsidP="00781834">
                        <w:pPr>
                          <w:spacing w:after="0" w:line="240" w:lineRule="auto"/>
                          <w:ind w:firstLineChars="200" w:firstLine="36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A10EE">
                          <w:rPr>
                            <w:rFonts w:asciiTheme="minorHAnsi" w:eastAsia="Times New Roman" w:hAnsiTheme="minorHAnsi" w:cstheme="minorHAnsi"/>
                            <w:color w:val="000000"/>
                            <w:sz w:val="18"/>
                            <w:szCs w:val="18"/>
                          </w:rPr>
                          <w:t>Balti</w:t>
                        </w:r>
                      </w:p>
                    </w:tc>
                    <w:tc>
                      <w:tcPr>
                        <w:tcW w:w="782" w:type="dxa"/>
                        <w:hideMark/>
                      </w:tcPr>
                      <w:p w14:paraId="09845B81" w14:textId="77777777" w:rsidR="0071110F" w:rsidRPr="005A10EE"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A10EE">
                          <w:rPr>
                            <w:rFonts w:asciiTheme="minorHAnsi" w:eastAsia="Times New Roman" w:hAnsiTheme="minorHAnsi" w:cstheme="minorHAnsi"/>
                            <w:color w:val="000000"/>
                            <w:sz w:val="18"/>
                            <w:szCs w:val="18"/>
                          </w:rPr>
                          <w:t>0.2</w:t>
                        </w:r>
                      </w:p>
                    </w:tc>
                    <w:tc>
                      <w:tcPr>
                        <w:tcW w:w="616" w:type="dxa"/>
                        <w:hideMark/>
                      </w:tcPr>
                      <w:p w14:paraId="35B71099" w14:textId="77777777" w:rsidR="0071110F" w:rsidRPr="005A10EE"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A10EE">
                          <w:rPr>
                            <w:rFonts w:asciiTheme="minorHAnsi" w:eastAsia="Times New Roman" w:hAnsiTheme="minorHAnsi" w:cstheme="minorHAnsi"/>
                            <w:color w:val="000000"/>
                            <w:sz w:val="18"/>
                            <w:szCs w:val="18"/>
                          </w:rPr>
                          <w:t>8</w:t>
                        </w:r>
                      </w:p>
                    </w:tc>
                    <w:tc>
                      <w:tcPr>
                        <w:tcW w:w="616" w:type="dxa"/>
                        <w:hideMark/>
                      </w:tcPr>
                      <w:p w14:paraId="4B0481EB" w14:textId="77777777" w:rsidR="0071110F" w:rsidRPr="005A10EE"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A10EE">
                          <w:rPr>
                            <w:rFonts w:asciiTheme="minorHAnsi" w:eastAsia="Times New Roman" w:hAnsiTheme="minorHAnsi" w:cstheme="minorHAnsi"/>
                            <w:color w:val="000000"/>
                            <w:sz w:val="18"/>
                            <w:szCs w:val="18"/>
                          </w:rPr>
                          <w:t>4</w:t>
                        </w:r>
                      </w:p>
                    </w:tc>
                    <w:tc>
                      <w:tcPr>
                        <w:tcW w:w="420" w:type="dxa"/>
                        <w:hideMark/>
                      </w:tcPr>
                      <w:p w14:paraId="06F8E107" w14:textId="77777777" w:rsidR="0071110F" w:rsidRPr="005A10EE"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5A10EE">
                          <w:rPr>
                            <w:rFonts w:asciiTheme="minorHAnsi" w:eastAsia="Times New Roman" w:hAnsiTheme="minorHAnsi" w:cstheme="minorHAnsi"/>
                            <w:color w:val="000000"/>
                            <w:sz w:val="18"/>
                            <w:szCs w:val="18"/>
                          </w:rPr>
                          <w:t>N/A</w:t>
                        </w:r>
                      </w:p>
                    </w:tc>
                  </w:tr>
                  <w:tr w:rsidR="0071110F" w:rsidRPr="00A83718" w14:paraId="748107D6" w14:textId="77777777" w:rsidTr="0046043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18" w:type="dxa"/>
                        <w:hideMark/>
                      </w:tcPr>
                      <w:p w14:paraId="0F06A685" w14:textId="77777777" w:rsidR="0071110F" w:rsidRPr="005A10EE" w:rsidRDefault="0071110F" w:rsidP="00781834">
                        <w:pPr>
                          <w:spacing w:after="0" w:line="240" w:lineRule="auto"/>
                          <w:rPr>
                            <w:rFonts w:asciiTheme="minorHAnsi" w:eastAsia="Times New Roman" w:hAnsiTheme="minorHAnsi" w:cstheme="minorHAnsi"/>
                            <w:color w:val="000000"/>
                            <w:sz w:val="18"/>
                            <w:szCs w:val="18"/>
                          </w:rPr>
                        </w:pPr>
                        <w:r w:rsidRPr="005A10EE">
                          <w:rPr>
                            <w:rFonts w:asciiTheme="minorHAnsi" w:eastAsia="Times New Roman" w:hAnsiTheme="minorHAnsi" w:cstheme="minorHAnsi"/>
                            <w:color w:val="000000"/>
                            <w:sz w:val="18"/>
                            <w:szCs w:val="18"/>
                          </w:rPr>
                          <w:t>People in detention</w:t>
                        </w:r>
                      </w:p>
                    </w:tc>
                    <w:tc>
                      <w:tcPr>
                        <w:tcW w:w="1353" w:type="dxa"/>
                        <w:hideMark/>
                      </w:tcPr>
                      <w:p w14:paraId="0D2EEEF9" w14:textId="77777777" w:rsidR="0071110F" w:rsidRPr="005A10EE" w:rsidRDefault="0071110F" w:rsidP="00781834">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A10EE">
                          <w:rPr>
                            <w:rFonts w:asciiTheme="minorHAnsi" w:eastAsia="Times New Roman" w:hAnsiTheme="minorHAnsi" w:cstheme="minorHAnsi"/>
                            <w:color w:val="000000"/>
                            <w:sz w:val="18"/>
                            <w:szCs w:val="18"/>
                          </w:rPr>
                          <w:t>Right Bank</w:t>
                        </w:r>
                      </w:p>
                    </w:tc>
                    <w:tc>
                      <w:tcPr>
                        <w:tcW w:w="782" w:type="dxa"/>
                        <w:hideMark/>
                      </w:tcPr>
                      <w:p w14:paraId="5C9271D7" w14:textId="77777777" w:rsidR="0071110F" w:rsidRPr="005A10E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A10EE">
                          <w:rPr>
                            <w:rFonts w:asciiTheme="minorHAnsi" w:eastAsia="Times New Roman" w:hAnsiTheme="minorHAnsi" w:cstheme="minorHAnsi"/>
                            <w:color w:val="000000"/>
                            <w:sz w:val="18"/>
                            <w:szCs w:val="18"/>
                          </w:rPr>
                          <w:t>3</w:t>
                        </w:r>
                      </w:p>
                    </w:tc>
                    <w:tc>
                      <w:tcPr>
                        <w:tcW w:w="616" w:type="dxa"/>
                        <w:hideMark/>
                      </w:tcPr>
                      <w:p w14:paraId="79262576" w14:textId="77777777" w:rsidR="0071110F" w:rsidRPr="005A10E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A10EE">
                          <w:rPr>
                            <w:rFonts w:asciiTheme="minorHAnsi" w:eastAsia="Times New Roman" w:hAnsiTheme="minorHAnsi" w:cstheme="minorHAnsi"/>
                            <w:color w:val="000000"/>
                            <w:sz w:val="18"/>
                            <w:szCs w:val="18"/>
                          </w:rPr>
                          <w:t>2</w:t>
                        </w:r>
                      </w:p>
                    </w:tc>
                    <w:tc>
                      <w:tcPr>
                        <w:tcW w:w="616" w:type="dxa"/>
                        <w:hideMark/>
                      </w:tcPr>
                      <w:p w14:paraId="47781056" w14:textId="77777777" w:rsidR="0071110F" w:rsidRPr="005A10E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A10EE">
                          <w:rPr>
                            <w:rFonts w:asciiTheme="minorHAnsi" w:eastAsia="Times New Roman" w:hAnsiTheme="minorHAnsi" w:cstheme="minorHAnsi"/>
                            <w:color w:val="000000"/>
                            <w:sz w:val="18"/>
                            <w:szCs w:val="18"/>
                          </w:rPr>
                          <w:t>4</w:t>
                        </w:r>
                      </w:p>
                    </w:tc>
                    <w:tc>
                      <w:tcPr>
                        <w:tcW w:w="420" w:type="dxa"/>
                        <w:hideMark/>
                      </w:tcPr>
                      <w:p w14:paraId="64177F71" w14:textId="77777777" w:rsidR="0071110F" w:rsidRPr="005A10E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5A10EE">
                          <w:rPr>
                            <w:rFonts w:asciiTheme="minorHAnsi" w:eastAsia="Times New Roman" w:hAnsiTheme="minorHAnsi" w:cstheme="minorHAnsi"/>
                            <w:color w:val="000000"/>
                            <w:sz w:val="18"/>
                            <w:szCs w:val="18"/>
                          </w:rPr>
                          <w:t>N/A</w:t>
                        </w:r>
                      </w:p>
                    </w:tc>
                  </w:tr>
                </w:tbl>
                <w:p w14:paraId="15168B44" w14:textId="77777777" w:rsidR="0071110F" w:rsidRDefault="0071110F" w:rsidP="00781834">
                  <w:pPr>
                    <w:spacing w:after="0" w:line="240" w:lineRule="auto"/>
                    <w:jc w:val="both"/>
                    <w:rPr>
                      <w:rStyle w:val="e24kjd"/>
                      <w:rFonts w:asciiTheme="majorHAnsi" w:hAnsiTheme="majorHAnsi" w:cstheme="majorHAnsi"/>
                      <w:sz w:val="20"/>
                    </w:rPr>
                  </w:pPr>
                </w:p>
              </w:tc>
              <w:tc>
                <w:tcPr>
                  <w:tcW w:w="4995" w:type="dxa"/>
                </w:tcPr>
                <w:tbl>
                  <w:tblPr>
                    <w:tblStyle w:val="ListTable3-Accent4"/>
                    <w:tblW w:w="4810" w:type="dxa"/>
                    <w:tblLook w:val="04A0" w:firstRow="1" w:lastRow="0" w:firstColumn="1" w:lastColumn="0" w:noHBand="0" w:noVBand="1"/>
                  </w:tblPr>
                  <w:tblGrid>
                    <w:gridCol w:w="971"/>
                    <w:gridCol w:w="1313"/>
                    <w:gridCol w:w="1313"/>
                    <w:gridCol w:w="1213"/>
                  </w:tblGrid>
                  <w:tr w:rsidR="0071110F" w:rsidRPr="00791341" w14:paraId="019DD65E" w14:textId="77777777" w:rsidTr="008376E7">
                    <w:trPr>
                      <w:cnfStyle w:val="100000000000" w:firstRow="1" w:lastRow="0" w:firstColumn="0" w:lastColumn="0" w:oddVBand="0" w:evenVBand="0" w:oddHBand="0" w:evenHBand="0" w:firstRowFirstColumn="0" w:firstRowLastColumn="0" w:lastRowFirstColumn="0" w:lastRowLastColumn="0"/>
                      <w:trHeight w:val="327"/>
                    </w:trPr>
                    <w:tc>
                      <w:tcPr>
                        <w:cnfStyle w:val="001000000100" w:firstRow="0" w:lastRow="0" w:firstColumn="1" w:lastColumn="0" w:oddVBand="0" w:evenVBand="0" w:oddHBand="0" w:evenHBand="0" w:firstRowFirstColumn="1" w:firstRowLastColumn="0" w:lastRowFirstColumn="0" w:lastRowLastColumn="0"/>
                        <w:tcW w:w="971" w:type="dxa"/>
                        <w:vMerge w:val="restart"/>
                        <w:shd w:val="clear" w:color="auto" w:fill="C00000"/>
                        <w:noWrap/>
                        <w:hideMark/>
                      </w:tcPr>
                      <w:p w14:paraId="1CE9602F" w14:textId="77777777" w:rsidR="0071110F" w:rsidRPr="00791341" w:rsidRDefault="0071110F" w:rsidP="00781834">
                        <w:pPr>
                          <w:spacing w:after="0" w:line="240" w:lineRule="auto"/>
                          <w:rPr>
                            <w:rFonts w:asciiTheme="minorHAnsi" w:eastAsia="Times New Roman" w:hAnsiTheme="minorHAnsi" w:cstheme="minorHAnsi"/>
                            <w:color w:val="000000"/>
                            <w:sz w:val="18"/>
                            <w:szCs w:val="18"/>
                          </w:rPr>
                        </w:pPr>
                        <w:r w:rsidRPr="00791341">
                          <w:rPr>
                            <w:rFonts w:asciiTheme="minorHAnsi" w:eastAsia="Times New Roman" w:hAnsiTheme="minorHAnsi" w:cstheme="minorHAnsi"/>
                            <w:color w:val="000000"/>
                            <w:sz w:val="18"/>
                            <w:szCs w:val="18"/>
                          </w:rPr>
                          <w:t> </w:t>
                        </w:r>
                      </w:p>
                    </w:tc>
                    <w:tc>
                      <w:tcPr>
                        <w:tcW w:w="3839" w:type="dxa"/>
                        <w:gridSpan w:val="3"/>
                        <w:shd w:val="clear" w:color="auto" w:fill="C00000"/>
                        <w:hideMark/>
                      </w:tcPr>
                      <w:p w14:paraId="401BB28E" w14:textId="77777777" w:rsidR="0071110F" w:rsidRPr="0046043E"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46043E">
                          <w:rPr>
                            <w:rFonts w:asciiTheme="minorHAnsi" w:eastAsia="Times New Roman" w:hAnsiTheme="minorHAnsi" w:cstheme="minorHAnsi"/>
                            <w:sz w:val="18"/>
                            <w:szCs w:val="18"/>
                          </w:rPr>
                          <w:t>Size estimates</w:t>
                        </w:r>
                      </w:p>
                    </w:tc>
                  </w:tr>
                  <w:tr w:rsidR="0071110F" w:rsidRPr="005A10EE" w14:paraId="18748B8A" w14:textId="77777777" w:rsidTr="008376E7">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71" w:type="dxa"/>
                        <w:vMerge/>
                        <w:shd w:val="clear" w:color="auto" w:fill="C00000"/>
                        <w:hideMark/>
                      </w:tcPr>
                      <w:p w14:paraId="1F359364" w14:textId="77777777" w:rsidR="0071110F" w:rsidRPr="00791341" w:rsidRDefault="0071110F" w:rsidP="00781834">
                        <w:pPr>
                          <w:spacing w:after="0" w:line="240" w:lineRule="auto"/>
                          <w:rPr>
                            <w:rFonts w:asciiTheme="minorHAnsi" w:eastAsia="Times New Roman" w:hAnsiTheme="minorHAnsi" w:cstheme="minorHAnsi"/>
                            <w:color w:val="000000"/>
                            <w:sz w:val="18"/>
                            <w:szCs w:val="18"/>
                          </w:rPr>
                        </w:pPr>
                      </w:p>
                    </w:tc>
                    <w:tc>
                      <w:tcPr>
                        <w:tcW w:w="1313" w:type="dxa"/>
                        <w:shd w:val="clear" w:color="auto" w:fill="C00000"/>
                        <w:noWrap/>
                        <w:hideMark/>
                      </w:tcPr>
                      <w:p w14:paraId="6564227E" w14:textId="77777777" w:rsidR="0071110F" w:rsidRPr="0046043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46043E">
                          <w:rPr>
                            <w:rFonts w:asciiTheme="minorHAnsi" w:eastAsia="Times New Roman" w:hAnsiTheme="minorHAnsi" w:cstheme="minorHAnsi"/>
                            <w:b/>
                            <w:bCs/>
                            <w:color w:val="FFFFFF" w:themeColor="background1"/>
                            <w:sz w:val="18"/>
                            <w:szCs w:val="18"/>
                          </w:rPr>
                          <w:t>2010</w:t>
                        </w:r>
                      </w:p>
                    </w:tc>
                    <w:tc>
                      <w:tcPr>
                        <w:tcW w:w="1313" w:type="dxa"/>
                        <w:shd w:val="clear" w:color="auto" w:fill="C00000"/>
                        <w:noWrap/>
                        <w:hideMark/>
                      </w:tcPr>
                      <w:p w14:paraId="4D8C25D5" w14:textId="77777777" w:rsidR="0071110F" w:rsidRPr="0046043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46043E">
                          <w:rPr>
                            <w:rFonts w:asciiTheme="minorHAnsi" w:eastAsia="Times New Roman" w:hAnsiTheme="minorHAnsi" w:cstheme="minorHAnsi"/>
                            <w:b/>
                            <w:bCs/>
                            <w:color w:val="FFFFFF" w:themeColor="background1"/>
                            <w:sz w:val="18"/>
                            <w:szCs w:val="18"/>
                          </w:rPr>
                          <w:t>2013</w:t>
                        </w:r>
                      </w:p>
                    </w:tc>
                    <w:tc>
                      <w:tcPr>
                        <w:tcW w:w="1212" w:type="dxa"/>
                        <w:shd w:val="clear" w:color="auto" w:fill="C00000"/>
                        <w:noWrap/>
                        <w:hideMark/>
                      </w:tcPr>
                      <w:p w14:paraId="14944DAC" w14:textId="77777777" w:rsidR="0071110F" w:rsidRPr="0046043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46043E">
                          <w:rPr>
                            <w:rFonts w:asciiTheme="minorHAnsi" w:eastAsia="Times New Roman" w:hAnsiTheme="minorHAnsi" w:cstheme="minorHAnsi"/>
                            <w:b/>
                            <w:bCs/>
                            <w:color w:val="FFFFFF" w:themeColor="background1"/>
                            <w:sz w:val="18"/>
                            <w:szCs w:val="18"/>
                          </w:rPr>
                          <w:t>2016</w:t>
                        </w:r>
                      </w:p>
                    </w:tc>
                  </w:tr>
                  <w:tr w:rsidR="0071110F" w:rsidRPr="005A10EE" w14:paraId="61D0C40F" w14:textId="77777777" w:rsidTr="0046043E">
                    <w:trPr>
                      <w:trHeight w:val="82"/>
                    </w:trPr>
                    <w:tc>
                      <w:tcPr>
                        <w:cnfStyle w:val="001000000000" w:firstRow="0" w:lastRow="0" w:firstColumn="1" w:lastColumn="0" w:oddVBand="0" w:evenVBand="0" w:oddHBand="0" w:evenHBand="0" w:firstRowFirstColumn="0" w:firstRowLastColumn="0" w:lastRowFirstColumn="0" w:lastRowLastColumn="0"/>
                        <w:tcW w:w="971" w:type="dxa"/>
                        <w:noWrap/>
                        <w:hideMark/>
                      </w:tcPr>
                      <w:p w14:paraId="4A19EE9F" w14:textId="77777777" w:rsidR="0071110F" w:rsidRPr="00791341" w:rsidRDefault="0071110F" w:rsidP="00781834">
                        <w:pPr>
                          <w:spacing w:after="0" w:line="240" w:lineRule="auto"/>
                          <w:rPr>
                            <w:rFonts w:asciiTheme="minorHAnsi" w:eastAsia="Times New Roman" w:hAnsiTheme="minorHAnsi" w:cstheme="minorHAnsi"/>
                            <w:color w:val="000000"/>
                            <w:sz w:val="18"/>
                            <w:szCs w:val="18"/>
                          </w:rPr>
                        </w:pPr>
                        <w:r w:rsidRPr="00791341">
                          <w:rPr>
                            <w:rFonts w:asciiTheme="minorHAnsi" w:eastAsia="Times New Roman" w:hAnsiTheme="minorHAnsi" w:cstheme="minorHAnsi"/>
                            <w:color w:val="000000"/>
                            <w:sz w:val="18"/>
                            <w:szCs w:val="18"/>
                          </w:rPr>
                          <w:t>PWID</w:t>
                        </w:r>
                      </w:p>
                    </w:tc>
                    <w:tc>
                      <w:tcPr>
                        <w:tcW w:w="1313" w:type="dxa"/>
                        <w:noWrap/>
                        <w:hideMark/>
                      </w:tcPr>
                      <w:p w14:paraId="5FE41A28" w14:textId="77777777" w:rsidR="0071110F" w:rsidRPr="00791341"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91341">
                          <w:rPr>
                            <w:rFonts w:asciiTheme="minorHAnsi" w:eastAsia="Times New Roman" w:hAnsiTheme="minorHAnsi" w:cstheme="minorHAnsi"/>
                            <w:color w:val="000000"/>
                            <w:sz w:val="18"/>
                            <w:szCs w:val="18"/>
                          </w:rPr>
                          <w:t>31,600</w:t>
                        </w:r>
                      </w:p>
                    </w:tc>
                    <w:tc>
                      <w:tcPr>
                        <w:tcW w:w="1313" w:type="dxa"/>
                        <w:noWrap/>
                        <w:hideMark/>
                      </w:tcPr>
                      <w:p w14:paraId="4CCC6CE9" w14:textId="77777777" w:rsidR="0071110F" w:rsidRPr="00791341"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91341">
                          <w:rPr>
                            <w:rFonts w:asciiTheme="minorHAnsi" w:eastAsia="Times New Roman" w:hAnsiTheme="minorHAnsi" w:cstheme="minorHAnsi"/>
                            <w:color w:val="000000"/>
                            <w:sz w:val="18"/>
                            <w:szCs w:val="18"/>
                          </w:rPr>
                          <w:t>30,200</w:t>
                        </w:r>
                      </w:p>
                    </w:tc>
                    <w:tc>
                      <w:tcPr>
                        <w:tcW w:w="1212" w:type="dxa"/>
                        <w:noWrap/>
                        <w:hideMark/>
                      </w:tcPr>
                      <w:p w14:paraId="597B1490" w14:textId="77777777" w:rsidR="0071110F" w:rsidRPr="00791341"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91341">
                          <w:rPr>
                            <w:rFonts w:asciiTheme="minorHAnsi" w:eastAsia="Times New Roman" w:hAnsiTheme="minorHAnsi" w:cstheme="minorHAnsi"/>
                            <w:color w:val="000000"/>
                            <w:sz w:val="18"/>
                            <w:szCs w:val="18"/>
                          </w:rPr>
                          <w:t>36,900</w:t>
                        </w:r>
                      </w:p>
                    </w:tc>
                  </w:tr>
                  <w:tr w:rsidR="0071110F" w:rsidRPr="005A10EE" w14:paraId="435FFDC0" w14:textId="77777777" w:rsidTr="0046043E">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71" w:type="dxa"/>
                        <w:noWrap/>
                        <w:hideMark/>
                      </w:tcPr>
                      <w:p w14:paraId="20FE54EF" w14:textId="77777777" w:rsidR="0071110F" w:rsidRPr="00791341" w:rsidRDefault="0071110F" w:rsidP="00781834">
                        <w:pPr>
                          <w:spacing w:after="0" w:line="240" w:lineRule="auto"/>
                          <w:rPr>
                            <w:rFonts w:asciiTheme="minorHAnsi" w:eastAsia="Times New Roman" w:hAnsiTheme="minorHAnsi" w:cstheme="minorHAnsi"/>
                            <w:color w:val="000000"/>
                            <w:sz w:val="18"/>
                            <w:szCs w:val="18"/>
                          </w:rPr>
                        </w:pPr>
                        <w:r w:rsidRPr="00791341">
                          <w:rPr>
                            <w:rFonts w:asciiTheme="minorHAnsi" w:eastAsia="Times New Roman" w:hAnsiTheme="minorHAnsi" w:cstheme="minorHAnsi"/>
                            <w:color w:val="000000"/>
                            <w:sz w:val="18"/>
                            <w:szCs w:val="18"/>
                          </w:rPr>
                          <w:t>SW</w:t>
                        </w:r>
                      </w:p>
                    </w:tc>
                    <w:tc>
                      <w:tcPr>
                        <w:tcW w:w="1313" w:type="dxa"/>
                        <w:noWrap/>
                        <w:hideMark/>
                      </w:tcPr>
                      <w:p w14:paraId="580D145D" w14:textId="77777777" w:rsidR="0071110F" w:rsidRPr="00791341"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791341">
                          <w:rPr>
                            <w:rFonts w:asciiTheme="minorHAnsi" w:eastAsia="Times New Roman" w:hAnsiTheme="minorHAnsi" w:cstheme="minorHAnsi"/>
                            <w:color w:val="000000"/>
                            <w:sz w:val="18"/>
                            <w:szCs w:val="18"/>
                          </w:rPr>
                          <w:t>14,800</w:t>
                        </w:r>
                      </w:p>
                    </w:tc>
                    <w:tc>
                      <w:tcPr>
                        <w:tcW w:w="1313" w:type="dxa"/>
                        <w:noWrap/>
                        <w:hideMark/>
                      </w:tcPr>
                      <w:p w14:paraId="08D30ED4" w14:textId="77777777" w:rsidR="0071110F" w:rsidRPr="00791341"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791341">
                          <w:rPr>
                            <w:rFonts w:asciiTheme="minorHAnsi" w:eastAsia="Times New Roman" w:hAnsiTheme="minorHAnsi" w:cstheme="minorHAnsi"/>
                            <w:color w:val="000000"/>
                            <w:sz w:val="18"/>
                            <w:szCs w:val="18"/>
                          </w:rPr>
                          <w:t>12,000</w:t>
                        </w:r>
                      </w:p>
                    </w:tc>
                    <w:tc>
                      <w:tcPr>
                        <w:tcW w:w="1212" w:type="dxa"/>
                        <w:noWrap/>
                        <w:hideMark/>
                      </w:tcPr>
                      <w:p w14:paraId="23EC82BB" w14:textId="77777777" w:rsidR="0071110F" w:rsidRPr="00791341"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791341">
                          <w:rPr>
                            <w:rFonts w:asciiTheme="minorHAnsi" w:eastAsia="Times New Roman" w:hAnsiTheme="minorHAnsi" w:cstheme="minorHAnsi"/>
                            <w:color w:val="000000"/>
                            <w:sz w:val="18"/>
                            <w:szCs w:val="18"/>
                          </w:rPr>
                          <w:t>21,300</w:t>
                        </w:r>
                      </w:p>
                    </w:tc>
                  </w:tr>
                  <w:tr w:rsidR="0071110F" w:rsidRPr="005A10EE" w14:paraId="556F7A60" w14:textId="77777777" w:rsidTr="0046043E">
                    <w:trPr>
                      <w:trHeight w:val="353"/>
                    </w:trPr>
                    <w:tc>
                      <w:tcPr>
                        <w:cnfStyle w:val="001000000000" w:firstRow="0" w:lastRow="0" w:firstColumn="1" w:lastColumn="0" w:oddVBand="0" w:evenVBand="0" w:oddHBand="0" w:evenHBand="0" w:firstRowFirstColumn="0" w:firstRowLastColumn="0" w:lastRowFirstColumn="0" w:lastRowLastColumn="0"/>
                        <w:tcW w:w="971" w:type="dxa"/>
                        <w:noWrap/>
                        <w:hideMark/>
                      </w:tcPr>
                      <w:p w14:paraId="549682F8" w14:textId="77777777" w:rsidR="0071110F" w:rsidRPr="00791341" w:rsidRDefault="0071110F" w:rsidP="00781834">
                        <w:pPr>
                          <w:spacing w:after="0" w:line="240" w:lineRule="auto"/>
                          <w:rPr>
                            <w:rFonts w:asciiTheme="minorHAnsi" w:eastAsia="Times New Roman" w:hAnsiTheme="minorHAnsi" w:cstheme="minorHAnsi"/>
                            <w:color w:val="000000"/>
                            <w:sz w:val="18"/>
                            <w:szCs w:val="18"/>
                          </w:rPr>
                        </w:pPr>
                        <w:r w:rsidRPr="00791341">
                          <w:rPr>
                            <w:rFonts w:asciiTheme="minorHAnsi" w:eastAsia="Times New Roman" w:hAnsiTheme="minorHAnsi" w:cstheme="minorHAnsi"/>
                            <w:color w:val="000000"/>
                            <w:sz w:val="18"/>
                            <w:szCs w:val="18"/>
                          </w:rPr>
                          <w:t>MSM</w:t>
                        </w:r>
                      </w:p>
                    </w:tc>
                    <w:tc>
                      <w:tcPr>
                        <w:tcW w:w="1313" w:type="dxa"/>
                        <w:noWrap/>
                        <w:hideMark/>
                      </w:tcPr>
                      <w:p w14:paraId="2D2B443A" w14:textId="77777777" w:rsidR="0071110F" w:rsidRPr="00791341"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91341">
                          <w:rPr>
                            <w:rFonts w:asciiTheme="minorHAnsi" w:eastAsia="Times New Roman" w:hAnsiTheme="minorHAnsi" w:cstheme="minorHAnsi"/>
                            <w:color w:val="000000"/>
                            <w:sz w:val="18"/>
                            <w:szCs w:val="18"/>
                          </w:rPr>
                          <w:t>22,300</w:t>
                        </w:r>
                      </w:p>
                    </w:tc>
                    <w:tc>
                      <w:tcPr>
                        <w:tcW w:w="1313" w:type="dxa"/>
                        <w:noWrap/>
                        <w:hideMark/>
                      </w:tcPr>
                      <w:p w14:paraId="6FE540A1" w14:textId="77777777" w:rsidR="0071110F" w:rsidRPr="00791341"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91341">
                          <w:rPr>
                            <w:rFonts w:asciiTheme="minorHAnsi" w:eastAsia="Times New Roman" w:hAnsiTheme="minorHAnsi" w:cstheme="minorHAnsi"/>
                            <w:color w:val="000000"/>
                            <w:sz w:val="18"/>
                            <w:szCs w:val="18"/>
                          </w:rPr>
                          <w:t>13,500</w:t>
                        </w:r>
                      </w:p>
                    </w:tc>
                    <w:tc>
                      <w:tcPr>
                        <w:tcW w:w="1212" w:type="dxa"/>
                        <w:noWrap/>
                        <w:hideMark/>
                      </w:tcPr>
                      <w:p w14:paraId="48ED5F57" w14:textId="77777777" w:rsidR="0071110F" w:rsidRPr="00791341"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91341">
                          <w:rPr>
                            <w:rFonts w:asciiTheme="minorHAnsi" w:eastAsia="Times New Roman" w:hAnsiTheme="minorHAnsi" w:cstheme="minorHAnsi"/>
                            <w:color w:val="000000"/>
                            <w:sz w:val="18"/>
                            <w:szCs w:val="18"/>
                          </w:rPr>
                          <w:t>17,100</w:t>
                        </w:r>
                      </w:p>
                    </w:tc>
                  </w:tr>
                </w:tbl>
                <w:p w14:paraId="30B692B0" w14:textId="77777777" w:rsidR="0071110F" w:rsidRDefault="0071110F" w:rsidP="00781834">
                  <w:pPr>
                    <w:spacing w:after="0" w:line="240" w:lineRule="auto"/>
                    <w:jc w:val="both"/>
                    <w:rPr>
                      <w:rStyle w:val="e24kjd"/>
                      <w:rFonts w:asciiTheme="majorHAnsi" w:hAnsiTheme="majorHAnsi" w:cstheme="majorHAnsi"/>
                      <w:sz w:val="20"/>
                    </w:rPr>
                  </w:pPr>
                </w:p>
              </w:tc>
            </w:tr>
          </w:tbl>
          <w:p w14:paraId="3EA4A1C3" w14:textId="19454C59" w:rsidR="0071110F" w:rsidRDefault="0071110F" w:rsidP="00781834">
            <w:pPr>
              <w:spacing w:after="0" w:line="240" w:lineRule="auto"/>
              <w:jc w:val="both"/>
              <w:rPr>
                <w:rStyle w:val="e24kjd"/>
                <w:rFonts w:asciiTheme="majorHAnsi" w:hAnsiTheme="majorHAnsi" w:cstheme="majorHAnsi"/>
                <w:sz w:val="18"/>
              </w:rPr>
            </w:pPr>
            <w:r>
              <w:rPr>
                <w:rStyle w:val="e24kjd"/>
                <w:rFonts w:asciiTheme="majorHAnsi" w:hAnsiTheme="majorHAnsi" w:cstheme="majorHAnsi"/>
                <w:sz w:val="20"/>
              </w:rPr>
              <w:t>S</w:t>
            </w:r>
            <w:r w:rsidRPr="00A83718">
              <w:rPr>
                <w:rStyle w:val="e24kjd"/>
                <w:rFonts w:asciiTheme="majorHAnsi" w:hAnsiTheme="majorHAnsi" w:cstheme="majorHAnsi"/>
                <w:sz w:val="18"/>
              </w:rPr>
              <w:t>ource:</w:t>
            </w:r>
            <w:r>
              <w:rPr>
                <w:rStyle w:val="e24kjd"/>
                <w:rFonts w:asciiTheme="majorHAnsi" w:hAnsiTheme="majorHAnsi" w:cstheme="majorHAnsi"/>
                <w:sz w:val="18"/>
              </w:rPr>
              <w:t xml:space="preserve"> HIV -</w:t>
            </w:r>
            <w:r w:rsidRPr="00A83718">
              <w:rPr>
                <w:rStyle w:val="e24kjd"/>
                <w:rFonts w:asciiTheme="majorHAnsi" w:hAnsiTheme="majorHAnsi" w:cstheme="majorHAnsi"/>
                <w:sz w:val="18"/>
              </w:rPr>
              <w:t xml:space="preserve"> IBBS data. Note: IBBS 2020 is now in progress. Data collection is finalized during funding request submission. Data is preliminary.</w:t>
            </w:r>
            <w:r>
              <w:rPr>
                <w:rStyle w:val="e24kjd"/>
                <w:rFonts w:asciiTheme="majorHAnsi" w:hAnsiTheme="majorHAnsi" w:cstheme="majorHAnsi"/>
                <w:sz w:val="18"/>
              </w:rPr>
              <w:t xml:space="preserve"> Size estimates </w:t>
            </w:r>
            <w:r w:rsidR="00ED4670">
              <w:rPr>
                <w:rStyle w:val="e24kjd"/>
                <w:rFonts w:asciiTheme="majorHAnsi" w:hAnsiTheme="majorHAnsi" w:cstheme="majorHAnsi"/>
                <w:sz w:val="18"/>
              </w:rPr>
              <w:t xml:space="preserve">2020 </w:t>
            </w:r>
            <w:r w:rsidR="00F35F01">
              <w:rPr>
                <w:rStyle w:val="e24kjd"/>
                <w:rFonts w:asciiTheme="majorHAnsi" w:hAnsiTheme="majorHAnsi" w:cstheme="majorHAnsi"/>
                <w:sz w:val="18"/>
              </w:rPr>
              <w:t>are currently in process to be analyzed</w:t>
            </w:r>
          </w:p>
          <w:p w14:paraId="4CDE97EC" w14:textId="77777777" w:rsidR="0071110F" w:rsidRDefault="0071110F" w:rsidP="00781834">
            <w:pPr>
              <w:spacing w:after="0" w:line="240" w:lineRule="auto"/>
              <w:jc w:val="both"/>
              <w:rPr>
                <w:rStyle w:val="e24kjd"/>
                <w:rFonts w:asciiTheme="majorHAnsi" w:hAnsiTheme="majorHAnsi" w:cstheme="majorHAnsi"/>
                <w:sz w:val="18"/>
              </w:rPr>
            </w:pPr>
          </w:p>
          <w:p w14:paraId="127709A9" w14:textId="0255C6E2" w:rsidR="0071110F" w:rsidRDefault="0071110F" w:rsidP="00781834">
            <w:pPr>
              <w:spacing w:after="0" w:line="240" w:lineRule="auto"/>
              <w:jc w:val="both"/>
              <w:rPr>
                <w:rStyle w:val="e24kjd"/>
                <w:rFonts w:asciiTheme="majorHAnsi" w:hAnsiTheme="majorHAnsi" w:cstheme="majorHAnsi"/>
                <w:b/>
                <w:sz w:val="20"/>
              </w:rPr>
            </w:pPr>
            <w:r w:rsidRPr="00536296">
              <w:rPr>
                <w:rStyle w:val="e24kjd"/>
                <w:rFonts w:asciiTheme="majorHAnsi" w:hAnsiTheme="majorHAnsi" w:cstheme="majorHAnsi"/>
                <w:b/>
                <w:sz w:val="20"/>
              </w:rPr>
              <w:t>HIV Response: progress, challenges and opportunities</w:t>
            </w:r>
          </w:p>
          <w:p w14:paraId="2FBB79A9" w14:textId="77777777" w:rsidR="00AF420D" w:rsidRPr="00536296" w:rsidRDefault="00AF420D" w:rsidP="00781834">
            <w:pPr>
              <w:spacing w:after="0" w:line="240" w:lineRule="auto"/>
              <w:jc w:val="both"/>
              <w:rPr>
                <w:rStyle w:val="e24kjd"/>
                <w:rFonts w:asciiTheme="majorHAnsi" w:hAnsiTheme="majorHAnsi" w:cstheme="majorHAnsi"/>
                <w:b/>
                <w:sz w:val="18"/>
              </w:rPr>
            </w:pPr>
          </w:p>
          <w:p w14:paraId="35FA704E" w14:textId="58C572FE" w:rsidR="0071110F" w:rsidRPr="00CD112D" w:rsidRDefault="0046043E" w:rsidP="00781834">
            <w:pPr>
              <w:jc w:val="both"/>
              <w:rPr>
                <w:rStyle w:val="e24kjd"/>
                <w:rFonts w:asciiTheme="majorHAnsi" w:hAnsiTheme="majorHAnsi" w:cstheme="majorHAnsi"/>
                <w:sz w:val="20"/>
              </w:rPr>
            </w:pPr>
            <w:r>
              <w:rPr>
                <w:rFonts w:cs="Arial"/>
                <w:sz w:val="20"/>
                <w:szCs w:val="20"/>
              </w:rPr>
              <w:t>The o</w:t>
            </w:r>
            <w:r w:rsidR="0071110F" w:rsidRPr="0095220B">
              <w:rPr>
                <w:rFonts w:cs="Arial"/>
                <w:sz w:val="20"/>
                <w:szCs w:val="20"/>
              </w:rPr>
              <w:t xml:space="preserve">verall implementation of National HIV program is coordinated by the National HIV/AIDS </w:t>
            </w:r>
            <w:r w:rsidR="00AF420D">
              <w:rPr>
                <w:rFonts w:cs="Arial"/>
                <w:sz w:val="20"/>
                <w:szCs w:val="20"/>
              </w:rPr>
              <w:t>P</w:t>
            </w:r>
            <w:r w:rsidR="0071110F" w:rsidRPr="0095220B">
              <w:rPr>
                <w:rFonts w:cs="Arial"/>
                <w:sz w:val="20"/>
                <w:szCs w:val="20"/>
              </w:rPr>
              <w:t xml:space="preserve">rogram Coordination </w:t>
            </w:r>
            <w:r w:rsidR="00AF420D">
              <w:rPr>
                <w:rFonts w:cs="Arial"/>
                <w:sz w:val="20"/>
                <w:szCs w:val="20"/>
              </w:rPr>
              <w:t>Unit which located and in subordination to</w:t>
            </w:r>
            <w:r w:rsidR="0071110F" w:rsidRPr="0095220B">
              <w:rPr>
                <w:rFonts w:cs="Arial"/>
                <w:sz w:val="20"/>
                <w:szCs w:val="20"/>
              </w:rPr>
              <w:t xml:space="preserve"> the Hospital of Dermatology and Communicable Diseases (</w:t>
            </w:r>
            <w:r>
              <w:rPr>
                <w:rFonts w:cs="Arial"/>
                <w:sz w:val="20"/>
                <w:szCs w:val="20"/>
              </w:rPr>
              <w:t>SDMC</w:t>
            </w:r>
            <w:r w:rsidR="0071110F" w:rsidRPr="0095220B">
              <w:rPr>
                <w:rFonts w:cs="Arial"/>
                <w:sz w:val="20"/>
                <w:szCs w:val="20"/>
              </w:rPr>
              <w:t>)</w:t>
            </w:r>
            <w:r w:rsidR="00AF420D">
              <w:rPr>
                <w:rFonts w:cs="Arial"/>
                <w:sz w:val="20"/>
                <w:szCs w:val="20"/>
              </w:rPr>
              <w:t>,</w:t>
            </w:r>
            <w:r w:rsidR="0071110F" w:rsidRPr="0095220B">
              <w:rPr>
                <w:rFonts w:cs="Arial"/>
                <w:sz w:val="20"/>
                <w:szCs w:val="20"/>
              </w:rPr>
              <w:t xml:space="preserve"> </w:t>
            </w:r>
            <w:r w:rsidR="00AF420D">
              <w:rPr>
                <w:rFonts w:cs="Arial"/>
                <w:sz w:val="20"/>
                <w:szCs w:val="20"/>
              </w:rPr>
              <w:t>the</w:t>
            </w:r>
            <w:r w:rsidR="0071110F" w:rsidRPr="0095220B">
              <w:rPr>
                <w:rFonts w:cs="Arial"/>
                <w:sz w:val="20"/>
                <w:szCs w:val="20"/>
              </w:rPr>
              <w:t xml:space="preserve"> </w:t>
            </w:r>
            <w:r w:rsidR="0071110F">
              <w:rPr>
                <w:rFonts w:cs="Arial"/>
                <w:sz w:val="20"/>
                <w:szCs w:val="20"/>
              </w:rPr>
              <w:t>National Program Coo</w:t>
            </w:r>
            <w:r w:rsidR="006D0D17">
              <w:rPr>
                <w:rFonts w:cs="Arial"/>
                <w:sz w:val="20"/>
                <w:szCs w:val="20"/>
              </w:rPr>
              <w:t>rdinator being head of a d</w:t>
            </w:r>
            <w:r w:rsidR="0071110F">
              <w:rPr>
                <w:rFonts w:cs="Arial"/>
                <w:sz w:val="20"/>
                <w:szCs w:val="20"/>
              </w:rPr>
              <w:t>epartment</w:t>
            </w:r>
            <w:r w:rsidR="00A07EE4">
              <w:rPr>
                <w:rFonts w:cs="Arial"/>
                <w:sz w:val="20"/>
                <w:szCs w:val="20"/>
              </w:rPr>
              <w:t xml:space="preserve">. </w:t>
            </w:r>
            <w:r w:rsidR="0071110F" w:rsidRPr="003D49A3">
              <w:rPr>
                <w:rFonts w:cs="Arial"/>
                <w:sz w:val="20"/>
                <w:szCs w:val="20"/>
              </w:rPr>
              <w:t>The national HIV response is based on a robust, well prioritized, costed National Control and Prophylaxis HIV/AID</w:t>
            </w:r>
            <w:r w:rsidR="0071110F">
              <w:rPr>
                <w:rFonts w:cs="Arial"/>
                <w:sz w:val="20"/>
                <w:szCs w:val="20"/>
              </w:rPr>
              <w:t>S Program for 2016-2020 (NAP)</w:t>
            </w:r>
            <w:r w:rsidR="0071110F" w:rsidRPr="003D49A3">
              <w:rPr>
                <w:rFonts w:cs="Arial"/>
                <w:sz w:val="20"/>
                <w:szCs w:val="20"/>
              </w:rPr>
              <w:t xml:space="preserve">. </w:t>
            </w:r>
            <w:r w:rsidR="00F35F01">
              <w:rPr>
                <w:rFonts w:cs="Arial"/>
                <w:sz w:val="20"/>
                <w:szCs w:val="20"/>
              </w:rPr>
              <w:t>T</w:t>
            </w:r>
            <w:r w:rsidR="006D0D17">
              <w:rPr>
                <w:rFonts w:cs="Arial"/>
                <w:sz w:val="20"/>
                <w:szCs w:val="20"/>
              </w:rPr>
              <w:t>h</w:t>
            </w:r>
            <w:r w:rsidR="00F35F01">
              <w:rPr>
                <w:rFonts w:cs="Arial"/>
                <w:sz w:val="20"/>
                <w:szCs w:val="20"/>
              </w:rPr>
              <w:t xml:space="preserve">e </w:t>
            </w:r>
            <w:r w:rsidR="0071110F" w:rsidRPr="003D49A3">
              <w:rPr>
                <w:rFonts w:cs="Arial"/>
                <w:sz w:val="20"/>
                <w:szCs w:val="20"/>
              </w:rPr>
              <w:t>GF grant supports the achievement of NAP targets. The current National Plan for HIV</w:t>
            </w:r>
            <w:r w:rsidR="0071110F">
              <w:rPr>
                <w:rFonts w:cs="Arial"/>
                <w:sz w:val="20"/>
                <w:szCs w:val="20"/>
              </w:rPr>
              <w:t xml:space="preserve"> and STI control for 2016-2020 is </w:t>
            </w:r>
            <w:r w:rsidR="0071110F" w:rsidRPr="00F35F01">
              <w:rPr>
                <w:rFonts w:cs="Arial"/>
                <w:sz w:val="20"/>
                <w:szCs w:val="20"/>
              </w:rPr>
              <w:t>the</w:t>
            </w:r>
            <w:r w:rsidR="006D0D17" w:rsidRPr="00F35F01">
              <w:rPr>
                <w:rFonts w:cs="Arial"/>
                <w:sz w:val="20"/>
                <w:szCs w:val="20"/>
              </w:rPr>
              <w:t xml:space="preserve"> 5</w:t>
            </w:r>
            <w:r w:rsidR="006D0D17" w:rsidRPr="00F35F01">
              <w:rPr>
                <w:rFonts w:cs="Arial"/>
                <w:sz w:val="20"/>
                <w:szCs w:val="20"/>
                <w:vertAlign w:val="superscript"/>
              </w:rPr>
              <w:t>th</w:t>
            </w:r>
            <w:r w:rsidR="006D0D17">
              <w:rPr>
                <w:rFonts w:cs="Arial"/>
                <w:sz w:val="20"/>
                <w:szCs w:val="20"/>
              </w:rPr>
              <w:t xml:space="preserve"> </w:t>
            </w:r>
            <w:r w:rsidR="0071110F">
              <w:rPr>
                <w:rFonts w:cs="Arial"/>
                <w:sz w:val="20"/>
                <w:szCs w:val="20"/>
              </w:rPr>
              <w:t>since 1995 and</w:t>
            </w:r>
            <w:r w:rsidR="0071110F" w:rsidRPr="003D49A3">
              <w:rPr>
                <w:rFonts w:cs="Arial"/>
                <w:sz w:val="20"/>
                <w:szCs w:val="20"/>
              </w:rPr>
              <w:t xml:space="preserve"> is in its final year of implementation</w:t>
            </w:r>
            <w:r w:rsidR="0071110F" w:rsidRPr="00CD112D">
              <w:rPr>
                <w:rStyle w:val="e24kjd"/>
                <w:rFonts w:asciiTheme="majorHAnsi" w:hAnsiTheme="majorHAnsi" w:cstheme="majorHAnsi"/>
                <w:sz w:val="20"/>
              </w:rPr>
              <w:t xml:space="preserve">. It is focused on key drivers of the epidemic and aligned to global 90-90-90 strategies, anchored in the following objectives: </w:t>
            </w:r>
          </w:p>
          <w:p w14:paraId="63B3287D" w14:textId="491A4874" w:rsidR="0071110F" w:rsidRPr="00CD112D" w:rsidRDefault="0071110F" w:rsidP="00326A6B">
            <w:pPr>
              <w:pStyle w:val="ListParagraph"/>
              <w:numPr>
                <w:ilvl w:val="0"/>
                <w:numId w:val="53"/>
              </w:numPr>
              <w:rPr>
                <w:rStyle w:val="e24kjd"/>
                <w:rFonts w:asciiTheme="majorHAnsi" w:hAnsiTheme="majorHAnsi" w:cstheme="majorHAnsi"/>
                <w:sz w:val="20"/>
              </w:rPr>
            </w:pPr>
            <w:r w:rsidRPr="00CD112D">
              <w:rPr>
                <w:rStyle w:val="e24kjd"/>
                <w:rFonts w:asciiTheme="majorHAnsi" w:hAnsiTheme="majorHAnsi" w:cstheme="majorHAnsi"/>
                <w:sz w:val="20"/>
              </w:rPr>
              <w:t xml:space="preserve">Prevention of HIV and STIs among PWID, SW MSM and </w:t>
            </w:r>
            <w:r w:rsidR="00886006" w:rsidRPr="00624DFA">
              <w:rPr>
                <w:rStyle w:val="e24kjd"/>
                <w:rFonts w:cs="Arial"/>
                <w:sz w:val="20"/>
                <w:szCs w:val="20"/>
              </w:rPr>
              <w:t>people in detention</w:t>
            </w:r>
            <w:r w:rsidRPr="00CD112D">
              <w:rPr>
                <w:rStyle w:val="e24kjd"/>
                <w:rFonts w:asciiTheme="majorHAnsi" w:hAnsiTheme="majorHAnsi" w:cstheme="majorHAnsi"/>
                <w:sz w:val="20"/>
              </w:rPr>
              <w:t xml:space="preserve"> through providing access to HIV prevention services and testing to at least 60% of the estimated number of SWs and 40% for MSM by 2020 </w:t>
            </w:r>
          </w:p>
          <w:p w14:paraId="6B25408A" w14:textId="77777777" w:rsidR="0071110F" w:rsidRPr="00CD112D" w:rsidRDefault="0071110F" w:rsidP="00326A6B">
            <w:pPr>
              <w:pStyle w:val="ListParagraph"/>
              <w:numPr>
                <w:ilvl w:val="0"/>
                <w:numId w:val="53"/>
              </w:numPr>
              <w:rPr>
                <w:rStyle w:val="e24kjd"/>
                <w:rFonts w:asciiTheme="majorHAnsi" w:hAnsiTheme="majorHAnsi" w:cstheme="majorHAnsi"/>
                <w:sz w:val="20"/>
              </w:rPr>
            </w:pPr>
            <w:r w:rsidRPr="00CD112D">
              <w:rPr>
                <w:rStyle w:val="e24kjd"/>
                <w:rFonts w:asciiTheme="majorHAnsi" w:hAnsiTheme="majorHAnsi" w:cstheme="majorHAnsi"/>
                <w:sz w:val="20"/>
              </w:rPr>
              <w:t xml:space="preserve">Universal access to treatment care and support to PLHIV covering 60% from estimated PLHIV with ART (tripled form 17% baseline) </w:t>
            </w:r>
          </w:p>
          <w:p w14:paraId="0F29D503" w14:textId="77777777" w:rsidR="0071110F" w:rsidRDefault="0071110F" w:rsidP="00326A6B">
            <w:pPr>
              <w:pStyle w:val="ListParagraph"/>
              <w:numPr>
                <w:ilvl w:val="0"/>
                <w:numId w:val="53"/>
              </w:numPr>
              <w:rPr>
                <w:rStyle w:val="e24kjd"/>
                <w:rFonts w:asciiTheme="majorHAnsi" w:hAnsiTheme="majorHAnsi" w:cstheme="majorHAnsi"/>
                <w:sz w:val="20"/>
              </w:rPr>
            </w:pPr>
            <w:r w:rsidRPr="00CD112D">
              <w:rPr>
                <w:rStyle w:val="e24kjd"/>
                <w:rFonts w:asciiTheme="majorHAnsi" w:hAnsiTheme="majorHAnsi" w:cstheme="majorHAnsi"/>
                <w:sz w:val="20"/>
              </w:rPr>
              <w:t xml:space="preserve">National AIDS Program (NAP) management focused on efficiency, management, coordination, resilient and sustainable systems for health, human rights, financial sustainability, evidence generation and M&amp;RE systems. </w:t>
            </w:r>
          </w:p>
          <w:p w14:paraId="4944344C" w14:textId="248ACBCE" w:rsidR="0071110F" w:rsidRPr="00E73236" w:rsidRDefault="0071110F" w:rsidP="00781834">
            <w:pPr>
              <w:jc w:val="both"/>
              <w:rPr>
                <w:rStyle w:val="e24kjd"/>
                <w:rFonts w:cs="Arial"/>
                <w:sz w:val="20"/>
                <w:szCs w:val="20"/>
              </w:rPr>
            </w:pPr>
            <w:r w:rsidRPr="0053589B">
              <w:rPr>
                <w:rFonts w:cs="Arial"/>
                <w:b/>
                <w:sz w:val="20"/>
              </w:rPr>
              <w:t xml:space="preserve">Progress in </w:t>
            </w:r>
            <w:r>
              <w:rPr>
                <w:rFonts w:cs="Arial"/>
                <w:b/>
                <w:sz w:val="20"/>
              </w:rPr>
              <w:t xml:space="preserve">KP </w:t>
            </w:r>
            <w:r w:rsidRPr="0053589B">
              <w:rPr>
                <w:rFonts w:cs="Arial"/>
                <w:b/>
                <w:sz w:val="20"/>
              </w:rPr>
              <w:t>p</w:t>
            </w:r>
            <w:r>
              <w:rPr>
                <w:rFonts w:cs="Arial"/>
                <w:b/>
                <w:sz w:val="20"/>
              </w:rPr>
              <w:t>revention</w:t>
            </w:r>
            <w:r w:rsidRPr="0053589B">
              <w:rPr>
                <w:rFonts w:cs="Arial"/>
                <w:b/>
                <w:sz w:val="20"/>
              </w:rPr>
              <w:t xml:space="preserve">: </w:t>
            </w:r>
            <w:r>
              <w:rPr>
                <w:rStyle w:val="e24kjd"/>
                <w:rFonts w:asciiTheme="majorHAnsi" w:hAnsiTheme="majorHAnsi" w:cstheme="majorHAnsi"/>
                <w:sz w:val="20"/>
              </w:rPr>
              <w:t>NGO-</w:t>
            </w:r>
            <w:r w:rsidRPr="009E3A50">
              <w:rPr>
                <w:rStyle w:val="e24kjd"/>
                <w:rFonts w:asciiTheme="majorHAnsi" w:hAnsiTheme="majorHAnsi" w:cstheme="majorHAnsi"/>
                <w:sz w:val="20"/>
              </w:rPr>
              <w:t>delivered HIV combination</w:t>
            </w:r>
            <w:r w:rsidRPr="0053589B">
              <w:rPr>
                <w:rStyle w:val="e24kjd"/>
                <w:rFonts w:asciiTheme="majorHAnsi" w:hAnsiTheme="majorHAnsi" w:cstheme="majorHAnsi"/>
                <w:sz w:val="20"/>
              </w:rPr>
              <w:t xml:space="preserve"> prevention programs for key populations are mature </w:t>
            </w:r>
            <w:r>
              <w:rPr>
                <w:rStyle w:val="e24kjd"/>
                <w:rFonts w:asciiTheme="majorHAnsi" w:hAnsiTheme="majorHAnsi" w:cstheme="majorHAnsi"/>
                <w:sz w:val="20"/>
              </w:rPr>
              <w:t>programs set up s</w:t>
            </w:r>
            <w:r w:rsidRPr="0053589B">
              <w:rPr>
                <w:rStyle w:val="e24kjd"/>
                <w:rFonts w:asciiTheme="majorHAnsi" w:hAnsiTheme="majorHAnsi" w:cstheme="majorHAnsi"/>
                <w:sz w:val="20"/>
              </w:rPr>
              <w:t>i</w:t>
            </w:r>
            <w:r>
              <w:rPr>
                <w:rStyle w:val="e24kjd"/>
                <w:rFonts w:asciiTheme="majorHAnsi" w:hAnsiTheme="majorHAnsi" w:cstheme="majorHAnsi"/>
                <w:sz w:val="20"/>
              </w:rPr>
              <w:t>n</w:t>
            </w:r>
            <w:r w:rsidRPr="0053589B">
              <w:rPr>
                <w:rStyle w:val="e24kjd"/>
                <w:rFonts w:asciiTheme="majorHAnsi" w:hAnsiTheme="majorHAnsi" w:cstheme="majorHAnsi"/>
                <w:sz w:val="20"/>
              </w:rPr>
              <w:t>ce 2000.</w:t>
            </w:r>
            <w:r w:rsidRPr="00624DFA">
              <w:rPr>
                <w:rStyle w:val="e24kjd"/>
                <w:rFonts w:cs="Arial"/>
                <w:sz w:val="20"/>
                <w:szCs w:val="20"/>
              </w:rPr>
              <w:t xml:space="preserve"> Coverage with prevention services is high in PWID, moderate for SWs and low in MSM. </w:t>
            </w:r>
            <w:r w:rsidRPr="00624DFA">
              <w:rPr>
                <w:rStyle w:val="e24kjd"/>
                <w:sz w:val="20"/>
                <w:szCs w:val="20"/>
              </w:rPr>
              <w:t xml:space="preserve"> </w:t>
            </w:r>
            <w:r>
              <w:rPr>
                <w:rStyle w:val="e24kjd"/>
                <w:sz w:val="20"/>
                <w:szCs w:val="20"/>
              </w:rPr>
              <w:t>Basic s</w:t>
            </w:r>
            <w:r>
              <w:rPr>
                <w:rStyle w:val="e24kjd"/>
                <w:rFonts w:cs="Arial"/>
                <w:sz w:val="20"/>
                <w:szCs w:val="20"/>
              </w:rPr>
              <w:t xml:space="preserve">ervices are provided through </w:t>
            </w:r>
            <w:r w:rsidRPr="003D49A3">
              <w:rPr>
                <w:rStyle w:val="e24kjd"/>
                <w:rFonts w:cs="Arial"/>
                <w:sz w:val="20"/>
                <w:szCs w:val="20"/>
              </w:rPr>
              <w:t>site</w:t>
            </w:r>
            <w:r>
              <w:rPr>
                <w:rStyle w:val="e24kjd"/>
                <w:rFonts w:cs="Arial"/>
                <w:sz w:val="20"/>
                <w:szCs w:val="20"/>
              </w:rPr>
              <w:t>s</w:t>
            </w:r>
            <w:r w:rsidRPr="003D49A3">
              <w:rPr>
                <w:rStyle w:val="e24kjd"/>
                <w:rFonts w:cs="Arial"/>
                <w:sz w:val="20"/>
                <w:szCs w:val="20"/>
              </w:rPr>
              <w:t>, outreach</w:t>
            </w:r>
            <w:r>
              <w:rPr>
                <w:rStyle w:val="e24kjd"/>
                <w:rFonts w:cs="Arial"/>
                <w:sz w:val="20"/>
                <w:szCs w:val="20"/>
              </w:rPr>
              <w:t>,</w:t>
            </w:r>
            <w:r w:rsidRPr="003D49A3">
              <w:rPr>
                <w:rStyle w:val="e24kjd"/>
                <w:rFonts w:cs="Arial"/>
                <w:sz w:val="20"/>
                <w:szCs w:val="20"/>
              </w:rPr>
              <w:t xml:space="preserve"> </w:t>
            </w:r>
            <w:r w:rsidRPr="00624DFA">
              <w:rPr>
                <w:rStyle w:val="e24kjd"/>
                <w:rFonts w:cs="Arial"/>
                <w:sz w:val="20"/>
                <w:szCs w:val="20"/>
              </w:rPr>
              <w:t>and pharmacies (prevention commodities</w:t>
            </w:r>
            <w:r w:rsidR="00886006">
              <w:rPr>
                <w:rStyle w:val="e24kjd"/>
                <w:rFonts w:cs="Arial"/>
                <w:sz w:val="20"/>
                <w:szCs w:val="20"/>
              </w:rPr>
              <w:t>:</w:t>
            </w:r>
            <w:r w:rsidRPr="00624DFA">
              <w:rPr>
                <w:rStyle w:val="e24kjd"/>
                <w:rFonts w:cs="Arial"/>
                <w:sz w:val="20"/>
                <w:szCs w:val="20"/>
              </w:rPr>
              <w:t xml:space="preserve"> syringes, condoms, alcohol napkins, information materials</w:t>
            </w:r>
            <w:r>
              <w:rPr>
                <w:rStyle w:val="e24kjd"/>
                <w:rFonts w:cs="Arial"/>
                <w:sz w:val="20"/>
                <w:szCs w:val="20"/>
              </w:rPr>
              <w:t>).</w:t>
            </w:r>
            <w:r w:rsidR="00BB1365">
              <w:rPr>
                <w:rStyle w:val="e24kjd"/>
                <w:rFonts w:cs="Arial"/>
                <w:sz w:val="20"/>
                <w:szCs w:val="20"/>
              </w:rPr>
              <w:t xml:space="preserve"> Three</w:t>
            </w:r>
            <w:r>
              <w:rPr>
                <w:rStyle w:val="e24kjd"/>
                <w:rFonts w:cs="Arial"/>
                <w:sz w:val="20"/>
                <w:szCs w:val="20"/>
              </w:rPr>
              <w:t xml:space="preserve"> </w:t>
            </w:r>
            <w:r w:rsidR="00BB1365" w:rsidRPr="003D49A3">
              <w:rPr>
                <w:rStyle w:val="e24kjd"/>
                <w:rFonts w:cs="Arial"/>
                <w:sz w:val="20"/>
                <w:szCs w:val="20"/>
              </w:rPr>
              <w:t>mobile clinics</w:t>
            </w:r>
            <w:r w:rsidR="00BB1365">
              <w:rPr>
                <w:rStyle w:val="e24kjd"/>
                <w:rFonts w:cs="Arial"/>
                <w:sz w:val="20"/>
                <w:szCs w:val="20"/>
              </w:rPr>
              <w:t xml:space="preserve"> offer extended services for all KPs.</w:t>
            </w:r>
            <w:r w:rsidR="00BB1365" w:rsidRPr="003D49A3">
              <w:rPr>
                <w:rStyle w:val="e24kjd"/>
                <w:rFonts w:cs="Arial"/>
                <w:sz w:val="20"/>
                <w:szCs w:val="20"/>
              </w:rPr>
              <w:t xml:space="preserve"> </w:t>
            </w:r>
            <w:r w:rsidR="00886006" w:rsidRPr="0002100F">
              <w:rPr>
                <w:rStyle w:val="e24kjd"/>
                <w:rFonts w:cs="Arial"/>
                <w:sz w:val="20"/>
                <w:szCs w:val="20"/>
              </w:rPr>
              <w:t xml:space="preserve">10 </w:t>
            </w:r>
            <w:r w:rsidR="00886006">
              <w:rPr>
                <w:rStyle w:val="e24kjd"/>
                <w:rFonts w:cs="Arial"/>
                <w:sz w:val="20"/>
                <w:szCs w:val="20"/>
              </w:rPr>
              <w:t>NGO</w:t>
            </w:r>
            <w:r w:rsidR="00886006" w:rsidRPr="0002100F">
              <w:rPr>
                <w:rStyle w:val="e24kjd"/>
                <w:rFonts w:cs="Arial"/>
                <w:sz w:val="20"/>
                <w:szCs w:val="20"/>
              </w:rPr>
              <w:t xml:space="preserve">s and Department of Penitentiary Institutions (Ministry of Justice) service PWID covering 40 sites </w:t>
            </w:r>
            <w:r w:rsidR="00886006">
              <w:rPr>
                <w:rStyle w:val="e24kjd"/>
                <w:rFonts w:cs="Arial"/>
                <w:sz w:val="20"/>
                <w:szCs w:val="20"/>
              </w:rPr>
              <w:t>a</w:t>
            </w:r>
            <w:r w:rsidR="00886006" w:rsidRPr="0002100F">
              <w:rPr>
                <w:rStyle w:val="e24kjd"/>
                <w:rFonts w:cs="Arial"/>
                <w:sz w:val="20"/>
                <w:szCs w:val="20"/>
              </w:rPr>
              <w:t>nd 18 prisons;</w:t>
            </w:r>
            <w:r w:rsidR="00886006">
              <w:rPr>
                <w:rStyle w:val="e24kjd"/>
                <w:rFonts w:cs="Arial"/>
                <w:sz w:val="20"/>
                <w:szCs w:val="20"/>
              </w:rPr>
              <w:t xml:space="preserve"> 11 NGOs provide services to SWs</w:t>
            </w:r>
            <w:r w:rsidR="00886006" w:rsidRPr="0002100F">
              <w:rPr>
                <w:rStyle w:val="e24kjd"/>
                <w:rFonts w:cs="Arial"/>
                <w:sz w:val="20"/>
                <w:szCs w:val="20"/>
              </w:rPr>
              <w:t xml:space="preserve"> </w:t>
            </w:r>
            <w:r w:rsidR="00886006">
              <w:rPr>
                <w:rStyle w:val="e24kjd"/>
                <w:rFonts w:cs="Arial"/>
                <w:sz w:val="20"/>
                <w:szCs w:val="20"/>
              </w:rPr>
              <w:t>in</w:t>
            </w:r>
            <w:r w:rsidR="00886006" w:rsidRPr="0002100F">
              <w:rPr>
                <w:rStyle w:val="e24kjd"/>
                <w:rFonts w:cs="Arial"/>
                <w:sz w:val="20"/>
                <w:szCs w:val="20"/>
              </w:rPr>
              <w:t xml:space="preserve"> covering 30 localities); 6 </w:t>
            </w:r>
            <w:r w:rsidR="00886006">
              <w:rPr>
                <w:rStyle w:val="e24kjd"/>
                <w:rFonts w:cs="Arial"/>
                <w:sz w:val="20"/>
                <w:szCs w:val="20"/>
              </w:rPr>
              <w:t>NGO</w:t>
            </w:r>
            <w:r w:rsidR="00886006" w:rsidRPr="0002100F">
              <w:rPr>
                <w:rStyle w:val="e24kjd"/>
                <w:rFonts w:cs="Arial"/>
                <w:sz w:val="20"/>
                <w:szCs w:val="20"/>
              </w:rPr>
              <w:t xml:space="preserve">s </w:t>
            </w:r>
            <w:r w:rsidR="00886006">
              <w:rPr>
                <w:rStyle w:val="e24kjd"/>
                <w:rFonts w:cs="Arial"/>
                <w:sz w:val="20"/>
                <w:szCs w:val="20"/>
              </w:rPr>
              <w:t>provide prevention services to MSM in 17 sites</w:t>
            </w:r>
            <w:r w:rsidR="00886006" w:rsidRPr="0002100F">
              <w:rPr>
                <w:rStyle w:val="e24kjd"/>
                <w:rFonts w:cs="Arial"/>
                <w:sz w:val="20"/>
                <w:szCs w:val="20"/>
              </w:rPr>
              <w:t xml:space="preserve"> and </w:t>
            </w:r>
            <w:r w:rsidR="00886006">
              <w:rPr>
                <w:rStyle w:val="e24kjd"/>
                <w:rFonts w:cs="Arial"/>
                <w:sz w:val="20"/>
                <w:szCs w:val="20"/>
              </w:rPr>
              <w:t>prisons on</w:t>
            </w:r>
            <w:r w:rsidR="00886006" w:rsidRPr="0002100F">
              <w:rPr>
                <w:rStyle w:val="e24kjd"/>
                <w:rFonts w:cs="Arial"/>
                <w:sz w:val="20"/>
                <w:szCs w:val="20"/>
              </w:rPr>
              <w:t xml:space="preserve"> the </w:t>
            </w:r>
            <w:r w:rsidR="00886006">
              <w:rPr>
                <w:rStyle w:val="e24kjd"/>
                <w:rFonts w:cs="Arial"/>
                <w:sz w:val="20"/>
                <w:szCs w:val="20"/>
              </w:rPr>
              <w:t>L</w:t>
            </w:r>
            <w:r w:rsidR="00886006" w:rsidRPr="0002100F">
              <w:rPr>
                <w:rStyle w:val="e24kjd"/>
                <w:rFonts w:cs="Arial"/>
                <w:sz w:val="20"/>
                <w:szCs w:val="20"/>
              </w:rPr>
              <w:t xml:space="preserve">eft </w:t>
            </w:r>
            <w:r w:rsidR="00886006">
              <w:rPr>
                <w:rStyle w:val="e24kjd"/>
                <w:rFonts w:cs="Arial"/>
                <w:sz w:val="20"/>
                <w:szCs w:val="20"/>
              </w:rPr>
              <w:t>B</w:t>
            </w:r>
            <w:r w:rsidR="00886006" w:rsidRPr="0002100F">
              <w:rPr>
                <w:rStyle w:val="e24kjd"/>
                <w:rFonts w:cs="Arial"/>
                <w:sz w:val="20"/>
                <w:szCs w:val="20"/>
              </w:rPr>
              <w:t>ank</w:t>
            </w:r>
            <w:r w:rsidR="00886006">
              <w:rPr>
                <w:rStyle w:val="e24kjd"/>
                <w:rFonts w:cs="Arial"/>
                <w:sz w:val="20"/>
                <w:szCs w:val="20"/>
              </w:rPr>
              <w:t xml:space="preserve">. In 2017 and 2018 as part of sustainability and transition, the National </w:t>
            </w:r>
            <w:r w:rsidR="00F03936">
              <w:rPr>
                <w:rStyle w:val="e24kjd"/>
                <w:rFonts w:cs="Arial"/>
                <w:sz w:val="20"/>
                <w:szCs w:val="20"/>
              </w:rPr>
              <w:t xml:space="preserve">Health Insurance Company </w:t>
            </w:r>
            <w:r w:rsidR="00886006">
              <w:rPr>
                <w:rStyle w:val="e24kjd"/>
                <w:rFonts w:cs="Arial"/>
                <w:sz w:val="20"/>
                <w:szCs w:val="20"/>
              </w:rPr>
              <w:t xml:space="preserve">allocated equivalent of 100,000 and 77,000 euros to contract two HIV prevention grants per year, with a cumulative </w:t>
            </w:r>
            <w:r w:rsidR="00886006">
              <w:rPr>
                <w:rStyle w:val="e24kjd"/>
                <w:rFonts w:cs="Arial"/>
                <w:sz w:val="20"/>
                <w:szCs w:val="20"/>
              </w:rPr>
              <w:lastRenderedPageBreak/>
              <w:t xml:space="preserve">coverage of </w:t>
            </w:r>
            <w:r w:rsidR="00886006" w:rsidRPr="00E73236">
              <w:rPr>
                <w:rStyle w:val="e24kjd"/>
                <w:rFonts w:cs="Arial"/>
                <w:sz w:val="20"/>
                <w:szCs w:val="20"/>
              </w:rPr>
              <w:t>1,148 PWID, 263 SW and 425 MSM.</w:t>
            </w:r>
            <w:r w:rsidR="00886006">
              <w:rPr>
                <w:rStyle w:val="FootnoteReference"/>
                <w:rFonts w:cs="Arial"/>
                <w:sz w:val="20"/>
                <w:szCs w:val="20"/>
              </w:rPr>
              <w:footnoteReference w:id="31"/>
            </w:r>
            <w:r w:rsidR="00BB1365">
              <w:rPr>
                <w:rStyle w:val="e24kjd"/>
                <w:rFonts w:cs="Arial"/>
                <w:sz w:val="20"/>
                <w:szCs w:val="20"/>
              </w:rPr>
              <w:t xml:space="preserve"> </w:t>
            </w:r>
            <w:r w:rsidRPr="003D49A3">
              <w:rPr>
                <w:rStyle w:val="e24kjd"/>
                <w:rFonts w:cs="Arial"/>
                <w:sz w:val="20"/>
                <w:szCs w:val="20"/>
              </w:rPr>
              <w:t>Service</w:t>
            </w:r>
            <w:r>
              <w:rPr>
                <w:rStyle w:val="e24kjd"/>
                <w:rFonts w:cs="Arial"/>
                <w:sz w:val="20"/>
                <w:szCs w:val="20"/>
              </w:rPr>
              <w:t xml:space="preserve"> standard</w:t>
            </w:r>
            <w:r w:rsidRPr="003D49A3">
              <w:rPr>
                <w:rStyle w:val="e24kjd"/>
                <w:rFonts w:cs="Arial"/>
                <w:sz w:val="20"/>
                <w:szCs w:val="20"/>
              </w:rPr>
              <w:t xml:space="preserve">s were </w:t>
            </w:r>
            <w:r>
              <w:rPr>
                <w:rStyle w:val="e24kjd"/>
                <w:rFonts w:cs="Arial"/>
                <w:sz w:val="20"/>
                <w:szCs w:val="20"/>
              </w:rPr>
              <w:t xml:space="preserve">updated based on </w:t>
            </w:r>
            <w:r w:rsidRPr="00624DFA">
              <w:rPr>
                <w:rStyle w:val="e24kjd"/>
                <w:rFonts w:cs="Arial"/>
                <w:sz w:val="20"/>
                <w:szCs w:val="20"/>
              </w:rPr>
              <w:t xml:space="preserve">last international recommendations for all </w:t>
            </w:r>
            <w:r w:rsidR="00886006">
              <w:rPr>
                <w:rStyle w:val="e24kjd"/>
                <w:rFonts w:cs="Arial"/>
                <w:sz w:val="20"/>
                <w:szCs w:val="20"/>
              </w:rPr>
              <w:t xml:space="preserve">key populations </w:t>
            </w:r>
            <w:r w:rsidR="00F03936">
              <w:rPr>
                <w:rStyle w:val="FootnoteReference"/>
                <w:rFonts w:cs="Arial"/>
                <w:sz w:val="20"/>
                <w:szCs w:val="20"/>
              </w:rPr>
              <w:footnoteReference w:id="32"/>
            </w:r>
            <w:r w:rsidR="00886006">
              <w:rPr>
                <w:rStyle w:val="e24kjd"/>
                <w:rFonts w:cs="Arial"/>
                <w:sz w:val="20"/>
                <w:szCs w:val="20"/>
              </w:rPr>
              <w:t>and divided in basic service package and comprehensive service package (included KP tailored, gender and age-s</w:t>
            </w:r>
            <w:r w:rsidRPr="00624DFA">
              <w:rPr>
                <w:rStyle w:val="e24kjd"/>
                <w:rFonts w:cs="Arial"/>
                <w:sz w:val="20"/>
                <w:szCs w:val="20"/>
              </w:rPr>
              <w:t>ensitive</w:t>
            </w:r>
            <w:r w:rsidR="00886006">
              <w:rPr>
                <w:rStyle w:val="e24kjd"/>
                <w:rFonts w:cs="Arial"/>
                <w:sz w:val="20"/>
                <w:szCs w:val="20"/>
              </w:rPr>
              <w:t>, client navigation and additional support services)</w:t>
            </w:r>
            <w:r w:rsidRPr="00624DFA">
              <w:rPr>
                <w:rStyle w:val="e24kjd"/>
                <w:rFonts w:cs="Arial"/>
                <w:sz w:val="20"/>
                <w:szCs w:val="20"/>
              </w:rPr>
              <w:t xml:space="preserve">; people who use non-injecting drugs and transgender people have been introduced as new </w:t>
            </w:r>
            <w:r w:rsidR="00886006">
              <w:rPr>
                <w:rStyle w:val="e24kjd"/>
                <w:rFonts w:cs="Arial"/>
                <w:sz w:val="20"/>
                <w:szCs w:val="20"/>
              </w:rPr>
              <w:t xml:space="preserve">key population </w:t>
            </w:r>
            <w:r w:rsidRPr="00624DFA">
              <w:rPr>
                <w:rStyle w:val="e24kjd"/>
                <w:rFonts w:cs="Arial"/>
                <w:sz w:val="20"/>
                <w:szCs w:val="20"/>
              </w:rPr>
              <w:t xml:space="preserve">groups </w:t>
            </w:r>
            <w:r>
              <w:rPr>
                <w:rStyle w:val="e24kjd"/>
                <w:rFonts w:cs="Arial"/>
                <w:sz w:val="20"/>
                <w:szCs w:val="20"/>
              </w:rPr>
              <w:t>(</w:t>
            </w:r>
            <w:r w:rsidRPr="00624DFA">
              <w:rPr>
                <w:rStyle w:val="e24kjd"/>
                <w:rFonts w:cs="Arial"/>
                <w:sz w:val="20"/>
                <w:szCs w:val="20"/>
              </w:rPr>
              <w:t xml:space="preserve">approved </w:t>
            </w:r>
            <w:r>
              <w:rPr>
                <w:rStyle w:val="e24kjd"/>
                <w:rFonts w:cs="Arial"/>
                <w:sz w:val="20"/>
                <w:szCs w:val="20"/>
              </w:rPr>
              <w:t>by</w:t>
            </w:r>
            <w:r w:rsidRPr="00624DFA">
              <w:rPr>
                <w:rStyle w:val="e24kjd"/>
                <w:rFonts w:cs="Arial"/>
                <w:sz w:val="20"/>
                <w:szCs w:val="20"/>
              </w:rPr>
              <w:t xml:space="preserve"> Ministry of Health, Labor and Social Protection </w:t>
            </w:r>
            <w:r>
              <w:rPr>
                <w:rStyle w:val="e24kjd"/>
                <w:rFonts w:cs="Arial"/>
                <w:sz w:val="20"/>
                <w:szCs w:val="20"/>
              </w:rPr>
              <w:t xml:space="preserve">in </w:t>
            </w:r>
            <w:r w:rsidRPr="00624DFA">
              <w:rPr>
                <w:rStyle w:val="e24kjd"/>
                <w:rFonts w:cs="Arial"/>
                <w:sz w:val="20"/>
                <w:szCs w:val="20"/>
              </w:rPr>
              <w:t>March 2020</w:t>
            </w:r>
            <w:r>
              <w:rPr>
                <w:rStyle w:val="e24kjd"/>
                <w:rFonts w:cs="Arial"/>
                <w:sz w:val="20"/>
                <w:szCs w:val="20"/>
              </w:rPr>
              <w:t xml:space="preserve">). </w:t>
            </w:r>
            <w:r w:rsidR="00BB1365">
              <w:rPr>
                <w:rStyle w:val="e24kjd"/>
                <w:rFonts w:cs="Arial"/>
                <w:sz w:val="20"/>
                <w:szCs w:val="20"/>
              </w:rPr>
              <w:t>Integration of sexual and reproductive services translates into access of state funded contraception and cervical screening programs.</w:t>
            </w:r>
          </w:p>
          <w:p w14:paraId="58971CBA" w14:textId="2BCD5794" w:rsidR="0071110F" w:rsidRDefault="0071110F" w:rsidP="00781834">
            <w:pPr>
              <w:jc w:val="both"/>
              <w:rPr>
                <w:rStyle w:val="e24kjd"/>
                <w:rFonts w:cs="Arial"/>
                <w:sz w:val="20"/>
                <w:szCs w:val="20"/>
              </w:rPr>
            </w:pPr>
            <w:r w:rsidRPr="00624DFA">
              <w:rPr>
                <w:rStyle w:val="e24kjd"/>
                <w:rFonts w:cs="Arial"/>
                <w:sz w:val="20"/>
                <w:szCs w:val="20"/>
              </w:rPr>
              <w:t xml:space="preserve">Coverage dynamics show that in absolute terms the number of beneficiaries increases annually. </w:t>
            </w:r>
            <w:r>
              <w:rPr>
                <w:rStyle w:val="e24kjd"/>
                <w:rFonts w:cs="Arial"/>
                <w:sz w:val="20"/>
                <w:szCs w:val="20"/>
              </w:rPr>
              <w:t>S</w:t>
            </w:r>
            <w:r w:rsidRPr="00624DFA">
              <w:rPr>
                <w:rStyle w:val="e24kjd"/>
                <w:rFonts w:cs="Arial"/>
                <w:sz w:val="20"/>
                <w:szCs w:val="20"/>
              </w:rPr>
              <w:t xml:space="preserve">ize </w:t>
            </w:r>
            <w:r>
              <w:rPr>
                <w:rStyle w:val="e24kjd"/>
                <w:rFonts w:cs="Arial"/>
                <w:sz w:val="20"/>
                <w:szCs w:val="20"/>
              </w:rPr>
              <w:t xml:space="preserve">estimations of key populations in 2017 were </w:t>
            </w:r>
            <w:r w:rsidRPr="00624DFA">
              <w:rPr>
                <w:rStyle w:val="e24kjd"/>
                <w:rFonts w:cs="Arial"/>
                <w:sz w:val="20"/>
                <w:szCs w:val="20"/>
              </w:rPr>
              <w:t xml:space="preserve">higher </w:t>
            </w:r>
            <w:r>
              <w:rPr>
                <w:rStyle w:val="e24kjd"/>
                <w:rFonts w:cs="Arial"/>
                <w:sz w:val="20"/>
                <w:szCs w:val="20"/>
              </w:rPr>
              <w:t xml:space="preserve">compared to previous round, </w:t>
            </w:r>
            <w:r w:rsidR="00AE2B19">
              <w:rPr>
                <w:rStyle w:val="e24kjd"/>
                <w:rFonts w:cs="Arial"/>
                <w:sz w:val="20"/>
                <w:szCs w:val="20"/>
              </w:rPr>
              <w:t xml:space="preserve">therefore </w:t>
            </w:r>
            <w:r>
              <w:rPr>
                <w:rStyle w:val="e24kjd"/>
                <w:rFonts w:cs="Arial"/>
                <w:sz w:val="20"/>
                <w:szCs w:val="20"/>
              </w:rPr>
              <w:t xml:space="preserve">in relative terms coverage </w:t>
            </w:r>
            <w:r w:rsidRPr="00624DFA">
              <w:rPr>
                <w:rStyle w:val="e24kjd"/>
                <w:rFonts w:cs="Arial"/>
                <w:sz w:val="20"/>
                <w:szCs w:val="20"/>
              </w:rPr>
              <w:t>lower</w:t>
            </w:r>
            <w:r>
              <w:rPr>
                <w:rStyle w:val="e24kjd"/>
                <w:rFonts w:cs="Arial"/>
                <w:sz w:val="20"/>
                <w:szCs w:val="20"/>
              </w:rPr>
              <w:t xml:space="preserve"> compared to 2015-2016</w:t>
            </w:r>
            <w:r w:rsidRPr="00624DFA">
              <w:rPr>
                <w:rStyle w:val="e24kjd"/>
                <w:rFonts w:cs="Arial"/>
                <w:sz w:val="20"/>
                <w:szCs w:val="20"/>
              </w:rPr>
              <w:t>. In 2019</w:t>
            </w:r>
            <w:r>
              <w:rPr>
                <w:rStyle w:val="e24kjd"/>
                <w:rFonts w:cs="Arial"/>
                <w:sz w:val="20"/>
                <w:szCs w:val="20"/>
              </w:rPr>
              <w:t xml:space="preserve"> decline in coverage was due </w:t>
            </w:r>
            <w:r w:rsidRPr="00624DFA">
              <w:rPr>
                <w:rStyle w:val="e24kjd"/>
                <w:rFonts w:cs="Arial"/>
                <w:sz w:val="20"/>
                <w:szCs w:val="20"/>
              </w:rPr>
              <w:t>to</w:t>
            </w:r>
            <w:r>
              <w:rPr>
                <w:rStyle w:val="e24kjd"/>
                <w:rFonts w:cs="Arial"/>
                <w:sz w:val="20"/>
                <w:szCs w:val="20"/>
              </w:rPr>
              <w:t xml:space="preserve">  a</w:t>
            </w:r>
            <w:r w:rsidRPr="00624DFA">
              <w:rPr>
                <w:rStyle w:val="e24kjd"/>
                <w:rFonts w:cs="Arial"/>
                <w:sz w:val="20"/>
                <w:szCs w:val="20"/>
              </w:rPr>
              <w:t xml:space="preserve"> change in the validation criteria</w:t>
            </w:r>
            <w:r>
              <w:rPr>
                <w:rStyle w:val="FootnoteReference"/>
                <w:rFonts w:cs="Arial"/>
                <w:sz w:val="20"/>
                <w:szCs w:val="20"/>
              </w:rPr>
              <w:footnoteReference w:id="33"/>
            </w:r>
            <w:r w:rsidRPr="00624DFA">
              <w:rPr>
                <w:rStyle w:val="e24kjd"/>
                <w:rFonts w:cs="Arial"/>
                <w:sz w:val="20"/>
                <w:szCs w:val="20"/>
              </w:rPr>
              <w:t xml:space="preserve"> of the c</w:t>
            </w:r>
            <w:r>
              <w:rPr>
                <w:rStyle w:val="e24kjd"/>
                <w:rFonts w:cs="Arial"/>
                <w:sz w:val="20"/>
                <w:szCs w:val="20"/>
              </w:rPr>
              <w:t xml:space="preserve">lient covered by the services. </w:t>
            </w:r>
            <w:r w:rsidRPr="00624DFA">
              <w:rPr>
                <w:rStyle w:val="e24kjd"/>
                <w:rFonts w:cs="Arial"/>
                <w:sz w:val="20"/>
                <w:szCs w:val="20"/>
              </w:rPr>
              <w:t>Since 2019, a real-time</w:t>
            </w:r>
            <w:r>
              <w:rPr>
                <w:rStyle w:val="e24kjd"/>
                <w:rFonts w:cs="Arial"/>
                <w:sz w:val="20"/>
                <w:szCs w:val="20"/>
              </w:rPr>
              <w:t xml:space="preserve"> electronic card-based</w:t>
            </w:r>
            <w:r w:rsidRPr="00624DFA">
              <w:rPr>
                <w:rStyle w:val="e24kjd"/>
                <w:rFonts w:cs="Arial"/>
                <w:sz w:val="20"/>
                <w:szCs w:val="20"/>
              </w:rPr>
              <w:t xml:space="preserve"> registration database system has been introduced, </w:t>
            </w:r>
            <w:r w:rsidR="00AE2B19">
              <w:rPr>
                <w:rStyle w:val="e24kjd"/>
                <w:rFonts w:cs="Arial"/>
                <w:sz w:val="20"/>
                <w:szCs w:val="20"/>
              </w:rPr>
              <w:t xml:space="preserve">it </w:t>
            </w:r>
            <w:r w:rsidRPr="00624DFA">
              <w:rPr>
                <w:rStyle w:val="e24kjd"/>
                <w:rFonts w:cs="Arial"/>
                <w:sz w:val="20"/>
                <w:szCs w:val="20"/>
              </w:rPr>
              <w:t xml:space="preserve">allows </w:t>
            </w:r>
            <w:r>
              <w:rPr>
                <w:rStyle w:val="e24kjd"/>
                <w:rFonts w:cs="Arial"/>
                <w:sz w:val="20"/>
                <w:szCs w:val="20"/>
              </w:rPr>
              <w:t xml:space="preserve">NGOs working with </w:t>
            </w:r>
            <w:r w:rsidRPr="00624DFA">
              <w:rPr>
                <w:rStyle w:val="e24kjd"/>
                <w:rFonts w:cs="Arial"/>
                <w:sz w:val="20"/>
                <w:szCs w:val="20"/>
              </w:rPr>
              <w:t>KPs</w:t>
            </w:r>
            <w:r>
              <w:rPr>
                <w:rStyle w:val="e24kjd"/>
                <w:rFonts w:cs="Arial"/>
                <w:sz w:val="20"/>
                <w:szCs w:val="20"/>
              </w:rPr>
              <w:t xml:space="preserve"> electronic data entry </w:t>
            </w:r>
            <w:r w:rsidRPr="00624DFA">
              <w:rPr>
                <w:rStyle w:val="e24kjd"/>
                <w:rFonts w:cs="Arial"/>
                <w:sz w:val="20"/>
                <w:szCs w:val="20"/>
              </w:rPr>
              <w:t>using mobile technologies.</w:t>
            </w:r>
            <w:r w:rsidR="00F03936">
              <w:rPr>
                <w:rStyle w:val="e24kjd"/>
                <w:rFonts w:cs="Arial"/>
                <w:sz w:val="20"/>
                <w:szCs w:val="20"/>
              </w:rPr>
              <w:t xml:space="preserve"> Data is centralized</w:t>
            </w:r>
            <w:r w:rsidRPr="00624DFA">
              <w:rPr>
                <w:rStyle w:val="e24kjd"/>
                <w:rFonts w:cs="Arial"/>
                <w:sz w:val="20"/>
                <w:szCs w:val="20"/>
              </w:rPr>
              <w:t>, simplifies monitoring system</w:t>
            </w:r>
            <w:r w:rsidR="00F03936">
              <w:rPr>
                <w:rStyle w:val="e24kjd"/>
                <w:rFonts w:cs="Arial"/>
                <w:sz w:val="20"/>
                <w:szCs w:val="20"/>
              </w:rPr>
              <w:t xml:space="preserve"> and removes</w:t>
            </w:r>
            <w:r w:rsidRPr="00624DFA">
              <w:rPr>
                <w:rStyle w:val="e24kjd"/>
                <w:rFonts w:cs="Arial"/>
                <w:sz w:val="20"/>
                <w:szCs w:val="20"/>
              </w:rPr>
              <w:t xml:space="preserve"> double-counting.</w:t>
            </w:r>
            <w:r>
              <w:rPr>
                <w:rStyle w:val="e24kjd"/>
                <w:rFonts w:cs="Arial"/>
                <w:sz w:val="20"/>
                <w:szCs w:val="20"/>
              </w:rPr>
              <w:t xml:space="preserve"> </w:t>
            </w:r>
            <w:r w:rsidRPr="00624DFA">
              <w:rPr>
                <w:rStyle w:val="e24kjd"/>
                <w:rFonts w:cs="Arial"/>
                <w:sz w:val="20"/>
                <w:szCs w:val="20"/>
              </w:rPr>
              <w:t xml:space="preserve">Another factor </w:t>
            </w:r>
            <w:r>
              <w:rPr>
                <w:rStyle w:val="e24kjd"/>
                <w:rFonts w:cs="Arial"/>
                <w:sz w:val="20"/>
                <w:szCs w:val="20"/>
              </w:rPr>
              <w:t>influencing stagnating numbe</w:t>
            </w:r>
            <w:r w:rsidR="00F03936">
              <w:rPr>
                <w:rStyle w:val="e24kjd"/>
                <w:rFonts w:cs="Arial"/>
                <w:sz w:val="20"/>
                <w:szCs w:val="20"/>
              </w:rPr>
              <w:t>r in PWID is an emerging pattern of</w:t>
            </w:r>
            <w:r w:rsidRPr="00624DFA">
              <w:rPr>
                <w:rStyle w:val="e24kjd"/>
                <w:rFonts w:cs="Arial"/>
                <w:sz w:val="20"/>
                <w:szCs w:val="20"/>
              </w:rPr>
              <w:t xml:space="preserve"> transition to non-injecting use</w:t>
            </w:r>
            <w:r w:rsidR="00F03936">
              <w:rPr>
                <w:rStyle w:val="e24kjd"/>
                <w:rFonts w:cs="Arial"/>
                <w:sz w:val="20"/>
                <w:szCs w:val="20"/>
              </w:rPr>
              <w:t xml:space="preserve"> among young KPs</w:t>
            </w:r>
            <w:r w:rsidRPr="00624DFA">
              <w:rPr>
                <w:rStyle w:val="e24kjd"/>
                <w:rFonts w:cs="Arial"/>
                <w:sz w:val="20"/>
                <w:szCs w:val="20"/>
              </w:rPr>
              <w:t>, as a response to changes in the drug market, the massive emergence of ne</w:t>
            </w:r>
            <w:r>
              <w:rPr>
                <w:rStyle w:val="e24kjd"/>
                <w:rFonts w:cs="Arial"/>
                <w:sz w:val="20"/>
                <w:szCs w:val="20"/>
              </w:rPr>
              <w:t xml:space="preserve">w psychoactive substances </w:t>
            </w:r>
            <w:r w:rsidRPr="00624DFA">
              <w:rPr>
                <w:rStyle w:val="e24kjd"/>
                <w:rFonts w:cs="Arial"/>
                <w:sz w:val="20"/>
                <w:szCs w:val="20"/>
              </w:rPr>
              <w:t>used by other methods than injection.</w:t>
            </w:r>
            <w:r w:rsidR="00F35F01">
              <w:rPr>
                <w:rStyle w:val="e24kjd"/>
                <w:rFonts w:cs="Arial"/>
                <w:sz w:val="20"/>
                <w:szCs w:val="20"/>
              </w:rPr>
              <w:t xml:space="preserve"> (Annex 14. New Psychoactive substance use in Moldova and Belarus). </w:t>
            </w:r>
          </w:p>
          <w:p w14:paraId="3835F299" w14:textId="732A5EB6" w:rsidR="0071110F" w:rsidRDefault="0071110F" w:rsidP="00781834">
            <w:pPr>
              <w:spacing w:after="0" w:line="240" w:lineRule="auto"/>
              <w:rPr>
                <w:rStyle w:val="e24kjd"/>
                <w:rFonts w:asciiTheme="majorHAnsi" w:hAnsiTheme="majorHAnsi" w:cstheme="majorHAnsi"/>
                <w:b/>
                <w:sz w:val="20"/>
              </w:rPr>
            </w:pPr>
            <w:r>
              <w:rPr>
                <w:rStyle w:val="e24kjd"/>
                <w:rFonts w:asciiTheme="majorHAnsi" w:hAnsiTheme="majorHAnsi" w:cstheme="majorHAnsi"/>
                <w:b/>
                <w:sz w:val="20"/>
              </w:rPr>
              <w:t>Covera</w:t>
            </w:r>
            <w:r w:rsidR="00C60DF6">
              <w:rPr>
                <w:rStyle w:val="e24kjd"/>
                <w:rFonts w:asciiTheme="majorHAnsi" w:hAnsiTheme="majorHAnsi" w:cstheme="majorHAnsi"/>
                <w:b/>
                <w:sz w:val="20"/>
              </w:rPr>
              <w:t xml:space="preserve">ge </w:t>
            </w:r>
            <w:r w:rsidR="00B420E9">
              <w:rPr>
                <w:rStyle w:val="e24kjd"/>
                <w:rFonts w:asciiTheme="majorHAnsi" w:hAnsiTheme="majorHAnsi" w:cstheme="majorHAnsi"/>
                <w:b/>
                <w:sz w:val="20"/>
              </w:rPr>
              <w:t xml:space="preserve">of key populations </w:t>
            </w:r>
            <w:r w:rsidR="00C60DF6">
              <w:rPr>
                <w:rStyle w:val="e24kjd"/>
                <w:rFonts w:asciiTheme="majorHAnsi" w:hAnsiTheme="majorHAnsi" w:cstheme="majorHAnsi"/>
                <w:b/>
                <w:sz w:val="20"/>
              </w:rPr>
              <w:t>with prevention s</w:t>
            </w:r>
            <w:r w:rsidR="00B420E9">
              <w:rPr>
                <w:rStyle w:val="e24kjd"/>
                <w:rFonts w:asciiTheme="majorHAnsi" w:hAnsiTheme="majorHAnsi" w:cstheme="majorHAnsi"/>
                <w:b/>
                <w:sz w:val="20"/>
              </w:rPr>
              <w:t>ervices (2016 -2019)</w:t>
            </w:r>
            <w:r>
              <w:rPr>
                <w:rStyle w:val="e24kjd"/>
                <w:rFonts w:asciiTheme="majorHAnsi" w:hAnsiTheme="majorHAnsi" w:cstheme="majorHAnsi"/>
                <w:b/>
                <w:sz w:val="20"/>
              </w:rPr>
              <w:t xml:space="preserve"> </w:t>
            </w:r>
          </w:p>
          <w:tbl>
            <w:tblPr>
              <w:tblStyle w:val="ListTable3-Accent4"/>
              <w:tblW w:w="10230" w:type="dxa"/>
              <w:tblLook w:val="04A0" w:firstRow="1" w:lastRow="0" w:firstColumn="1" w:lastColumn="0" w:noHBand="0" w:noVBand="1"/>
            </w:tblPr>
            <w:tblGrid>
              <w:gridCol w:w="938"/>
              <w:gridCol w:w="858"/>
              <w:gridCol w:w="766"/>
              <w:gridCol w:w="790"/>
              <w:gridCol w:w="852"/>
              <w:gridCol w:w="1059"/>
              <w:gridCol w:w="623"/>
              <w:gridCol w:w="1119"/>
              <w:gridCol w:w="417"/>
              <w:gridCol w:w="1259"/>
              <w:gridCol w:w="417"/>
              <w:gridCol w:w="1132"/>
            </w:tblGrid>
            <w:tr w:rsidR="0071110F" w:rsidRPr="00DC77E8" w14:paraId="566C73CF" w14:textId="77777777" w:rsidTr="008376E7">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940" w:type="dxa"/>
                  <w:vMerge w:val="restart"/>
                  <w:shd w:val="clear" w:color="auto" w:fill="C00000"/>
                  <w:noWrap/>
                  <w:hideMark/>
                </w:tcPr>
                <w:p w14:paraId="08A8A80F" w14:textId="77777777" w:rsidR="0071110F" w:rsidRPr="00DC77E8" w:rsidRDefault="0071110F" w:rsidP="00781834">
                  <w:pPr>
                    <w:spacing w:after="0" w:line="240" w:lineRule="auto"/>
                    <w:rPr>
                      <w:rFonts w:asciiTheme="minorHAnsi" w:eastAsia="Times New Roman" w:hAnsiTheme="minorHAnsi" w:cstheme="minorHAnsi"/>
                      <w:b w:val="0"/>
                      <w:bCs w:val="0"/>
                      <w:color w:val="000000"/>
                      <w:sz w:val="18"/>
                      <w:szCs w:val="18"/>
                    </w:rPr>
                  </w:pPr>
                  <w:r w:rsidRPr="00DC77E8">
                    <w:rPr>
                      <w:rFonts w:asciiTheme="minorHAnsi" w:eastAsia="Times New Roman" w:hAnsiTheme="minorHAnsi" w:cstheme="minorHAnsi"/>
                      <w:b w:val="0"/>
                      <w:bCs w:val="0"/>
                      <w:color w:val="000000"/>
                      <w:sz w:val="18"/>
                      <w:szCs w:val="18"/>
                    </w:rPr>
                    <w:t> </w:t>
                  </w:r>
                </w:p>
              </w:tc>
              <w:tc>
                <w:tcPr>
                  <w:tcW w:w="1626" w:type="dxa"/>
                  <w:gridSpan w:val="2"/>
                  <w:shd w:val="clear" w:color="auto" w:fill="C00000"/>
                  <w:noWrap/>
                  <w:hideMark/>
                </w:tcPr>
                <w:p w14:paraId="4943FE12" w14:textId="77777777" w:rsidR="0071110F" w:rsidRPr="00500EA7"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8"/>
                      <w:szCs w:val="18"/>
                    </w:rPr>
                  </w:pPr>
                  <w:r w:rsidRPr="00500EA7">
                    <w:rPr>
                      <w:rFonts w:asciiTheme="minorHAnsi" w:eastAsia="Times New Roman" w:hAnsiTheme="minorHAnsi" w:cstheme="minorHAnsi"/>
                      <w:bCs w:val="0"/>
                      <w:sz w:val="18"/>
                      <w:szCs w:val="18"/>
                    </w:rPr>
                    <w:t>2015</w:t>
                  </w:r>
                </w:p>
              </w:tc>
              <w:tc>
                <w:tcPr>
                  <w:tcW w:w="1644" w:type="dxa"/>
                  <w:gridSpan w:val="2"/>
                  <w:shd w:val="clear" w:color="auto" w:fill="C00000"/>
                  <w:noWrap/>
                  <w:hideMark/>
                </w:tcPr>
                <w:p w14:paraId="5076E256" w14:textId="77777777" w:rsidR="0071110F" w:rsidRPr="00500EA7"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8"/>
                      <w:szCs w:val="18"/>
                    </w:rPr>
                  </w:pPr>
                  <w:r w:rsidRPr="00500EA7">
                    <w:rPr>
                      <w:rFonts w:asciiTheme="minorHAnsi" w:eastAsia="Times New Roman" w:hAnsiTheme="minorHAnsi" w:cstheme="minorHAnsi"/>
                      <w:bCs w:val="0"/>
                      <w:sz w:val="18"/>
                      <w:szCs w:val="18"/>
                    </w:rPr>
                    <w:t>2016</w:t>
                  </w:r>
                </w:p>
              </w:tc>
              <w:tc>
                <w:tcPr>
                  <w:tcW w:w="1684" w:type="dxa"/>
                  <w:gridSpan w:val="2"/>
                  <w:shd w:val="clear" w:color="auto" w:fill="C00000"/>
                  <w:noWrap/>
                  <w:hideMark/>
                </w:tcPr>
                <w:p w14:paraId="7BD5E95C" w14:textId="77777777" w:rsidR="0071110F" w:rsidRPr="00500EA7"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8"/>
                      <w:szCs w:val="18"/>
                    </w:rPr>
                  </w:pPr>
                  <w:r w:rsidRPr="00500EA7">
                    <w:rPr>
                      <w:rFonts w:asciiTheme="minorHAnsi" w:eastAsia="Times New Roman" w:hAnsiTheme="minorHAnsi" w:cstheme="minorHAnsi"/>
                      <w:bCs w:val="0"/>
                      <w:sz w:val="18"/>
                      <w:szCs w:val="18"/>
                    </w:rPr>
                    <w:t>2017</w:t>
                  </w:r>
                </w:p>
              </w:tc>
              <w:tc>
                <w:tcPr>
                  <w:tcW w:w="1531" w:type="dxa"/>
                  <w:gridSpan w:val="2"/>
                  <w:shd w:val="clear" w:color="auto" w:fill="C00000"/>
                  <w:noWrap/>
                  <w:hideMark/>
                </w:tcPr>
                <w:p w14:paraId="586672BE" w14:textId="77777777" w:rsidR="0071110F" w:rsidRPr="00500EA7"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8"/>
                      <w:szCs w:val="18"/>
                    </w:rPr>
                  </w:pPr>
                  <w:r w:rsidRPr="00500EA7">
                    <w:rPr>
                      <w:rFonts w:asciiTheme="minorHAnsi" w:eastAsia="Times New Roman" w:hAnsiTheme="minorHAnsi" w:cstheme="minorHAnsi"/>
                      <w:bCs w:val="0"/>
                      <w:sz w:val="18"/>
                      <w:szCs w:val="18"/>
                    </w:rPr>
                    <w:t>2018</w:t>
                  </w:r>
                </w:p>
              </w:tc>
              <w:tc>
                <w:tcPr>
                  <w:tcW w:w="1672" w:type="dxa"/>
                  <w:gridSpan w:val="2"/>
                  <w:shd w:val="clear" w:color="auto" w:fill="C00000"/>
                  <w:noWrap/>
                  <w:hideMark/>
                </w:tcPr>
                <w:p w14:paraId="6D4CDAD5" w14:textId="77777777" w:rsidR="0071110F" w:rsidRPr="00500EA7"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8"/>
                      <w:szCs w:val="18"/>
                    </w:rPr>
                  </w:pPr>
                  <w:r w:rsidRPr="00500EA7">
                    <w:rPr>
                      <w:rFonts w:asciiTheme="minorHAnsi" w:eastAsia="Times New Roman" w:hAnsiTheme="minorHAnsi" w:cstheme="minorHAnsi"/>
                      <w:bCs w:val="0"/>
                      <w:sz w:val="18"/>
                      <w:szCs w:val="18"/>
                    </w:rPr>
                    <w:t>2019</w:t>
                  </w:r>
                </w:p>
              </w:tc>
              <w:tc>
                <w:tcPr>
                  <w:tcW w:w="1133" w:type="dxa"/>
                  <w:shd w:val="clear" w:color="auto" w:fill="C00000"/>
                  <w:noWrap/>
                  <w:hideMark/>
                </w:tcPr>
                <w:p w14:paraId="3874083A" w14:textId="77777777" w:rsidR="0071110F" w:rsidRPr="00500EA7"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8"/>
                      <w:szCs w:val="18"/>
                    </w:rPr>
                  </w:pPr>
                  <w:r w:rsidRPr="00500EA7">
                    <w:rPr>
                      <w:rFonts w:asciiTheme="minorHAnsi" w:eastAsia="Times New Roman" w:hAnsiTheme="minorHAnsi" w:cstheme="minorHAnsi"/>
                      <w:bCs w:val="0"/>
                      <w:sz w:val="18"/>
                      <w:szCs w:val="18"/>
                    </w:rPr>
                    <w:t>Target  2020</w:t>
                  </w:r>
                </w:p>
              </w:tc>
            </w:tr>
            <w:tr w:rsidR="0071110F" w:rsidRPr="00DC77E8" w14:paraId="2EE695F9" w14:textId="77777777" w:rsidTr="008376E7">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940" w:type="dxa"/>
                  <w:vMerge/>
                  <w:shd w:val="clear" w:color="auto" w:fill="C00000"/>
                  <w:hideMark/>
                </w:tcPr>
                <w:p w14:paraId="19A3A4C4" w14:textId="77777777" w:rsidR="0071110F" w:rsidRPr="00DC77E8" w:rsidRDefault="0071110F" w:rsidP="00781834">
                  <w:pPr>
                    <w:spacing w:after="0" w:line="240" w:lineRule="auto"/>
                    <w:rPr>
                      <w:rFonts w:asciiTheme="minorHAnsi" w:eastAsia="Times New Roman" w:hAnsiTheme="minorHAnsi" w:cstheme="minorHAnsi"/>
                      <w:b w:val="0"/>
                      <w:bCs w:val="0"/>
                      <w:color w:val="000000"/>
                      <w:sz w:val="18"/>
                      <w:szCs w:val="18"/>
                    </w:rPr>
                  </w:pPr>
                </w:p>
              </w:tc>
              <w:tc>
                <w:tcPr>
                  <w:tcW w:w="859" w:type="dxa"/>
                  <w:shd w:val="clear" w:color="auto" w:fill="C00000"/>
                  <w:noWrap/>
                  <w:hideMark/>
                </w:tcPr>
                <w:p w14:paraId="35F4C181" w14:textId="77777777" w:rsidR="0071110F" w:rsidRPr="0046043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46043E">
                    <w:rPr>
                      <w:rFonts w:asciiTheme="minorHAnsi" w:eastAsia="Times New Roman" w:hAnsiTheme="minorHAnsi" w:cstheme="minorHAnsi"/>
                      <w:b/>
                      <w:bCs/>
                      <w:color w:val="FFFFFF" w:themeColor="background1"/>
                      <w:sz w:val="18"/>
                      <w:szCs w:val="18"/>
                    </w:rPr>
                    <w:t>#</w:t>
                  </w:r>
                </w:p>
              </w:tc>
              <w:tc>
                <w:tcPr>
                  <w:tcW w:w="767" w:type="dxa"/>
                  <w:shd w:val="clear" w:color="auto" w:fill="C00000"/>
                  <w:noWrap/>
                  <w:hideMark/>
                </w:tcPr>
                <w:p w14:paraId="09B04496" w14:textId="77777777" w:rsidR="0071110F" w:rsidRPr="0046043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46043E">
                    <w:rPr>
                      <w:rFonts w:asciiTheme="minorHAnsi" w:eastAsia="Times New Roman" w:hAnsiTheme="minorHAnsi" w:cstheme="minorHAnsi"/>
                      <w:b/>
                      <w:bCs/>
                      <w:color w:val="FFFFFF" w:themeColor="background1"/>
                      <w:sz w:val="18"/>
                      <w:szCs w:val="18"/>
                    </w:rPr>
                    <w:t>%</w:t>
                  </w:r>
                </w:p>
              </w:tc>
              <w:tc>
                <w:tcPr>
                  <w:tcW w:w="791" w:type="dxa"/>
                  <w:shd w:val="clear" w:color="auto" w:fill="C00000"/>
                  <w:noWrap/>
                  <w:hideMark/>
                </w:tcPr>
                <w:p w14:paraId="4A43F659" w14:textId="77777777" w:rsidR="0071110F" w:rsidRPr="0046043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46043E">
                    <w:rPr>
                      <w:rFonts w:asciiTheme="minorHAnsi" w:eastAsia="Times New Roman" w:hAnsiTheme="minorHAnsi" w:cstheme="minorHAnsi"/>
                      <w:b/>
                      <w:bCs/>
                      <w:color w:val="FFFFFF" w:themeColor="background1"/>
                      <w:sz w:val="18"/>
                      <w:szCs w:val="18"/>
                    </w:rPr>
                    <w:t>#</w:t>
                  </w:r>
                </w:p>
              </w:tc>
              <w:tc>
                <w:tcPr>
                  <w:tcW w:w="853" w:type="dxa"/>
                  <w:shd w:val="clear" w:color="auto" w:fill="C00000"/>
                  <w:noWrap/>
                  <w:hideMark/>
                </w:tcPr>
                <w:p w14:paraId="2C4E9597" w14:textId="77777777" w:rsidR="0071110F" w:rsidRPr="0046043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46043E">
                    <w:rPr>
                      <w:rFonts w:asciiTheme="minorHAnsi" w:eastAsia="Times New Roman" w:hAnsiTheme="minorHAnsi" w:cstheme="minorHAnsi"/>
                      <w:b/>
                      <w:bCs/>
                      <w:color w:val="FFFFFF" w:themeColor="background1"/>
                      <w:sz w:val="18"/>
                      <w:szCs w:val="18"/>
                    </w:rPr>
                    <w:t>%</w:t>
                  </w:r>
                </w:p>
              </w:tc>
              <w:tc>
                <w:tcPr>
                  <w:tcW w:w="1060" w:type="dxa"/>
                  <w:shd w:val="clear" w:color="auto" w:fill="C00000"/>
                  <w:noWrap/>
                  <w:hideMark/>
                </w:tcPr>
                <w:p w14:paraId="5DCD92DA" w14:textId="77777777" w:rsidR="0071110F" w:rsidRPr="0046043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46043E">
                    <w:rPr>
                      <w:rFonts w:asciiTheme="minorHAnsi" w:eastAsia="Times New Roman" w:hAnsiTheme="minorHAnsi" w:cstheme="minorHAnsi"/>
                      <w:b/>
                      <w:bCs/>
                      <w:color w:val="FFFFFF" w:themeColor="background1"/>
                      <w:sz w:val="18"/>
                      <w:szCs w:val="18"/>
                    </w:rPr>
                    <w:t>#</w:t>
                  </w:r>
                </w:p>
              </w:tc>
              <w:tc>
                <w:tcPr>
                  <w:tcW w:w="624" w:type="dxa"/>
                  <w:shd w:val="clear" w:color="auto" w:fill="C00000"/>
                  <w:noWrap/>
                  <w:hideMark/>
                </w:tcPr>
                <w:p w14:paraId="32879C99" w14:textId="77777777" w:rsidR="0071110F" w:rsidRPr="0046043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46043E">
                    <w:rPr>
                      <w:rFonts w:asciiTheme="minorHAnsi" w:eastAsia="Times New Roman" w:hAnsiTheme="minorHAnsi" w:cstheme="minorHAnsi"/>
                      <w:b/>
                      <w:bCs/>
                      <w:color w:val="FFFFFF" w:themeColor="background1"/>
                      <w:sz w:val="18"/>
                      <w:szCs w:val="18"/>
                    </w:rPr>
                    <w:t>%</w:t>
                  </w:r>
                </w:p>
              </w:tc>
              <w:tc>
                <w:tcPr>
                  <w:tcW w:w="1120" w:type="dxa"/>
                  <w:shd w:val="clear" w:color="auto" w:fill="C00000"/>
                  <w:noWrap/>
                  <w:hideMark/>
                </w:tcPr>
                <w:p w14:paraId="178F6689" w14:textId="77777777" w:rsidR="0071110F" w:rsidRPr="0046043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46043E">
                    <w:rPr>
                      <w:rFonts w:asciiTheme="minorHAnsi" w:eastAsia="Times New Roman" w:hAnsiTheme="minorHAnsi" w:cstheme="minorHAnsi"/>
                      <w:b/>
                      <w:bCs/>
                      <w:color w:val="FFFFFF" w:themeColor="background1"/>
                      <w:sz w:val="18"/>
                      <w:szCs w:val="18"/>
                    </w:rPr>
                    <w:t>#</w:t>
                  </w:r>
                </w:p>
              </w:tc>
              <w:tc>
                <w:tcPr>
                  <w:tcW w:w="411" w:type="dxa"/>
                  <w:shd w:val="clear" w:color="auto" w:fill="C00000"/>
                  <w:noWrap/>
                  <w:hideMark/>
                </w:tcPr>
                <w:p w14:paraId="735D5E26" w14:textId="77777777" w:rsidR="0071110F" w:rsidRPr="0046043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46043E">
                    <w:rPr>
                      <w:rFonts w:asciiTheme="minorHAnsi" w:eastAsia="Times New Roman" w:hAnsiTheme="minorHAnsi" w:cstheme="minorHAnsi"/>
                      <w:b/>
                      <w:bCs/>
                      <w:color w:val="FFFFFF" w:themeColor="background1"/>
                      <w:sz w:val="18"/>
                      <w:szCs w:val="18"/>
                    </w:rPr>
                    <w:t>%</w:t>
                  </w:r>
                </w:p>
              </w:tc>
              <w:tc>
                <w:tcPr>
                  <w:tcW w:w="1261" w:type="dxa"/>
                  <w:shd w:val="clear" w:color="auto" w:fill="C00000"/>
                  <w:noWrap/>
                  <w:hideMark/>
                </w:tcPr>
                <w:p w14:paraId="5FF1C37A" w14:textId="77777777" w:rsidR="0071110F" w:rsidRPr="0046043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46043E">
                    <w:rPr>
                      <w:rFonts w:asciiTheme="minorHAnsi" w:eastAsia="Times New Roman" w:hAnsiTheme="minorHAnsi" w:cstheme="minorHAnsi"/>
                      <w:b/>
                      <w:bCs/>
                      <w:color w:val="FFFFFF" w:themeColor="background1"/>
                      <w:sz w:val="18"/>
                      <w:szCs w:val="18"/>
                    </w:rPr>
                    <w:t>#</w:t>
                  </w:r>
                </w:p>
              </w:tc>
              <w:tc>
                <w:tcPr>
                  <w:tcW w:w="411" w:type="dxa"/>
                  <w:shd w:val="clear" w:color="auto" w:fill="C00000"/>
                  <w:noWrap/>
                  <w:hideMark/>
                </w:tcPr>
                <w:p w14:paraId="58E4F9E8" w14:textId="77777777" w:rsidR="0071110F" w:rsidRPr="0046043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46043E">
                    <w:rPr>
                      <w:rFonts w:asciiTheme="minorHAnsi" w:eastAsia="Times New Roman" w:hAnsiTheme="minorHAnsi" w:cstheme="minorHAnsi"/>
                      <w:b/>
                      <w:bCs/>
                      <w:color w:val="FFFFFF" w:themeColor="background1"/>
                      <w:sz w:val="18"/>
                      <w:szCs w:val="18"/>
                    </w:rPr>
                    <w:t>%</w:t>
                  </w:r>
                </w:p>
              </w:tc>
              <w:tc>
                <w:tcPr>
                  <w:tcW w:w="1133" w:type="dxa"/>
                  <w:shd w:val="clear" w:color="auto" w:fill="C00000"/>
                  <w:noWrap/>
                  <w:hideMark/>
                </w:tcPr>
                <w:p w14:paraId="63542A45" w14:textId="77777777" w:rsidR="0071110F" w:rsidRPr="0046043E"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46043E">
                    <w:rPr>
                      <w:rFonts w:asciiTheme="minorHAnsi" w:eastAsia="Times New Roman" w:hAnsiTheme="minorHAnsi" w:cstheme="minorHAnsi"/>
                      <w:b/>
                      <w:bCs/>
                      <w:color w:val="FFFFFF" w:themeColor="background1"/>
                      <w:sz w:val="18"/>
                      <w:szCs w:val="18"/>
                    </w:rPr>
                    <w:t>%</w:t>
                  </w:r>
                </w:p>
              </w:tc>
            </w:tr>
            <w:tr w:rsidR="0071110F" w:rsidRPr="00DC77E8" w14:paraId="59D6F410" w14:textId="77777777" w:rsidTr="00500EA7">
              <w:trPr>
                <w:trHeight w:val="315"/>
              </w:trPr>
              <w:tc>
                <w:tcPr>
                  <w:cnfStyle w:val="001000000000" w:firstRow="0" w:lastRow="0" w:firstColumn="1" w:lastColumn="0" w:oddVBand="0" w:evenVBand="0" w:oddHBand="0" w:evenHBand="0" w:firstRowFirstColumn="0" w:firstRowLastColumn="0" w:lastRowFirstColumn="0" w:lastRowLastColumn="0"/>
                  <w:tcW w:w="940" w:type="dxa"/>
                  <w:noWrap/>
                  <w:hideMark/>
                </w:tcPr>
                <w:p w14:paraId="5F14436D" w14:textId="77777777" w:rsidR="0071110F" w:rsidRPr="00DC77E8" w:rsidRDefault="0071110F" w:rsidP="00781834">
                  <w:pPr>
                    <w:spacing w:after="0" w:line="240" w:lineRule="auto"/>
                    <w:rPr>
                      <w:rFonts w:asciiTheme="minorHAnsi" w:eastAsia="Times New Roman" w:hAnsiTheme="minorHAnsi" w:cstheme="minorHAnsi"/>
                      <w:b w:val="0"/>
                      <w:bCs w:val="0"/>
                      <w:color w:val="000000"/>
                      <w:sz w:val="18"/>
                      <w:szCs w:val="18"/>
                    </w:rPr>
                  </w:pPr>
                  <w:r w:rsidRPr="00DC77E8">
                    <w:rPr>
                      <w:rFonts w:asciiTheme="minorHAnsi" w:eastAsia="Times New Roman" w:hAnsiTheme="minorHAnsi" w:cstheme="minorHAnsi"/>
                      <w:b w:val="0"/>
                      <w:bCs w:val="0"/>
                      <w:color w:val="000000"/>
                      <w:sz w:val="18"/>
                      <w:szCs w:val="18"/>
                    </w:rPr>
                    <w:t>PWID</w:t>
                  </w:r>
                </w:p>
              </w:tc>
              <w:tc>
                <w:tcPr>
                  <w:tcW w:w="859" w:type="dxa"/>
                  <w:noWrap/>
                  <w:hideMark/>
                </w:tcPr>
                <w:p w14:paraId="276BA1DD"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DC77E8">
                    <w:rPr>
                      <w:rFonts w:asciiTheme="minorHAnsi" w:eastAsia="Times New Roman" w:hAnsiTheme="minorHAnsi" w:cstheme="minorHAnsi"/>
                      <w:color w:val="000000"/>
                      <w:sz w:val="18"/>
                      <w:szCs w:val="18"/>
                    </w:rPr>
                    <w:t>13,069</w:t>
                  </w:r>
                </w:p>
              </w:tc>
              <w:tc>
                <w:tcPr>
                  <w:tcW w:w="767" w:type="dxa"/>
                  <w:noWrap/>
                  <w:hideMark/>
                </w:tcPr>
                <w:p w14:paraId="672D5906" w14:textId="77777777" w:rsidR="0071110F" w:rsidRPr="00AE2B19"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AE2B19">
                    <w:rPr>
                      <w:rFonts w:asciiTheme="minorHAnsi" w:eastAsia="Times New Roman" w:hAnsiTheme="minorHAnsi" w:cstheme="minorHAnsi"/>
                      <w:b/>
                      <w:color w:val="000000"/>
                      <w:sz w:val="18"/>
                      <w:szCs w:val="18"/>
                    </w:rPr>
                    <w:t>43</w:t>
                  </w:r>
                </w:p>
              </w:tc>
              <w:tc>
                <w:tcPr>
                  <w:tcW w:w="791" w:type="dxa"/>
                  <w:noWrap/>
                  <w:hideMark/>
                </w:tcPr>
                <w:p w14:paraId="51BD2ECB"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DC77E8">
                    <w:rPr>
                      <w:rFonts w:asciiTheme="minorHAnsi" w:eastAsia="Times New Roman" w:hAnsiTheme="minorHAnsi" w:cstheme="minorHAnsi"/>
                      <w:color w:val="000000"/>
                      <w:sz w:val="18"/>
                      <w:szCs w:val="18"/>
                    </w:rPr>
                    <w:t>14,806</w:t>
                  </w:r>
                </w:p>
              </w:tc>
              <w:tc>
                <w:tcPr>
                  <w:tcW w:w="853" w:type="dxa"/>
                  <w:noWrap/>
                  <w:hideMark/>
                </w:tcPr>
                <w:p w14:paraId="61B90600" w14:textId="77777777" w:rsidR="0071110F" w:rsidRPr="00AE2B19"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AE2B19">
                    <w:rPr>
                      <w:rFonts w:asciiTheme="minorHAnsi" w:eastAsia="Times New Roman" w:hAnsiTheme="minorHAnsi" w:cstheme="minorHAnsi"/>
                      <w:b/>
                      <w:color w:val="000000"/>
                      <w:sz w:val="18"/>
                      <w:szCs w:val="18"/>
                    </w:rPr>
                    <w:t>49</w:t>
                  </w:r>
                </w:p>
              </w:tc>
              <w:tc>
                <w:tcPr>
                  <w:tcW w:w="1060" w:type="dxa"/>
                  <w:noWrap/>
                  <w:hideMark/>
                </w:tcPr>
                <w:p w14:paraId="12280931"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DC77E8">
                    <w:rPr>
                      <w:rFonts w:asciiTheme="minorHAnsi" w:eastAsia="Times New Roman" w:hAnsiTheme="minorHAnsi" w:cstheme="minorHAnsi"/>
                      <w:color w:val="000000"/>
                      <w:sz w:val="18"/>
                      <w:szCs w:val="18"/>
                    </w:rPr>
                    <w:t>15,431</w:t>
                  </w:r>
                </w:p>
              </w:tc>
              <w:tc>
                <w:tcPr>
                  <w:tcW w:w="624" w:type="dxa"/>
                  <w:noWrap/>
                  <w:hideMark/>
                </w:tcPr>
                <w:p w14:paraId="24F55274" w14:textId="77777777" w:rsidR="0071110F" w:rsidRPr="00AE2B19"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AE2B19">
                    <w:rPr>
                      <w:rFonts w:asciiTheme="minorHAnsi" w:eastAsia="Times New Roman" w:hAnsiTheme="minorHAnsi" w:cstheme="minorHAnsi"/>
                      <w:b/>
                      <w:color w:val="000000"/>
                      <w:sz w:val="18"/>
                      <w:szCs w:val="18"/>
                    </w:rPr>
                    <w:t>41</w:t>
                  </w:r>
                </w:p>
              </w:tc>
              <w:tc>
                <w:tcPr>
                  <w:tcW w:w="1120" w:type="dxa"/>
                  <w:noWrap/>
                  <w:hideMark/>
                </w:tcPr>
                <w:p w14:paraId="7268E1B6"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DC77E8">
                    <w:rPr>
                      <w:rFonts w:asciiTheme="minorHAnsi" w:eastAsia="Times New Roman" w:hAnsiTheme="minorHAnsi" w:cstheme="minorHAnsi"/>
                      <w:color w:val="000000"/>
                      <w:sz w:val="18"/>
                      <w:szCs w:val="18"/>
                    </w:rPr>
                    <w:t>20,801</w:t>
                  </w:r>
                </w:p>
              </w:tc>
              <w:tc>
                <w:tcPr>
                  <w:tcW w:w="411" w:type="dxa"/>
                  <w:noWrap/>
                  <w:hideMark/>
                </w:tcPr>
                <w:p w14:paraId="3CA7FE73" w14:textId="77777777" w:rsidR="0071110F" w:rsidRPr="00AE2B19"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AE2B19">
                    <w:rPr>
                      <w:rFonts w:asciiTheme="minorHAnsi" w:eastAsia="Times New Roman" w:hAnsiTheme="minorHAnsi" w:cstheme="minorHAnsi"/>
                      <w:b/>
                      <w:color w:val="000000"/>
                      <w:sz w:val="18"/>
                      <w:szCs w:val="18"/>
                    </w:rPr>
                    <w:t>56</w:t>
                  </w:r>
                </w:p>
              </w:tc>
              <w:tc>
                <w:tcPr>
                  <w:tcW w:w="1261" w:type="dxa"/>
                  <w:noWrap/>
                  <w:hideMark/>
                </w:tcPr>
                <w:p w14:paraId="13D95B05"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DC77E8">
                    <w:rPr>
                      <w:rFonts w:asciiTheme="minorHAnsi" w:eastAsia="Times New Roman" w:hAnsiTheme="minorHAnsi" w:cstheme="minorHAnsi"/>
                      <w:color w:val="000000"/>
                      <w:sz w:val="18"/>
                      <w:szCs w:val="18"/>
                    </w:rPr>
                    <w:t>15,627</w:t>
                  </w:r>
                </w:p>
              </w:tc>
              <w:tc>
                <w:tcPr>
                  <w:tcW w:w="411" w:type="dxa"/>
                  <w:noWrap/>
                  <w:hideMark/>
                </w:tcPr>
                <w:p w14:paraId="14858F1C" w14:textId="77777777" w:rsidR="0071110F" w:rsidRPr="00AE2B19"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AE2B19">
                    <w:rPr>
                      <w:rFonts w:asciiTheme="minorHAnsi" w:eastAsia="Times New Roman" w:hAnsiTheme="minorHAnsi" w:cstheme="minorHAnsi"/>
                      <w:b/>
                      <w:color w:val="000000"/>
                      <w:sz w:val="18"/>
                      <w:szCs w:val="18"/>
                    </w:rPr>
                    <w:t>42</w:t>
                  </w:r>
                </w:p>
              </w:tc>
              <w:tc>
                <w:tcPr>
                  <w:tcW w:w="1133" w:type="dxa"/>
                  <w:noWrap/>
                  <w:hideMark/>
                </w:tcPr>
                <w:p w14:paraId="62CFD2CD"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60%</w:t>
                  </w:r>
                </w:p>
              </w:tc>
            </w:tr>
            <w:tr w:rsidR="0071110F" w:rsidRPr="00DC77E8" w14:paraId="6EDA0B39" w14:textId="77777777" w:rsidTr="00500EA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0" w:type="dxa"/>
                  <w:noWrap/>
                  <w:hideMark/>
                </w:tcPr>
                <w:p w14:paraId="265DF1BD" w14:textId="77777777" w:rsidR="0071110F" w:rsidRPr="00DC77E8" w:rsidRDefault="0071110F" w:rsidP="00781834">
                  <w:pPr>
                    <w:spacing w:after="0" w:line="240" w:lineRule="auto"/>
                    <w:rPr>
                      <w:rFonts w:asciiTheme="minorHAnsi" w:eastAsia="Times New Roman" w:hAnsiTheme="minorHAnsi" w:cstheme="minorHAnsi"/>
                      <w:b w:val="0"/>
                      <w:bCs w:val="0"/>
                      <w:color w:val="000000"/>
                      <w:sz w:val="18"/>
                      <w:szCs w:val="18"/>
                    </w:rPr>
                  </w:pPr>
                  <w:r w:rsidRPr="00DC77E8">
                    <w:rPr>
                      <w:rFonts w:asciiTheme="minorHAnsi" w:eastAsia="Times New Roman" w:hAnsiTheme="minorHAnsi" w:cstheme="minorHAnsi"/>
                      <w:b w:val="0"/>
                      <w:bCs w:val="0"/>
                      <w:color w:val="000000"/>
                      <w:sz w:val="18"/>
                      <w:szCs w:val="18"/>
                    </w:rPr>
                    <w:t>SW</w:t>
                  </w:r>
                </w:p>
              </w:tc>
              <w:tc>
                <w:tcPr>
                  <w:tcW w:w="859" w:type="dxa"/>
                  <w:noWrap/>
                  <w:hideMark/>
                </w:tcPr>
                <w:p w14:paraId="7D0FB706" w14:textId="77777777" w:rsidR="0071110F" w:rsidRPr="00DC77E8"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DC77E8">
                    <w:rPr>
                      <w:rFonts w:asciiTheme="minorHAnsi" w:eastAsia="Times New Roman" w:hAnsiTheme="minorHAnsi" w:cstheme="minorHAnsi"/>
                      <w:color w:val="000000"/>
                      <w:sz w:val="18"/>
                      <w:szCs w:val="18"/>
                    </w:rPr>
                    <w:t>4,858</w:t>
                  </w:r>
                </w:p>
              </w:tc>
              <w:tc>
                <w:tcPr>
                  <w:tcW w:w="767" w:type="dxa"/>
                  <w:noWrap/>
                  <w:hideMark/>
                </w:tcPr>
                <w:p w14:paraId="5EED5970" w14:textId="77777777" w:rsidR="0071110F" w:rsidRPr="00AE2B19"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AE2B19">
                    <w:rPr>
                      <w:rFonts w:asciiTheme="minorHAnsi" w:eastAsia="Times New Roman" w:hAnsiTheme="minorHAnsi" w:cstheme="minorHAnsi"/>
                      <w:b/>
                      <w:color w:val="000000"/>
                      <w:sz w:val="18"/>
                      <w:szCs w:val="18"/>
                    </w:rPr>
                    <w:t>40</w:t>
                  </w:r>
                </w:p>
              </w:tc>
              <w:tc>
                <w:tcPr>
                  <w:tcW w:w="791" w:type="dxa"/>
                  <w:noWrap/>
                  <w:hideMark/>
                </w:tcPr>
                <w:p w14:paraId="528D0C0E" w14:textId="77777777" w:rsidR="0071110F" w:rsidRPr="00DC77E8"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DC77E8">
                    <w:rPr>
                      <w:rFonts w:asciiTheme="minorHAnsi" w:eastAsia="Times New Roman" w:hAnsiTheme="minorHAnsi" w:cstheme="minorHAnsi"/>
                      <w:color w:val="000000"/>
                      <w:sz w:val="18"/>
                      <w:szCs w:val="18"/>
                    </w:rPr>
                    <w:t>4,717</w:t>
                  </w:r>
                </w:p>
              </w:tc>
              <w:tc>
                <w:tcPr>
                  <w:tcW w:w="853" w:type="dxa"/>
                  <w:noWrap/>
                  <w:hideMark/>
                </w:tcPr>
                <w:p w14:paraId="08146449" w14:textId="77777777" w:rsidR="0071110F" w:rsidRPr="00AE2B19"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AE2B19">
                    <w:rPr>
                      <w:rFonts w:asciiTheme="minorHAnsi" w:eastAsia="Times New Roman" w:hAnsiTheme="minorHAnsi" w:cstheme="minorHAnsi"/>
                      <w:b/>
                      <w:color w:val="000000"/>
                      <w:sz w:val="18"/>
                      <w:szCs w:val="18"/>
                    </w:rPr>
                    <w:t>39</w:t>
                  </w:r>
                </w:p>
              </w:tc>
              <w:tc>
                <w:tcPr>
                  <w:tcW w:w="1060" w:type="dxa"/>
                  <w:noWrap/>
                  <w:hideMark/>
                </w:tcPr>
                <w:p w14:paraId="1157E6EA" w14:textId="77777777" w:rsidR="0071110F" w:rsidRPr="00DC77E8"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DC77E8">
                    <w:rPr>
                      <w:rFonts w:asciiTheme="minorHAnsi" w:eastAsia="Times New Roman" w:hAnsiTheme="minorHAnsi" w:cstheme="minorHAnsi"/>
                      <w:color w:val="000000"/>
                      <w:sz w:val="18"/>
                      <w:szCs w:val="18"/>
                    </w:rPr>
                    <w:t>5,620</w:t>
                  </w:r>
                </w:p>
              </w:tc>
              <w:tc>
                <w:tcPr>
                  <w:tcW w:w="624" w:type="dxa"/>
                  <w:noWrap/>
                  <w:hideMark/>
                </w:tcPr>
                <w:p w14:paraId="744260CB" w14:textId="77777777" w:rsidR="0071110F" w:rsidRPr="00AE2B19"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AE2B19">
                    <w:rPr>
                      <w:rFonts w:asciiTheme="minorHAnsi" w:eastAsia="Times New Roman" w:hAnsiTheme="minorHAnsi" w:cstheme="minorHAnsi"/>
                      <w:b/>
                      <w:color w:val="000000"/>
                      <w:sz w:val="18"/>
                      <w:szCs w:val="18"/>
                    </w:rPr>
                    <w:t>26</w:t>
                  </w:r>
                </w:p>
              </w:tc>
              <w:tc>
                <w:tcPr>
                  <w:tcW w:w="1120" w:type="dxa"/>
                  <w:noWrap/>
                  <w:hideMark/>
                </w:tcPr>
                <w:p w14:paraId="31883805" w14:textId="77777777" w:rsidR="0071110F" w:rsidRPr="00DC77E8"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DC77E8">
                    <w:rPr>
                      <w:rFonts w:asciiTheme="minorHAnsi" w:eastAsia="Times New Roman" w:hAnsiTheme="minorHAnsi" w:cstheme="minorHAnsi"/>
                      <w:color w:val="000000"/>
                      <w:sz w:val="18"/>
                      <w:szCs w:val="18"/>
                    </w:rPr>
                    <w:t>8,373</w:t>
                  </w:r>
                </w:p>
              </w:tc>
              <w:tc>
                <w:tcPr>
                  <w:tcW w:w="411" w:type="dxa"/>
                  <w:noWrap/>
                  <w:hideMark/>
                </w:tcPr>
                <w:p w14:paraId="51D9DD6D" w14:textId="77777777" w:rsidR="0071110F" w:rsidRPr="00AE2B19"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AE2B19">
                    <w:rPr>
                      <w:rFonts w:asciiTheme="minorHAnsi" w:eastAsia="Times New Roman" w:hAnsiTheme="minorHAnsi" w:cstheme="minorHAnsi"/>
                      <w:b/>
                      <w:color w:val="000000"/>
                      <w:sz w:val="18"/>
                      <w:szCs w:val="18"/>
                    </w:rPr>
                    <w:t>40</w:t>
                  </w:r>
                </w:p>
              </w:tc>
              <w:tc>
                <w:tcPr>
                  <w:tcW w:w="1261" w:type="dxa"/>
                  <w:noWrap/>
                  <w:hideMark/>
                </w:tcPr>
                <w:p w14:paraId="2E106E9F" w14:textId="77777777" w:rsidR="0071110F" w:rsidRPr="00DC77E8"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rPr>
                  </w:pPr>
                  <w:r w:rsidRPr="00DC77E8">
                    <w:rPr>
                      <w:rFonts w:asciiTheme="minorHAnsi" w:eastAsia="Times New Roman" w:hAnsiTheme="minorHAnsi" w:cstheme="minorHAnsi"/>
                      <w:color w:val="000000"/>
                      <w:sz w:val="18"/>
                      <w:szCs w:val="18"/>
                    </w:rPr>
                    <w:t>7,332</w:t>
                  </w:r>
                </w:p>
              </w:tc>
              <w:tc>
                <w:tcPr>
                  <w:tcW w:w="411" w:type="dxa"/>
                  <w:noWrap/>
                  <w:hideMark/>
                </w:tcPr>
                <w:p w14:paraId="4770A34D" w14:textId="77777777" w:rsidR="0071110F" w:rsidRPr="00AE2B19"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sz w:val="18"/>
                      <w:szCs w:val="18"/>
                    </w:rPr>
                  </w:pPr>
                  <w:r w:rsidRPr="00AE2B19">
                    <w:rPr>
                      <w:rFonts w:asciiTheme="minorHAnsi" w:eastAsia="Times New Roman" w:hAnsiTheme="minorHAnsi" w:cstheme="minorHAnsi"/>
                      <w:b/>
                      <w:color w:val="000000"/>
                      <w:sz w:val="18"/>
                      <w:szCs w:val="18"/>
                    </w:rPr>
                    <w:t>34</w:t>
                  </w:r>
                </w:p>
              </w:tc>
              <w:tc>
                <w:tcPr>
                  <w:tcW w:w="1133" w:type="dxa"/>
                  <w:noWrap/>
                  <w:hideMark/>
                </w:tcPr>
                <w:p w14:paraId="47359D22" w14:textId="77777777" w:rsidR="0071110F" w:rsidRPr="00DC77E8"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60%</w:t>
                  </w:r>
                </w:p>
              </w:tc>
            </w:tr>
            <w:tr w:rsidR="0071110F" w:rsidRPr="00DC77E8" w14:paraId="66470278" w14:textId="77777777" w:rsidTr="00500EA7">
              <w:trPr>
                <w:trHeight w:val="315"/>
              </w:trPr>
              <w:tc>
                <w:tcPr>
                  <w:cnfStyle w:val="001000000000" w:firstRow="0" w:lastRow="0" w:firstColumn="1" w:lastColumn="0" w:oddVBand="0" w:evenVBand="0" w:oddHBand="0" w:evenHBand="0" w:firstRowFirstColumn="0" w:firstRowLastColumn="0" w:lastRowFirstColumn="0" w:lastRowLastColumn="0"/>
                  <w:tcW w:w="940" w:type="dxa"/>
                  <w:noWrap/>
                  <w:hideMark/>
                </w:tcPr>
                <w:p w14:paraId="3DED7CCC" w14:textId="77777777" w:rsidR="0071110F" w:rsidRPr="00DC77E8" w:rsidRDefault="0071110F" w:rsidP="00781834">
                  <w:pPr>
                    <w:spacing w:after="0" w:line="240" w:lineRule="auto"/>
                    <w:rPr>
                      <w:rFonts w:asciiTheme="minorHAnsi" w:eastAsia="Times New Roman" w:hAnsiTheme="minorHAnsi" w:cstheme="minorHAnsi"/>
                      <w:b w:val="0"/>
                      <w:bCs w:val="0"/>
                      <w:color w:val="000000"/>
                      <w:sz w:val="18"/>
                      <w:szCs w:val="18"/>
                    </w:rPr>
                  </w:pPr>
                  <w:r w:rsidRPr="00DC77E8">
                    <w:rPr>
                      <w:rFonts w:asciiTheme="minorHAnsi" w:eastAsia="Times New Roman" w:hAnsiTheme="minorHAnsi" w:cstheme="minorHAnsi"/>
                      <w:b w:val="0"/>
                      <w:bCs w:val="0"/>
                      <w:color w:val="000000"/>
                      <w:sz w:val="18"/>
                      <w:szCs w:val="18"/>
                    </w:rPr>
                    <w:t>MSM</w:t>
                  </w:r>
                </w:p>
              </w:tc>
              <w:tc>
                <w:tcPr>
                  <w:tcW w:w="859" w:type="dxa"/>
                  <w:noWrap/>
                  <w:hideMark/>
                </w:tcPr>
                <w:p w14:paraId="5AD977F2"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DC77E8">
                    <w:rPr>
                      <w:rFonts w:asciiTheme="minorHAnsi" w:eastAsia="Times New Roman" w:hAnsiTheme="minorHAnsi" w:cstheme="minorHAnsi"/>
                      <w:color w:val="000000"/>
                      <w:sz w:val="18"/>
                      <w:szCs w:val="18"/>
                    </w:rPr>
                    <w:t>2,805</w:t>
                  </w:r>
                </w:p>
              </w:tc>
              <w:tc>
                <w:tcPr>
                  <w:tcW w:w="767" w:type="dxa"/>
                  <w:noWrap/>
                  <w:hideMark/>
                </w:tcPr>
                <w:p w14:paraId="63DB76F3" w14:textId="77777777" w:rsidR="0071110F" w:rsidRPr="00AE2B19"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AE2B19">
                    <w:rPr>
                      <w:rFonts w:asciiTheme="minorHAnsi" w:eastAsia="Times New Roman" w:hAnsiTheme="minorHAnsi" w:cstheme="minorHAnsi"/>
                      <w:b/>
                      <w:color w:val="000000"/>
                      <w:sz w:val="18"/>
                      <w:szCs w:val="18"/>
                    </w:rPr>
                    <w:t>20</w:t>
                  </w:r>
                </w:p>
              </w:tc>
              <w:tc>
                <w:tcPr>
                  <w:tcW w:w="791" w:type="dxa"/>
                  <w:noWrap/>
                  <w:hideMark/>
                </w:tcPr>
                <w:p w14:paraId="756F21AA"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DC77E8">
                    <w:rPr>
                      <w:rFonts w:asciiTheme="minorHAnsi" w:eastAsia="Times New Roman" w:hAnsiTheme="minorHAnsi" w:cstheme="minorHAnsi"/>
                      <w:color w:val="000000"/>
                      <w:sz w:val="18"/>
                      <w:szCs w:val="18"/>
                    </w:rPr>
                    <w:t>3,013</w:t>
                  </w:r>
                </w:p>
              </w:tc>
              <w:tc>
                <w:tcPr>
                  <w:tcW w:w="853" w:type="dxa"/>
                  <w:noWrap/>
                  <w:hideMark/>
                </w:tcPr>
                <w:p w14:paraId="436B6B59" w14:textId="77777777" w:rsidR="0071110F" w:rsidRPr="00AE2B19"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AE2B19">
                    <w:rPr>
                      <w:rFonts w:asciiTheme="minorHAnsi" w:eastAsia="Times New Roman" w:hAnsiTheme="minorHAnsi" w:cstheme="minorHAnsi"/>
                      <w:b/>
                      <w:color w:val="000000"/>
                      <w:sz w:val="18"/>
                      <w:szCs w:val="18"/>
                    </w:rPr>
                    <w:t>22</w:t>
                  </w:r>
                </w:p>
              </w:tc>
              <w:tc>
                <w:tcPr>
                  <w:tcW w:w="1060" w:type="dxa"/>
                  <w:noWrap/>
                  <w:hideMark/>
                </w:tcPr>
                <w:p w14:paraId="0B020117"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DC77E8">
                    <w:rPr>
                      <w:rFonts w:asciiTheme="minorHAnsi" w:eastAsia="Times New Roman" w:hAnsiTheme="minorHAnsi" w:cstheme="minorHAnsi"/>
                      <w:color w:val="000000"/>
                      <w:sz w:val="18"/>
                      <w:szCs w:val="18"/>
                    </w:rPr>
                    <w:t>3,636</w:t>
                  </w:r>
                </w:p>
              </w:tc>
              <w:tc>
                <w:tcPr>
                  <w:tcW w:w="624" w:type="dxa"/>
                  <w:noWrap/>
                  <w:hideMark/>
                </w:tcPr>
                <w:p w14:paraId="66F074F8" w14:textId="77777777" w:rsidR="0071110F" w:rsidRPr="00AE2B19"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AE2B19">
                    <w:rPr>
                      <w:rFonts w:asciiTheme="minorHAnsi" w:eastAsia="Times New Roman" w:hAnsiTheme="minorHAnsi" w:cstheme="minorHAnsi"/>
                      <w:b/>
                      <w:color w:val="000000"/>
                      <w:sz w:val="18"/>
                      <w:szCs w:val="18"/>
                    </w:rPr>
                    <w:t>21</w:t>
                  </w:r>
                </w:p>
              </w:tc>
              <w:tc>
                <w:tcPr>
                  <w:tcW w:w="1120" w:type="dxa"/>
                  <w:noWrap/>
                  <w:hideMark/>
                </w:tcPr>
                <w:p w14:paraId="31C42EFA"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DC77E8">
                    <w:rPr>
                      <w:rFonts w:asciiTheme="minorHAnsi" w:eastAsia="Times New Roman" w:hAnsiTheme="minorHAnsi" w:cstheme="minorHAnsi"/>
                      <w:color w:val="000000"/>
                      <w:sz w:val="18"/>
                      <w:szCs w:val="18"/>
                    </w:rPr>
                    <w:t>4,630</w:t>
                  </w:r>
                </w:p>
              </w:tc>
              <w:tc>
                <w:tcPr>
                  <w:tcW w:w="411" w:type="dxa"/>
                  <w:noWrap/>
                  <w:hideMark/>
                </w:tcPr>
                <w:p w14:paraId="4E4B0157" w14:textId="77777777" w:rsidR="0071110F" w:rsidRPr="00AE2B19"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AE2B19">
                    <w:rPr>
                      <w:rFonts w:asciiTheme="minorHAnsi" w:eastAsia="Times New Roman" w:hAnsiTheme="minorHAnsi" w:cstheme="minorHAnsi"/>
                      <w:b/>
                      <w:color w:val="000000"/>
                      <w:sz w:val="18"/>
                      <w:szCs w:val="18"/>
                    </w:rPr>
                    <w:t>27</w:t>
                  </w:r>
                </w:p>
              </w:tc>
              <w:tc>
                <w:tcPr>
                  <w:tcW w:w="1261" w:type="dxa"/>
                  <w:noWrap/>
                  <w:hideMark/>
                </w:tcPr>
                <w:p w14:paraId="2E7F3C40"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DC77E8">
                    <w:rPr>
                      <w:rFonts w:asciiTheme="minorHAnsi" w:eastAsia="Times New Roman" w:hAnsiTheme="minorHAnsi" w:cstheme="minorHAnsi"/>
                      <w:color w:val="000000"/>
                      <w:sz w:val="18"/>
                      <w:szCs w:val="18"/>
                    </w:rPr>
                    <w:t>4,376</w:t>
                  </w:r>
                </w:p>
              </w:tc>
              <w:tc>
                <w:tcPr>
                  <w:tcW w:w="411" w:type="dxa"/>
                  <w:noWrap/>
                  <w:hideMark/>
                </w:tcPr>
                <w:p w14:paraId="62372E54" w14:textId="77777777" w:rsidR="0071110F" w:rsidRPr="00AE2B19"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000000"/>
                      <w:sz w:val="18"/>
                      <w:szCs w:val="18"/>
                    </w:rPr>
                  </w:pPr>
                  <w:r w:rsidRPr="00AE2B19">
                    <w:rPr>
                      <w:rFonts w:asciiTheme="minorHAnsi" w:eastAsia="Times New Roman" w:hAnsiTheme="minorHAnsi" w:cstheme="minorHAnsi"/>
                      <w:b/>
                      <w:color w:val="000000"/>
                      <w:sz w:val="18"/>
                      <w:szCs w:val="18"/>
                    </w:rPr>
                    <w:t>26</w:t>
                  </w:r>
                </w:p>
              </w:tc>
              <w:tc>
                <w:tcPr>
                  <w:tcW w:w="1133" w:type="dxa"/>
                  <w:noWrap/>
                  <w:hideMark/>
                </w:tcPr>
                <w:p w14:paraId="79F92680"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40%</w:t>
                  </w:r>
                </w:p>
              </w:tc>
            </w:tr>
          </w:tbl>
          <w:p w14:paraId="4D36AD1B" w14:textId="005F8285" w:rsidR="0071110F" w:rsidRDefault="00A07EE4" w:rsidP="00781834">
            <w:pPr>
              <w:spacing w:after="0" w:line="240" w:lineRule="auto"/>
              <w:rPr>
                <w:rFonts w:cs="Arial"/>
                <w:sz w:val="18"/>
              </w:rPr>
            </w:pPr>
            <w:r>
              <w:rPr>
                <w:rFonts w:cs="Arial"/>
                <w:sz w:val="18"/>
              </w:rPr>
              <w:t>Source: annual program reports of GF implementers.</w:t>
            </w:r>
            <w:r w:rsidRPr="009968AA">
              <w:rPr>
                <w:rFonts w:cs="Arial"/>
                <w:sz w:val="18"/>
              </w:rPr>
              <w:t xml:space="preserve"> </w:t>
            </w:r>
            <w:r w:rsidR="00AE2B19">
              <w:rPr>
                <w:rFonts w:cs="Arial"/>
                <w:sz w:val="18"/>
              </w:rPr>
              <w:t>Note in 2016 new size estimate exercise was conducted.</w:t>
            </w:r>
          </w:p>
          <w:p w14:paraId="60BF8EBD" w14:textId="77777777" w:rsidR="00A07EE4" w:rsidRDefault="00A07EE4" w:rsidP="00781834">
            <w:pPr>
              <w:spacing w:after="0" w:line="240" w:lineRule="auto"/>
              <w:rPr>
                <w:rStyle w:val="e24kjd"/>
                <w:rFonts w:asciiTheme="majorHAnsi" w:hAnsiTheme="majorHAnsi" w:cstheme="majorHAnsi"/>
                <w:b/>
                <w:sz w:val="20"/>
              </w:rPr>
            </w:pPr>
          </w:p>
          <w:p w14:paraId="459BB3C8" w14:textId="65BC94FA" w:rsidR="0071110F" w:rsidRPr="003D49A3" w:rsidRDefault="0071110F" w:rsidP="00781834">
            <w:pPr>
              <w:spacing w:after="0" w:line="240" w:lineRule="auto"/>
              <w:jc w:val="both"/>
              <w:rPr>
                <w:rStyle w:val="e24kjd"/>
                <w:rFonts w:cs="Arial"/>
                <w:sz w:val="20"/>
                <w:szCs w:val="20"/>
              </w:rPr>
            </w:pPr>
            <w:r>
              <w:rPr>
                <w:rStyle w:val="e24kjd"/>
                <w:rFonts w:asciiTheme="majorHAnsi" w:hAnsiTheme="majorHAnsi" w:cstheme="majorHAnsi"/>
                <w:b/>
                <w:sz w:val="20"/>
              </w:rPr>
              <w:t xml:space="preserve">OST program: </w:t>
            </w:r>
            <w:r w:rsidRPr="002744D3">
              <w:rPr>
                <w:rStyle w:val="e24kjd"/>
                <w:rFonts w:cs="Arial"/>
                <w:sz w:val="20"/>
                <w:szCs w:val="20"/>
              </w:rPr>
              <w:t>Opioid substitution therapy with methadone was established in Moldova in 2004</w:t>
            </w:r>
            <w:r>
              <w:rPr>
                <w:rStyle w:val="e24kjd"/>
                <w:rFonts w:cs="Arial"/>
                <w:sz w:val="20"/>
                <w:szCs w:val="20"/>
              </w:rPr>
              <w:t xml:space="preserve"> (following a pilot with buprenorphine in 2001-2003)</w:t>
            </w:r>
            <w:r w:rsidRPr="002744D3">
              <w:rPr>
                <w:rStyle w:val="e24kjd"/>
                <w:rFonts w:cs="Arial"/>
                <w:sz w:val="20"/>
                <w:szCs w:val="20"/>
              </w:rPr>
              <w:t xml:space="preserve"> and in prisons in 2005 (Right Bank only). Starting </w:t>
            </w:r>
            <w:r w:rsidR="00F03936">
              <w:rPr>
                <w:rStyle w:val="e24kjd"/>
                <w:rFonts w:cs="Arial"/>
                <w:sz w:val="20"/>
                <w:szCs w:val="20"/>
              </w:rPr>
              <w:t xml:space="preserve">in </w:t>
            </w:r>
            <w:r w:rsidRPr="002744D3">
              <w:rPr>
                <w:rStyle w:val="e24kjd"/>
                <w:rFonts w:cs="Arial"/>
                <w:sz w:val="20"/>
                <w:szCs w:val="20"/>
              </w:rPr>
              <w:t>2015, service has expanded geographically and increased coverage. From 2018 Buprenorphine</w:t>
            </w:r>
            <w:r w:rsidR="00F03936">
              <w:rPr>
                <w:rStyle w:val="e24kjd"/>
                <w:rFonts w:cs="Arial"/>
                <w:sz w:val="20"/>
                <w:szCs w:val="20"/>
              </w:rPr>
              <w:t xml:space="preserve"> based OST is available</w:t>
            </w:r>
            <w:r w:rsidRPr="002744D3">
              <w:rPr>
                <w:rStyle w:val="e24kjd"/>
                <w:rFonts w:cs="Arial"/>
                <w:sz w:val="20"/>
                <w:szCs w:val="20"/>
              </w:rPr>
              <w:t xml:space="preserve">. OST is provided through 8 sites and in 13 </w:t>
            </w:r>
            <w:r w:rsidR="00BB1365">
              <w:rPr>
                <w:rStyle w:val="e24kjd"/>
                <w:rFonts w:cs="Arial"/>
                <w:sz w:val="20"/>
                <w:szCs w:val="20"/>
              </w:rPr>
              <w:t>prisons and pretrial detention centers. T</w:t>
            </w:r>
            <w:r w:rsidRPr="002744D3">
              <w:rPr>
                <w:rStyle w:val="e24kjd"/>
                <w:rFonts w:cs="Arial"/>
                <w:sz w:val="20"/>
                <w:szCs w:val="20"/>
              </w:rPr>
              <w:t xml:space="preserve">his program has been functioning in the penitentiary institutions as well. By February 2020, a total of 522 people were in OST, including 72 in prisons, 33 </w:t>
            </w:r>
            <w:r>
              <w:rPr>
                <w:rStyle w:val="e24kjd"/>
                <w:rFonts w:cs="Arial"/>
                <w:sz w:val="20"/>
                <w:szCs w:val="20"/>
              </w:rPr>
              <w:t xml:space="preserve">on </w:t>
            </w:r>
            <w:r w:rsidRPr="002744D3">
              <w:rPr>
                <w:rStyle w:val="e24kjd"/>
                <w:rFonts w:cs="Arial"/>
                <w:sz w:val="20"/>
                <w:szCs w:val="20"/>
              </w:rPr>
              <w:t xml:space="preserve">buprenorphine. Starting with </w:t>
            </w:r>
            <w:r>
              <w:rPr>
                <w:rStyle w:val="e24kjd"/>
                <w:rFonts w:cs="Arial"/>
                <w:sz w:val="20"/>
                <w:szCs w:val="20"/>
              </w:rPr>
              <w:t>2019,</w:t>
            </w:r>
            <w:r w:rsidRPr="002744D3">
              <w:rPr>
                <w:rStyle w:val="e24kjd"/>
                <w:rFonts w:cs="Arial"/>
                <w:sz w:val="20"/>
                <w:szCs w:val="20"/>
              </w:rPr>
              <w:t xml:space="preserve"> OST fully transitioned to public funding, state budget </w:t>
            </w:r>
            <w:r>
              <w:rPr>
                <w:rStyle w:val="e24kjd"/>
                <w:rFonts w:cs="Arial"/>
                <w:sz w:val="20"/>
                <w:szCs w:val="20"/>
              </w:rPr>
              <w:t>covering cost of medicine</w:t>
            </w:r>
            <w:r w:rsidR="00BB1365">
              <w:rPr>
                <w:rStyle w:val="e24kjd"/>
                <w:rFonts w:cs="Arial"/>
                <w:sz w:val="20"/>
                <w:szCs w:val="20"/>
              </w:rPr>
              <w:t>s</w:t>
            </w:r>
            <w:r>
              <w:rPr>
                <w:rStyle w:val="e24kjd"/>
                <w:rFonts w:cs="Arial"/>
                <w:sz w:val="20"/>
                <w:szCs w:val="20"/>
              </w:rPr>
              <w:t xml:space="preserve"> (2019)</w:t>
            </w:r>
            <w:r w:rsidRPr="002744D3">
              <w:rPr>
                <w:rStyle w:val="e24kjd"/>
                <w:rFonts w:cs="Arial"/>
                <w:sz w:val="20"/>
                <w:szCs w:val="20"/>
              </w:rPr>
              <w:t>, National Health Insurance service package service</w:t>
            </w:r>
            <w:r>
              <w:rPr>
                <w:rStyle w:val="e24kjd"/>
                <w:rFonts w:cs="Arial"/>
                <w:sz w:val="20"/>
                <w:szCs w:val="20"/>
              </w:rPr>
              <w:t xml:space="preserve"> (2018)</w:t>
            </w:r>
            <w:r w:rsidRPr="002744D3">
              <w:rPr>
                <w:rStyle w:val="e24kjd"/>
                <w:rFonts w:cs="Arial"/>
                <w:sz w:val="20"/>
                <w:szCs w:val="20"/>
              </w:rPr>
              <w:t>.</w:t>
            </w:r>
            <w:r w:rsidRPr="003D49A3">
              <w:rPr>
                <w:rStyle w:val="e24kjd"/>
                <w:rFonts w:cs="Arial"/>
                <w:sz w:val="20"/>
                <w:szCs w:val="20"/>
              </w:rPr>
              <w:t xml:space="preserve"> </w:t>
            </w:r>
            <w:r w:rsidRPr="002744D3">
              <w:rPr>
                <w:rStyle w:val="e24kjd"/>
                <w:rFonts w:cs="Arial"/>
                <w:sz w:val="20"/>
                <w:szCs w:val="20"/>
              </w:rPr>
              <w:t xml:space="preserve">Non-governmental organizations </w:t>
            </w:r>
            <w:r>
              <w:rPr>
                <w:rStyle w:val="e24kjd"/>
                <w:rFonts w:cs="Arial"/>
                <w:sz w:val="20"/>
                <w:szCs w:val="20"/>
              </w:rPr>
              <w:t xml:space="preserve">provide </w:t>
            </w:r>
            <w:r w:rsidRPr="002744D3">
              <w:rPr>
                <w:rStyle w:val="e24kjd"/>
                <w:rFonts w:cs="Arial"/>
                <w:sz w:val="20"/>
                <w:szCs w:val="20"/>
              </w:rPr>
              <w:t>psychosocial support</w:t>
            </w:r>
            <w:r>
              <w:rPr>
                <w:rStyle w:val="e24kjd"/>
                <w:rFonts w:cs="Arial"/>
                <w:sz w:val="20"/>
                <w:szCs w:val="20"/>
              </w:rPr>
              <w:t xml:space="preserve"> </w:t>
            </w:r>
            <w:r w:rsidR="00BB1365">
              <w:rPr>
                <w:rStyle w:val="e24kjd"/>
                <w:rFonts w:cs="Arial"/>
                <w:sz w:val="20"/>
                <w:szCs w:val="20"/>
              </w:rPr>
              <w:t>(</w:t>
            </w:r>
            <w:r>
              <w:rPr>
                <w:rStyle w:val="e24kjd"/>
                <w:rFonts w:cs="Arial"/>
                <w:sz w:val="20"/>
                <w:szCs w:val="20"/>
              </w:rPr>
              <w:t>GF grant</w:t>
            </w:r>
            <w:r w:rsidR="00BB1365">
              <w:rPr>
                <w:rStyle w:val="e24kjd"/>
                <w:rFonts w:cs="Arial"/>
                <w:sz w:val="20"/>
                <w:szCs w:val="20"/>
              </w:rPr>
              <w:t>)</w:t>
            </w:r>
            <w:r w:rsidRPr="002744D3">
              <w:rPr>
                <w:rStyle w:val="e24kjd"/>
                <w:rFonts w:cs="Arial"/>
                <w:sz w:val="20"/>
                <w:szCs w:val="20"/>
              </w:rPr>
              <w:t>.</w:t>
            </w:r>
            <w:r>
              <w:rPr>
                <w:rStyle w:val="e24kjd"/>
                <w:rFonts w:cs="Arial"/>
                <w:sz w:val="20"/>
                <w:szCs w:val="20"/>
              </w:rPr>
              <w:t xml:space="preserve"> </w:t>
            </w:r>
          </w:p>
          <w:p w14:paraId="014CEABC" w14:textId="77777777" w:rsidR="0071110F" w:rsidRDefault="0071110F" w:rsidP="00781834">
            <w:pPr>
              <w:spacing w:after="0" w:line="240" w:lineRule="auto"/>
              <w:rPr>
                <w:rStyle w:val="e24kjd"/>
                <w:rFonts w:asciiTheme="majorHAnsi" w:hAnsiTheme="majorHAnsi" w:cstheme="majorHAnsi"/>
                <w:b/>
                <w:sz w:val="20"/>
              </w:rPr>
            </w:pPr>
          </w:p>
          <w:p w14:paraId="7ED5D10F" w14:textId="5794E0F5" w:rsidR="0071110F" w:rsidRDefault="0071110F" w:rsidP="00781834">
            <w:pPr>
              <w:spacing w:after="0" w:line="240" w:lineRule="auto"/>
              <w:jc w:val="both"/>
              <w:rPr>
                <w:rStyle w:val="e24kjd"/>
                <w:rFonts w:cs="Arial"/>
                <w:sz w:val="20"/>
                <w:szCs w:val="20"/>
              </w:rPr>
            </w:pPr>
            <w:r>
              <w:rPr>
                <w:rStyle w:val="e24kjd"/>
                <w:rFonts w:asciiTheme="majorHAnsi" w:hAnsiTheme="majorHAnsi" w:cstheme="majorHAnsi"/>
                <w:b/>
                <w:sz w:val="20"/>
              </w:rPr>
              <w:t xml:space="preserve">PrEP: </w:t>
            </w:r>
            <w:r w:rsidRPr="00273BE7">
              <w:rPr>
                <w:rStyle w:val="e24kjd"/>
                <w:rFonts w:cs="Arial"/>
                <w:sz w:val="20"/>
                <w:szCs w:val="20"/>
              </w:rPr>
              <w:t xml:space="preserve">starting </w:t>
            </w:r>
            <w:r>
              <w:rPr>
                <w:rStyle w:val="e24kjd"/>
                <w:rFonts w:cs="Arial"/>
                <w:sz w:val="20"/>
                <w:szCs w:val="20"/>
              </w:rPr>
              <w:t xml:space="preserve">in </w:t>
            </w:r>
            <w:r w:rsidR="00AE2B19">
              <w:rPr>
                <w:rStyle w:val="e24kjd"/>
                <w:rFonts w:cs="Arial"/>
                <w:sz w:val="20"/>
                <w:szCs w:val="20"/>
              </w:rPr>
              <w:t>2019 a</w:t>
            </w:r>
            <w:r w:rsidRPr="00273BE7">
              <w:rPr>
                <w:rStyle w:val="e24kjd"/>
                <w:rFonts w:cs="Arial"/>
                <w:sz w:val="20"/>
                <w:szCs w:val="20"/>
              </w:rPr>
              <w:t xml:space="preserve"> </w:t>
            </w:r>
            <w:r>
              <w:rPr>
                <w:rStyle w:val="e24kjd"/>
                <w:rFonts w:cs="Arial"/>
                <w:sz w:val="20"/>
                <w:szCs w:val="20"/>
              </w:rPr>
              <w:t>community</w:t>
            </w:r>
            <w:r w:rsidRPr="00273BE7">
              <w:rPr>
                <w:rStyle w:val="e24kjd"/>
                <w:rFonts w:cs="Arial"/>
                <w:sz w:val="20"/>
                <w:szCs w:val="20"/>
              </w:rPr>
              <w:t xml:space="preserve">-based PrEP program </w:t>
            </w:r>
            <w:r>
              <w:rPr>
                <w:rStyle w:val="e24kjd"/>
                <w:rFonts w:cs="Arial"/>
                <w:sz w:val="20"/>
                <w:szCs w:val="20"/>
              </w:rPr>
              <w:t>has been introduced</w:t>
            </w:r>
            <w:r w:rsidRPr="00273BE7">
              <w:rPr>
                <w:rStyle w:val="e24kjd"/>
                <w:rFonts w:cs="Arial"/>
                <w:sz w:val="20"/>
                <w:szCs w:val="20"/>
              </w:rPr>
              <w:t xml:space="preserve"> intending to cover all key populations</w:t>
            </w:r>
            <w:r>
              <w:rPr>
                <w:rStyle w:val="e24kjd"/>
                <w:rFonts w:cs="Arial"/>
                <w:sz w:val="20"/>
                <w:szCs w:val="20"/>
              </w:rPr>
              <w:t xml:space="preserve">. </w:t>
            </w:r>
            <w:r w:rsidR="00AE2B19">
              <w:rPr>
                <w:rStyle w:val="e24kjd"/>
                <w:rFonts w:cs="Arial"/>
                <w:sz w:val="20"/>
                <w:szCs w:val="20"/>
              </w:rPr>
              <w:t>1</w:t>
            </w:r>
            <w:r w:rsidRPr="00AE2B19">
              <w:rPr>
                <w:rStyle w:val="e24kjd"/>
                <w:rFonts w:cs="Arial"/>
                <w:sz w:val="20"/>
                <w:szCs w:val="20"/>
                <w:vertAlign w:val="superscript"/>
              </w:rPr>
              <w:t>st</w:t>
            </w:r>
            <w:r w:rsidR="00AE2B19">
              <w:rPr>
                <w:rStyle w:val="e24kjd"/>
                <w:rFonts w:cs="Arial"/>
                <w:sz w:val="20"/>
                <w:szCs w:val="20"/>
              </w:rPr>
              <w:t xml:space="preserve"> </w:t>
            </w:r>
            <w:r>
              <w:rPr>
                <w:rStyle w:val="e24kjd"/>
                <w:rFonts w:cs="Arial"/>
                <w:sz w:val="20"/>
                <w:szCs w:val="20"/>
              </w:rPr>
              <w:t xml:space="preserve">phase included </w:t>
            </w:r>
            <w:r w:rsidRPr="00273BE7">
              <w:rPr>
                <w:rStyle w:val="e24kjd"/>
                <w:rFonts w:cs="Arial"/>
                <w:sz w:val="20"/>
                <w:szCs w:val="20"/>
              </w:rPr>
              <w:t xml:space="preserve">a PrEP protocol and </w:t>
            </w:r>
            <w:r w:rsidR="00AE2B19">
              <w:rPr>
                <w:rStyle w:val="e24kjd"/>
                <w:rFonts w:cs="Arial"/>
                <w:sz w:val="20"/>
                <w:szCs w:val="20"/>
              </w:rPr>
              <w:t xml:space="preserve">preparatory work. </w:t>
            </w:r>
            <w:r w:rsidRPr="00273BE7">
              <w:rPr>
                <w:rStyle w:val="e24kjd"/>
                <w:rFonts w:cs="Arial"/>
                <w:sz w:val="20"/>
                <w:szCs w:val="20"/>
              </w:rPr>
              <w:t>NGO staff training on community-based PrEP.</w:t>
            </w:r>
            <w:r w:rsidR="00F03936">
              <w:rPr>
                <w:rStyle w:val="e24kjd"/>
                <w:rFonts w:cs="Arial"/>
                <w:sz w:val="20"/>
                <w:szCs w:val="20"/>
              </w:rPr>
              <w:t xml:space="preserve"> </w:t>
            </w:r>
            <w:r>
              <w:rPr>
                <w:rStyle w:val="e24kjd"/>
                <w:rFonts w:cs="Arial"/>
                <w:sz w:val="20"/>
                <w:szCs w:val="20"/>
              </w:rPr>
              <w:t xml:space="preserve">So far </w:t>
            </w:r>
            <w:r w:rsidR="00BB1365">
              <w:rPr>
                <w:rStyle w:val="e24kjd"/>
                <w:rFonts w:cs="Arial"/>
                <w:sz w:val="20"/>
                <w:szCs w:val="20"/>
              </w:rPr>
              <w:t>125</w:t>
            </w:r>
            <w:r w:rsidRPr="00273BE7">
              <w:rPr>
                <w:rStyle w:val="e24kjd"/>
                <w:rFonts w:cs="Arial"/>
                <w:sz w:val="20"/>
                <w:szCs w:val="20"/>
              </w:rPr>
              <w:t xml:space="preserve"> persons</w:t>
            </w:r>
            <w:r>
              <w:rPr>
                <w:rStyle w:val="e24kjd"/>
                <w:rFonts w:cs="Arial"/>
                <w:sz w:val="20"/>
                <w:szCs w:val="20"/>
              </w:rPr>
              <w:t xml:space="preserve"> were enrolled, of them 78% </w:t>
            </w:r>
            <w:r w:rsidRPr="00273BE7">
              <w:rPr>
                <w:rStyle w:val="e24kjd"/>
                <w:rFonts w:cs="Arial"/>
                <w:sz w:val="20"/>
                <w:szCs w:val="20"/>
              </w:rPr>
              <w:t>MSM and 22</w:t>
            </w:r>
            <w:r>
              <w:rPr>
                <w:rStyle w:val="e24kjd"/>
                <w:rFonts w:cs="Arial"/>
                <w:sz w:val="20"/>
                <w:szCs w:val="20"/>
              </w:rPr>
              <w:t>%</w:t>
            </w:r>
            <w:r w:rsidRPr="00273BE7">
              <w:rPr>
                <w:rStyle w:val="e24kjd"/>
                <w:rFonts w:cs="Arial"/>
                <w:sz w:val="20"/>
                <w:szCs w:val="20"/>
              </w:rPr>
              <w:t xml:space="preserve"> </w:t>
            </w:r>
            <w:r>
              <w:rPr>
                <w:rStyle w:val="e24kjd"/>
                <w:rFonts w:cs="Arial"/>
                <w:sz w:val="20"/>
                <w:szCs w:val="20"/>
              </w:rPr>
              <w:t>other</w:t>
            </w:r>
            <w:r w:rsidRPr="00273BE7">
              <w:rPr>
                <w:rStyle w:val="e24kjd"/>
                <w:rFonts w:cs="Arial"/>
                <w:sz w:val="20"/>
                <w:szCs w:val="20"/>
              </w:rPr>
              <w:t xml:space="preserve"> </w:t>
            </w:r>
            <w:r>
              <w:rPr>
                <w:rStyle w:val="e24kjd"/>
                <w:rFonts w:cs="Arial"/>
                <w:sz w:val="20"/>
                <w:szCs w:val="20"/>
              </w:rPr>
              <w:t>KPs</w:t>
            </w:r>
            <w:r w:rsidRPr="00273BE7">
              <w:rPr>
                <w:rStyle w:val="e24kjd"/>
                <w:rFonts w:cs="Arial"/>
                <w:sz w:val="20"/>
                <w:szCs w:val="20"/>
              </w:rPr>
              <w:t xml:space="preserve">. </w:t>
            </w:r>
          </w:p>
          <w:p w14:paraId="50A68A57" w14:textId="77777777" w:rsidR="006D0D17" w:rsidRPr="003D49A3" w:rsidRDefault="006D0D17" w:rsidP="00781834">
            <w:pPr>
              <w:spacing w:after="0" w:line="240" w:lineRule="auto"/>
              <w:jc w:val="both"/>
              <w:rPr>
                <w:rStyle w:val="e24kjd"/>
                <w:rFonts w:cs="Arial"/>
                <w:b/>
                <w:sz w:val="20"/>
                <w:szCs w:val="20"/>
              </w:rPr>
            </w:pPr>
          </w:p>
          <w:p w14:paraId="69330347" w14:textId="15887A59" w:rsidR="0071110F" w:rsidRDefault="0071110F" w:rsidP="00781834">
            <w:pPr>
              <w:spacing w:after="0" w:line="240" w:lineRule="auto"/>
              <w:jc w:val="both"/>
              <w:rPr>
                <w:rFonts w:cs="Arial"/>
                <w:sz w:val="20"/>
                <w:szCs w:val="20"/>
              </w:rPr>
            </w:pPr>
            <w:r w:rsidRPr="00323C2D">
              <w:rPr>
                <w:rFonts w:cs="Arial"/>
                <w:b/>
                <w:sz w:val="20"/>
                <w:szCs w:val="20"/>
              </w:rPr>
              <w:t xml:space="preserve">Progress towards </w:t>
            </w:r>
            <w:r w:rsidRPr="00EB52B1">
              <w:rPr>
                <w:rFonts w:cs="Arial"/>
                <w:b/>
                <w:sz w:val="20"/>
                <w:szCs w:val="20"/>
              </w:rPr>
              <w:t>eMTCT</w:t>
            </w:r>
            <w:r w:rsidRPr="00EB52B1">
              <w:rPr>
                <w:rFonts w:cs="Arial"/>
                <w:sz w:val="20"/>
                <w:szCs w:val="20"/>
              </w:rPr>
              <w:t>:</w:t>
            </w:r>
            <w:r>
              <w:rPr>
                <w:rFonts w:cs="Arial"/>
                <w:sz w:val="20"/>
                <w:szCs w:val="20"/>
              </w:rPr>
              <w:t xml:space="preserve"> Sustained efforts in PMTCT across all four prongs are supported by public funding and the PMTCT is fully integrated with RMNCH services. </w:t>
            </w:r>
            <w:r w:rsidRPr="00323C2D">
              <w:rPr>
                <w:rFonts w:cs="Arial"/>
                <w:sz w:val="20"/>
                <w:szCs w:val="20"/>
              </w:rPr>
              <w:t>Moldova adopted B+ as p</w:t>
            </w:r>
            <w:r>
              <w:rPr>
                <w:rFonts w:cs="Arial"/>
                <w:sz w:val="20"/>
                <w:szCs w:val="20"/>
              </w:rPr>
              <w:t>art of its national protocol since 2014. M</w:t>
            </w:r>
            <w:r w:rsidRPr="00323C2D">
              <w:rPr>
                <w:rFonts w:cs="Arial"/>
                <w:sz w:val="20"/>
                <w:szCs w:val="20"/>
              </w:rPr>
              <w:t xml:space="preserve">edical staff involved in measures to prevent HIV transmission from mother to child </w:t>
            </w:r>
            <w:r>
              <w:rPr>
                <w:rFonts w:cs="Arial"/>
                <w:sz w:val="20"/>
                <w:szCs w:val="20"/>
              </w:rPr>
              <w:t xml:space="preserve">were </w:t>
            </w:r>
            <w:r w:rsidRPr="00323C2D">
              <w:rPr>
                <w:rFonts w:cs="Arial"/>
                <w:sz w:val="20"/>
                <w:szCs w:val="20"/>
              </w:rPr>
              <w:t>trained</w:t>
            </w:r>
            <w:r>
              <w:rPr>
                <w:rFonts w:cs="Arial"/>
                <w:sz w:val="20"/>
                <w:szCs w:val="20"/>
              </w:rPr>
              <w:t xml:space="preserve"> at all levels (</w:t>
            </w:r>
            <w:r w:rsidRPr="00EB52B1">
              <w:rPr>
                <w:rFonts w:cs="Arial"/>
                <w:sz w:val="20"/>
                <w:szCs w:val="20"/>
              </w:rPr>
              <w:t xml:space="preserve">level 1 maternities, level 2 maternities, reproductive health clinics, primary care, </w:t>
            </w:r>
            <w:r>
              <w:rPr>
                <w:rFonts w:cs="Arial"/>
                <w:sz w:val="20"/>
                <w:szCs w:val="20"/>
              </w:rPr>
              <w:t xml:space="preserve">district level </w:t>
            </w:r>
            <w:r w:rsidRPr="00EB52B1">
              <w:rPr>
                <w:rFonts w:cs="Arial"/>
                <w:sz w:val="20"/>
                <w:szCs w:val="20"/>
              </w:rPr>
              <w:t>infectio</w:t>
            </w:r>
            <w:r>
              <w:rPr>
                <w:rFonts w:cs="Arial"/>
                <w:sz w:val="20"/>
                <w:szCs w:val="20"/>
              </w:rPr>
              <w:t>us diseases</w:t>
            </w:r>
            <w:r w:rsidRPr="00EB52B1">
              <w:rPr>
                <w:rFonts w:cs="Arial"/>
                <w:sz w:val="20"/>
                <w:szCs w:val="20"/>
              </w:rPr>
              <w:t xml:space="preserve"> physicians</w:t>
            </w:r>
            <w:r>
              <w:rPr>
                <w:rFonts w:cs="Arial"/>
                <w:sz w:val="20"/>
                <w:szCs w:val="20"/>
              </w:rPr>
              <w:t xml:space="preserve"> and from ART </w:t>
            </w:r>
            <w:r w:rsidRPr="00EB52B1">
              <w:rPr>
                <w:rFonts w:cs="Arial"/>
                <w:sz w:val="20"/>
                <w:szCs w:val="20"/>
              </w:rPr>
              <w:t>centers</w:t>
            </w:r>
            <w:r>
              <w:rPr>
                <w:rFonts w:cs="Arial"/>
                <w:sz w:val="20"/>
                <w:szCs w:val="20"/>
              </w:rPr>
              <w:t>). A</w:t>
            </w:r>
            <w:r w:rsidRPr="00323C2D">
              <w:rPr>
                <w:rFonts w:cs="Arial"/>
                <w:sz w:val="20"/>
                <w:szCs w:val="20"/>
              </w:rPr>
              <w:t>ll medical institutions are equipped with HIV tests, maternity hospitals are equipped with rapid tests and ARV drugs, all newborns of mothers with HIV are provided with milk formulas</w:t>
            </w:r>
            <w:r>
              <w:rPr>
                <w:rFonts w:cs="Arial"/>
                <w:sz w:val="20"/>
                <w:szCs w:val="20"/>
              </w:rPr>
              <w:t xml:space="preserve">. </w:t>
            </w:r>
            <w:r w:rsidRPr="00323C2D">
              <w:rPr>
                <w:rFonts w:cs="Arial"/>
                <w:sz w:val="20"/>
                <w:szCs w:val="20"/>
              </w:rPr>
              <w:t>HIV testing in pregnant women reached 9</w:t>
            </w:r>
            <w:r>
              <w:rPr>
                <w:rFonts w:cs="Arial"/>
                <w:sz w:val="20"/>
                <w:szCs w:val="20"/>
              </w:rPr>
              <w:t>9</w:t>
            </w:r>
            <w:r w:rsidRPr="00323C2D">
              <w:rPr>
                <w:rFonts w:cs="Arial"/>
                <w:sz w:val="20"/>
                <w:szCs w:val="20"/>
              </w:rPr>
              <w:t>.</w:t>
            </w:r>
            <w:r>
              <w:rPr>
                <w:rFonts w:cs="Arial"/>
                <w:sz w:val="20"/>
                <w:szCs w:val="20"/>
              </w:rPr>
              <w:t>8</w:t>
            </w:r>
            <w:r w:rsidRPr="00323C2D">
              <w:rPr>
                <w:rFonts w:cs="Arial"/>
                <w:sz w:val="20"/>
                <w:szCs w:val="20"/>
              </w:rPr>
              <w:t xml:space="preserve">% in 2019 </w:t>
            </w:r>
            <w:r>
              <w:rPr>
                <w:rFonts w:cs="Arial"/>
                <w:sz w:val="20"/>
                <w:szCs w:val="20"/>
              </w:rPr>
              <w:t xml:space="preserve">(identifying 54 new HIV cases in ANC, overall 208 women) </w:t>
            </w:r>
            <w:r w:rsidRPr="00323C2D">
              <w:rPr>
                <w:rFonts w:cs="Arial"/>
                <w:sz w:val="20"/>
                <w:szCs w:val="20"/>
              </w:rPr>
              <w:t>and ART coverage in pregnant women was 95.7</w:t>
            </w:r>
            <w:r>
              <w:rPr>
                <w:rFonts w:cs="Arial"/>
                <w:sz w:val="20"/>
                <w:szCs w:val="20"/>
              </w:rPr>
              <w:t>%. Early infant diagnosis is implemented in first 48 hours and 6 weeks, with 97% coverage. T</w:t>
            </w:r>
            <w:r w:rsidRPr="00323C2D">
              <w:rPr>
                <w:rFonts w:cs="Arial"/>
                <w:sz w:val="20"/>
                <w:szCs w:val="20"/>
              </w:rPr>
              <w:t>he rate of mother-to-child trans</w:t>
            </w:r>
            <w:r>
              <w:rPr>
                <w:rFonts w:cs="Arial"/>
                <w:sz w:val="20"/>
                <w:szCs w:val="20"/>
              </w:rPr>
              <w:t>mission of HIV (</w:t>
            </w:r>
            <w:r w:rsidRPr="00EB52B1">
              <w:rPr>
                <w:rFonts w:cs="Arial"/>
                <w:sz w:val="20"/>
                <w:szCs w:val="20"/>
              </w:rPr>
              <w:t>MTCT</w:t>
            </w:r>
            <w:r>
              <w:rPr>
                <w:rFonts w:cs="Arial"/>
                <w:sz w:val="20"/>
                <w:szCs w:val="20"/>
              </w:rPr>
              <w:t>)</w:t>
            </w:r>
            <w:r w:rsidRPr="00EB52B1">
              <w:rPr>
                <w:rFonts w:cs="Arial"/>
                <w:sz w:val="20"/>
                <w:szCs w:val="20"/>
              </w:rPr>
              <w:t xml:space="preserve"> rate varies due to small numbers: 5.2% in 2015, 2.5% in 2016, 1.4% in 2017 and 2.6</w:t>
            </w:r>
            <w:r>
              <w:rPr>
                <w:rFonts w:cs="Arial"/>
                <w:sz w:val="20"/>
                <w:szCs w:val="20"/>
              </w:rPr>
              <w:t>%</w:t>
            </w:r>
            <w:r w:rsidRPr="00EB52B1">
              <w:rPr>
                <w:rFonts w:cs="Arial"/>
                <w:sz w:val="20"/>
                <w:szCs w:val="20"/>
              </w:rPr>
              <w:t xml:space="preserve"> in 2018 2018</w:t>
            </w:r>
            <w:r>
              <w:rPr>
                <w:rFonts w:cs="Arial"/>
                <w:sz w:val="20"/>
                <w:szCs w:val="20"/>
              </w:rPr>
              <w:t xml:space="preserve">. </w:t>
            </w:r>
            <w:r w:rsidR="00BB1365">
              <w:rPr>
                <w:rFonts w:cs="Arial"/>
                <w:sz w:val="20"/>
                <w:szCs w:val="20"/>
              </w:rPr>
              <w:t>I</w:t>
            </w:r>
            <w:r>
              <w:rPr>
                <w:rFonts w:cs="Arial"/>
                <w:sz w:val="20"/>
                <w:szCs w:val="20"/>
              </w:rPr>
              <w:t xml:space="preserve">n 2019 </w:t>
            </w:r>
            <w:r w:rsidR="00BB1365">
              <w:rPr>
                <w:rFonts w:cs="Arial"/>
                <w:sz w:val="20"/>
                <w:szCs w:val="20"/>
              </w:rPr>
              <w:t xml:space="preserve">MTCT </w:t>
            </w:r>
            <w:r>
              <w:rPr>
                <w:rFonts w:cs="Arial"/>
                <w:sz w:val="20"/>
                <w:szCs w:val="20"/>
              </w:rPr>
              <w:t xml:space="preserve">was 4.8%, </w:t>
            </w:r>
            <w:r w:rsidRPr="00323C2D">
              <w:rPr>
                <w:rFonts w:cs="Arial"/>
                <w:sz w:val="20"/>
                <w:szCs w:val="20"/>
              </w:rPr>
              <w:t>causes</w:t>
            </w:r>
            <w:r>
              <w:rPr>
                <w:rFonts w:cs="Arial"/>
                <w:sz w:val="20"/>
                <w:szCs w:val="20"/>
              </w:rPr>
              <w:t xml:space="preserve"> are related to social vulnerabilities of mothers and inefficient engagement of PHC, leading to p</w:t>
            </w:r>
            <w:r w:rsidR="00BB1365">
              <w:rPr>
                <w:rFonts w:cs="Arial"/>
                <w:sz w:val="20"/>
                <w:szCs w:val="20"/>
              </w:rPr>
              <w:t>ostpartum ART interruption and challenges in</w:t>
            </w:r>
            <w:r>
              <w:rPr>
                <w:rFonts w:cs="Arial"/>
                <w:sz w:val="20"/>
                <w:szCs w:val="20"/>
              </w:rPr>
              <w:t xml:space="preserve"> tracking of most vulnerable mother-ba</w:t>
            </w:r>
            <w:r w:rsidR="00BB1365">
              <w:rPr>
                <w:rFonts w:cs="Arial"/>
                <w:sz w:val="20"/>
                <w:szCs w:val="20"/>
              </w:rPr>
              <w:t>b</w:t>
            </w:r>
            <w:r>
              <w:rPr>
                <w:rFonts w:cs="Arial"/>
                <w:sz w:val="20"/>
                <w:szCs w:val="20"/>
              </w:rPr>
              <w:t xml:space="preserve">y pair. </w:t>
            </w:r>
            <w:r w:rsidR="0083536E">
              <w:rPr>
                <w:rFonts w:cs="Arial"/>
                <w:sz w:val="20"/>
                <w:szCs w:val="20"/>
              </w:rPr>
              <w:t xml:space="preserve"> </w:t>
            </w:r>
            <w:r>
              <w:rPr>
                <w:rFonts w:cs="Arial"/>
                <w:sz w:val="20"/>
                <w:szCs w:val="20"/>
              </w:rPr>
              <w:t xml:space="preserve">Last mile efforts are needed to achieve EMTCT. Moldova has received syphilis elimination status and maintained it. </w:t>
            </w:r>
            <w:r w:rsidRPr="00323C2D">
              <w:rPr>
                <w:rFonts w:cs="Arial"/>
                <w:sz w:val="20"/>
                <w:szCs w:val="20"/>
              </w:rPr>
              <w:t>In order to validate the elimination of mother-to-child transmission of HIV, in 2018 the national clinical protocol was updated in accordance with WHO recommendations</w:t>
            </w:r>
            <w:r>
              <w:rPr>
                <w:rFonts w:cs="Arial"/>
                <w:sz w:val="20"/>
                <w:szCs w:val="20"/>
              </w:rPr>
              <w:t xml:space="preserve">. </w:t>
            </w:r>
            <w:r w:rsidRPr="001119FE">
              <w:rPr>
                <w:rFonts w:cs="Arial"/>
                <w:sz w:val="20"/>
                <w:szCs w:val="20"/>
              </w:rPr>
              <w:t>To progress in reducing the number of new HIV infection cases</w:t>
            </w:r>
            <w:r>
              <w:rPr>
                <w:rFonts w:cs="Arial"/>
                <w:sz w:val="20"/>
                <w:szCs w:val="20"/>
              </w:rPr>
              <w:t xml:space="preserve"> among children, an</w:t>
            </w:r>
            <w:r w:rsidRPr="001119FE">
              <w:rPr>
                <w:rFonts w:cs="Arial"/>
                <w:sz w:val="20"/>
                <w:szCs w:val="20"/>
              </w:rPr>
              <w:t xml:space="preserve"> analysis of all cases of mother-to-child transmission of HIV registered during 2016-2018</w:t>
            </w:r>
            <w:r>
              <w:rPr>
                <w:rFonts w:cs="Arial"/>
                <w:sz w:val="20"/>
                <w:szCs w:val="20"/>
              </w:rPr>
              <w:t xml:space="preserve"> lead to recommendations, the need in staff capacity building, and work directed</w:t>
            </w:r>
            <w:r w:rsidR="00A63F2F">
              <w:rPr>
                <w:rFonts w:cs="Arial"/>
                <w:sz w:val="20"/>
                <w:szCs w:val="20"/>
              </w:rPr>
              <w:t xml:space="preserve"> in ensuring postpartum mother-infant</w:t>
            </w:r>
            <w:r>
              <w:rPr>
                <w:rFonts w:cs="Arial"/>
                <w:sz w:val="20"/>
                <w:szCs w:val="20"/>
              </w:rPr>
              <w:t xml:space="preserve"> tracking and follow up. </w:t>
            </w:r>
            <w:r w:rsidRPr="00EB52B1">
              <w:rPr>
                <w:rFonts w:cs="Arial"/>
                <w:sz w:val="20"/>
                <w:szCs w:val="20"/>
              </w:rPr>
              <w:t>A national evaluation report Elimination of Mother to Child Transmission of HIV.</w:t>
            </w:r>
            <w:r>
              <w:rPr>
                <w:rFonts w:cs="Arial"/>
                <w:sz w:val="20"/>
                <w:szCs w:val="20"/>
              </w:rPr>
              <w:t xml:space="preserve"> </w:t>
            </w:r>
            <w:r w:rsidRPr="00F35F01">
              <w:rPr>
                <w:rFonts w:cs="Arial"/>
                <w:sz w:val="20"/>
                <w:szCs w:val="20"/>
              </w:rPr>
              <w:t>(Annex</w:t>
            </w:r>
            <w:r w:rsidR="00F35F01" w:rsidRPr="00F35F01">
              <w:rPr>
                <w:rFonts w:cs="Arial"/>
                <w:sz w:val="20"/>
                <w:szCs w:val="20"/>
              </w:rPr>
              <w:t xml:space="preserve"> 13.  EMTCT revalidation report 2020)</w:t>
            </w:r>
            <w:r>
              <w:rPr>
                <w:rFonts w:cs="Arial"/>
                <w:sz w:val="20"/>
                <w:szCs w:val="20"/>
              </w:rPr>
              <w:t xml:space="preserve"> </w:t>
            </w:r>
          </w:p>
          <w:p w14:paraId="6511ACFB" w14:textId="77777777" w:rsidR="0071110F" w:rsidRPr="00323C2D" w:rsidRDefault="0071110F" w:rsidP="00781834">
            <w:pPr>
              <w:spacing w:after="0" w:line="240" w:lineRule="auto"/>
              <w:jc w:val="both"/>
              <w:rPr>
                <w:rFonts w:cs="Arial"/>
                <w:sz w:val="20"/>
                <w:szCs w:val="20"/>
              </w:rPr>
            </w:pPr>
          </w:p>
          <w:p w14:paraId="7226127D" w14:textId="46EBBC25" w:rsidR="0071110F" w:rsidRPr="00F251C1" w:rsidRDefault="0071110F" w:rsidP="00500EA7">
            <w:pPr>
              <w:pStyle w:val="Default"/>
              <w:jc w:val="both"/>
              <w:rPr>
                <w:rStyle w:val="e24kjd"/>
                <w:sz w:val="20"/>
                <w:szCs w:val="20"/>
              </w:rPr>
            </w:pPr>
            <w:r w:rsidRPr="00246379">
              <w:rPr>
                <w:rFonts w:asciiTheme="majorHAnsi" w:hAnsiTheme="majorHAnsi" w:cstheme="majorHAnsi"/>
                <w:b/>
                <w:sz w:val="20"/>
              </w:rPr>
              <w:lastRenderedPageBreak/>
              <w:t>Progress towards achieving 90-90-90 goals</w:t>
            </w:r>
            <w:r w:rsidRPr="00246379">
              <w:rPr>
                <w:rFonts w:asciiTheme="majorHAnsi" w:hAnsiTheme="majorHAnsi" w:cstheme="majorHAnsi"/>
                <w:sz w:val="20"/>
              </w:rPr>
              <w:t xml:space="preserve">: the HIV testing and treatment cascade for Moldova demonstrates progress towards attainment of global and regional 90-90-90 targets in this funding cycle, reaching 64-71-84 in 2019 compared to a much lower baseline of 52-53-69 in 2015. By January 2020, there were 9,407 people living with HIV who knew their status, 8,234 were enrolled in care, 6,690 were on ART </w:t>
            </w:r>
            <w:r>
              <w:rPr>
                <w:rFonts w:asciiTheme="majorHAnsi" w:hAnsiTheme="majorHAnsi" w:cstheme="majorHAnsi"/>
                <w:sz w:val="20"/>
              </w:rPr>
              <w:t xml:space="preserve">at the end of reporting period </w:t>
            </w:r>
            <w:r w:rsidRPr="00246379">
              <w:rPr>
                <w:rFonts w:asciiTheme="majorHAnsi" w:hAnsiTheme="majorHAnsi" w:cstheme="majorHAnsi"/>
                <w:sz w:val="20"/>
              </w:rPr>
              <w:t xml:space="preserve">and 5,602 had viral suppression. </w:t>
            </w:r>
            <w:r>
              <w:rPr>
                <w:rStyle w:val="e24kjd"/>
                <w:sz w:val="20"/>
                <w:szCs w:val="20"/>
              </w:rPr>
              <w:t xml:space="preserve">As of January </w:t>
            </w:r>
            <w:r w:rsidRPr="00F251C1">
              <w:rPr>
                <w:rStyle w:val="e24kjd"/>
                <w:sz w:val="20"/>
                <w:szCs w:val="20"/>
              </w:rPr>
              <w:t xml:space="preserve">2020, 81 children under 10 years </w:t>
            </w:r>
            <w:r>
              <w:rPr>
                <w:rStyle w:val="e24kjd"/>
                <w:sz w:val="20"/>
                <w:szCs w:val="20"/>
              </w:rPr>
              <w:t>were on ART mostly on LPV/r-based schemes (</w:t>
            </w:r>
            <w:r w:rsidRPr="00F251C1">
              <w:rPr>
                <w:rStyle w:val="e24kjd"/>
                <w:sz w:val="20"/>
                <w:szCs w:val="20"/>
              </w:rPr>
              <w:t>84%,</w:t>
            </w:r>
            <w:r w:rsidR="0046043E">
              <w:rPr>
                <w:rStyle w:val="e24kjd"/>
                <w:sz w:val="20"/>
                <w:szCs w:val="20"/>
              </w:rPr>
              <w:t xml:space="preserve">) a few on EFV-based </w:t>
            </w:r>
            <w:r w:rsidR="0066560C">
              <w:rPr>
                <w:rStyle w:val="e24kjd"/>
                <w:sz w:val="20"/>
                <w:szCs w:val="20"/>
              </w:rPr>
              <w:t>regimens</w:t>
            </w:r>
            <w:r w:rsidR="0046043E">
              <w:rPr>
                <w:rStyle w:val="e24kjd"/>
                <w:sz w:val="20"/>
                <w:szCs w:val="20"/>
              </w:rPr>
              <w:t xml:space="preserve"> </w:t>
            </w:r>
            <w:r>
              <w:rPr>
                <w:rStyle w:val="e24kjd"/>
                <w:sz w:val="20"/>
                <w:szCs w:val="20"/>
              </w:rPr>
              <w:t>(</w:t>
            </w:r>
            <w:r w:rsidRPr="00F251C1">
              <w:rPr>
                <w:rStyle w:val="e24kjd"/>
                <w:sz w:val="20"/>
                <w:szCs w:val="20"/>
              </w:rPr>
              <w:t>16%</w:t>
            </w:r>
            <w:r>
              <w:rPr>
                <w:rStyle w:val="e24kjd"/>
                <w:sz w:val="20"/>
                <w:szCs w:val="20"/>
              </w:rPr>
              <w:t>)</w:t>
            </w:r>
            <w:r w:rsidRPr="00F251C1">
              <w:rPr>
                <w:rStyle w:val="e24kjd"/>
                <w:sz w:val="20"/>
                <w:szCs w:val="20"/>
              </w:rPr>
              <w:t xml:space="preserve"> are on EFV treatment schemes</w:t>
            </w:r>
            <w:r w:rsidR="0046043E">
              <w:rPr>
                <w:rStyle w:val="e24kjd"/>
                <w:sz w:val="20"/>
                <w:szCs w:val="20"/>
              </w:rPr>
              <w:t>.</w:t>
            </w:r>
          </w:p>
          <w:p w14:paraId="39A04889" w14:textId="77777777" w:rsidR="0071110F" w:rsidRDefault="0071110F" w:rsidP="00781834">
            <w:pPr>
              <w:spacing w:after="0" w:line="240" w:lineRule="auto"/>
              <w:jc w:val="both"/>
              <w:rPr>
                <w:rFonts w:asciiTheme="majorHAnsi" w:hAnsiTheme="majorHAnsi" w:cstheme="majorHAnsi"/>
                <w:sz w:val="20"/>
              </w:rPr>
            </w:pPr>
          </w:p>
          <w:p w14:paraId="550B84D0" w14:textId="6866AB57" w:rsidR="0071110F" w:rsidRPr="003D49A3" w:rsidRDefault="0071110F" w:rsidP="00781834">
            <w:pPr>
              <w:spacing w:after="0" w:line="240" w:lineRule="auto"/>
              <w:jc w:val="both"/>
              <w:rPr>
                <w:rFonts w:cs="Arial"/>
                <w:b/>
                <w:sz w:val="20"/>
                <w:szCs w:val="20"/>
              </w:rPr>
            </w:pPr>
            <w:r w:rsidRPr="00536296">
              <w:rPr>
                <w:rFonts w:cs="Arial"/>
                <w:b/>
                <w:sz w:val="20"/>
                <w:szCs w:val="20"/>
              </w:rPr>
              <w:t>90-90-90 cascade evolution 2015-2019</w:t>
            </w:r>
          </w:p>
          <w:p w14:paraId="35F2FF9F" w14:textId="77777777" w:rsidR="0071110F" w:rsidRDefault="0071110F" w:rsidP="00781834">
            <w:pPr>
              <w:spacing w:after="0" w:line="240" w:lineRule="auto"/>
              <w:jc w:val="both"/>
              <w:rPr>
                <w:rFonts w:asciiTheme="majorHAnsi" w:hAnsiTheme="majorHAnsi" w:cstheme="majorHAnsi"/>
                <w:sz w:val="20"/>
              </w:rPr>
            </w:pPr>
          </w:p>
          <w:p w14:paraId="46454B5B" w14:textId="72C9218D" w:rsidR="0071110F" w:rsidRDefault="00160565" w:rsidP="00781834">
            <w:pPr>
              <w:rPr>
                <w:rFonts w:cs="Arial"/>
                <w:sz w:val="20"/>
              </w:rPr>
            </w:pPr>
            <w:r w:rsidRPr="00160565">
              <w:rPr>
                <w:rFonts w:cs="Arial"/>
                <w:noProof/>
                <w:sz w:val="20"/>
              </w:rPr>
              <w:drawing>
                <wp:inline distT="0" distB="0" distL="0" distR="0" wp14:anchorId="1C121EA8" wp14:editId="36EF6D59">
                  <wp:extent cx="6199871" cy="1800225"/>
                  <wp:effectExtent l="0" t="0" r="0" b="0"/>
                  <wp:docPr id="29" name="Picture 29" descr="C:\Users\Stela Bivol\AppData\Local\Microsoft\Windows\INetCache\Content.Outlook\837HB3RO\graphHiv 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la Bivol\AppData\Local\Microsoft\Windows\INetCache\Content.Outlook\837HB3RO\graphHiv 2-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15930" cy="1804888"/>
                          </a:xfrm>
                          <a:prstGeom prst="rect">
                            <a:avLst/>
                          </a:prstGeom>
                          <a:noFill/>
                          <a:ln>
                            <a:noFill/>
                          </a:ln>
                        </pic:spPr>
                      </pic:pic>
                    </a:graphicData>
                  </a:graphic>
                </wp:inline>
              </w:drawing>
            </w:r>
          </w:p>
          <w:p w14:paraId="6B68BEAB" w14:textId="155E9680" w:rsidR="0071110F" w:rsidRPr="00E4545E" w:rsidRDefault="0071110F" w:rsidP="00781834">
            <w:pPr>
              <w:rPr>
                <w:rFonts w:cs="Arial"/>
                <w:sz w:val="18"/>
              </w:rPr>
            </w:pPr>
            <w:r w:rsidRPr="00E4545E">
              <w:rPr>
                <w:rFonts w:cs="Arial"/>
                <w:sz w:val="18"/>
              </w:rPr>
              <w:t xml:space="preserve">Source: </w:t>
            </w:r>
            <w:r w:rsidRPr="00B629D0">
              <w:rPr>
                <w:rFonts w:cs="Arial"/>
                <w:sz w:val="18"/>
              </w:rPr>
              <w:t>National Coordination Unit, National Progra</w:t>
            </w:r>
            <w:r w:rsidR="00C60DF6">
              <w:rPr>
                <w:rFonts w:cs="Arial"/>
                <w:sz w:val="18"/>
              </w:rPr>
              <w:t>m</w:t>
            </w:r>
            <w:r w:rsidRPr="00B629D0">
              <w:rPr>
                <w:rFonts w:cs="Arial"/>
                <w:sz w:val="18"/>
              </w:rPr>
              <w:t xml:space="preserve"> on Prevention and Control of HIV/AIDS and STI</w:t>
            </w:r>
            <w:r>
              <w:rPr>
                <w:rFonts w:cs="Arial"/>
                <w:sz w:val="18"/>
              </w:rPr>
              <w:t xml:space="preserve"> data</w:t>
            </w:r>
          </w:p>
          <w:p w14:paraId="2C679371" w14:textId="77777777" w:rsidR="0071110F" w:rsidRDefault="0071110F" w:rsidP="00781834">
            <w:pPr>
              <w:rPr>
                <w:rFonts w:cs="Arial"/>
                <w:b/>
                <w:sz w:val="20"/>
              </w:rPr>
            </w:pPr>
            <w:r>
              <w:rPr>
                <w:rFonts w:cs="Arial"/>
                <w:sz w:val="20"/>
              </w:rPr>
              <w:t xml:space="preserve">Results vary by region, with lower coverage on the Left Bank, higher levels among women compared to men and higher coverage in children compared to adults. </w:t>
            </w:r>
          </w:p>
          <w:p w14:paraId="1C90307E" w14:textId="0CBF3937" w:rsidR="0071110F" w:rsidRDefault="0071110F" w:rsidP="00781834">
            <w:pPr>
              <w:rPr>
                <w:rFonts w:cs="Arial"/>
                <w:b/>
                <w:sz w:val="20"/>
              </w:rPr>
            </w:pPr>
            <w:r w:rsidRPr="00246379">
              <w:rPr>
                <w:rFonts w:cs="Arial"/>
                <w:b/>
                <w:sz w:val="20"/>
              </w:rPr>
              <w:t>90-90-90 cascade in 2019, by region, age and sex</w:t>
            </w:r>
          </w:p>
          <w:p w14:paraId="62A10E77" w14:textId="7BE2B007" w:rsidR="0071110F" w:rsidRPr="00246379" w:rsidRDefault="000873DD" w:rsidP="00781834">
            <w:pPr>
              <w:rPr>
                <w:rFonts w:cs="Arial"/>
                <w:b/>
                <w:sz w:val="20"/>
              </w:rPr>
            </w:pPr>
            <w:r w:rsidRPr="000873DD">
              <w:rPr>
                <w:rFonts w:cs="Arial"/>
                <w:b/>
                <w:noProof/>
                <w:sz w:val="20"/>
              </w:rPr>
              <w:drawing>
                <wp:inline distT="0" distB="0" distL="0" distR="0" wp14:anchorId="04065C27" wp14:editId="2E40D671">
                  <wp:extent cx="6152711" cy="1790700"/>
                  <wp:effectExtent l="0" t="0" r="635" b="0"/>
                  <wp:docPr id="4" name="Picture 4" descr="C:\Users\Stela Bivol\AppData\Local\Microsoft\Windows\INetCache\Content.Outlook\837HB3RO\graphHiv 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la Bivol\AppData\Local\Microsoft\Windows\INetCache\Content.Outlook\837HB3RO\graphHiv 2_-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66639" cy="1794754"/>
                          </a:xfrm>
                          <a:prstGeom prst="rect">
                            <a:avLst/>
                          </a:prstGeom>
                          <a:noFill/>
                          <a:ln>
                            <a:noFill/>
                          </a:ln>
                        </pic:spPr>
                      </pic:pic>
                    </a:graphicData>
                  </a:graphic>
                </wp:inline>
              </w:drawing>
            </w:r>
          </w:p>
          <w:p w14:paraId="57B4CA03" w14:textId="77777777" w:rsidR="0071110F" w:rsidRPr="00B629D0" w:rsidRDefault="0071110F" w:rsidP="00781834">
            <w:pPr>
              <w:rPr>
                <w:rFonts w:cs="Arial"/>
                <w:sz w:val="18"/>
              </w:rPr>
            </w:pPr>
            <w:r w:rsidRPr="00E4545E">
              <w:rPr>
                <w:rFonts w:cs="Arial"/>
                <w:sz w:val="18"/>
              </w:rPr>
              <w:t xml:space="preserve">Source: </w:t>
            </w:r>
            <w:r w:rsidRPr="00B629D0">
              <w:rPr>
                <w:rFonts w:cs="Arial"/>
                <w:sz w:val="18"/>
              </w:rPr>
              <w:t>National Coordination Unit, National Programme on Prevention and Control of HIV/AIDS and STI</w:t>
            </w:r>
            <w:r>
              <w:rPr>
                <w:rFonts w:cs="Arial"/>
                <w:sz w:val="18"/>
              </w:rPr>
              <w:t xml:space="preserve"> data.</w:t>
            </w:r>
          </w:p>
          <w:p w14:paraId="4DB6CCAD" w14:textId="7E6218A7" w:rsidR="0071110F" w:rsidRDefault="007E3A64" w:rsidP="00781834">
            <w:pPr>
              <w:spacing w:after="0" w:line="240" w:lineRule="auto"/>
              <w:jc w:val="both"/>
              <w:rPr>
                <w:sz w:val="20"/>
              </w:rPr>
            </w:pPr>
            <w:r>
              <w:rPr>
                <w:rFonts w:asciiTheme="majorHAnsi" w:hAnsiTheme="majorHAnsi" w:cstheme="majorHAnsi"/>
                <w:b/>
                <w:sz w:val="20"/>
              </w:rPr>
              <w:t>90% of people who know their HIV status</w:t>
            </w:r>
            <w:r w:rsidR="0071110F" w:rsidRPr="00246379">
              <w:rPr>
                <w:rFonts w:asciiTheme="majorHAnsi" w:hAnsiTheme="majorHAnsi" w:cstheme="majorHAnsi"/>
                <w:sz w:val="20"/>
              </w:rPr>
              <w:t xml:space="preserve">: </w:t>
            </w:r>
            <w:r w:rsidR="0071110F" w:rsidRPr="00246379">
              <w:rPr>
                <w:sz w:val="20"/>
              </w:rPr>
              <w:t xml:space="preserve">Based on the latest estimate in 2019, out of 14,588 people estimated to live with HIV in Moldova, some 5,181 are yet to be reached and diagnosed with HIV. </w:t>
            </w:r>
            <w:r w:rsidR="00A07EE4">
              <w:rPr>
                <w:sz w:val="20"/>
              </w:rPr>
              <w:t>(SPECTRUM 2020)</w:t>
            </w:r>
            <w:r w:rsidR="0071110F" w:rsidRPr="00246379">
              <w:rPr>
                <w:sz w:val="20"/>
              </w:rPr>
              <w:t xml:space="preserve"> This is the largest bottleneck in the cascade. </w:t>
            </w:r>
          </w:p>
          <w:p w14:paraId="78D6DECA" w14:textId="58359908" w:rsidR="0071110F" w:rsidRPr="00246379" w:rsidRDefault="0071110F" w:rsidP="00781834">
            <w:pPr>
              <w:spacing w:after="0" w:line="240" w:lineRule="auto"/>
              <w:jc w:val="both"/>
              <w:rPr>
                <w:sz w:val="20"/>
              </w:rPr>
            </w:pPr>
          </w:p>
          <w:p w14:paraId="662DD255" w14:textId="0CBBF9D6" w:rsidR="0071110F" w:rsidRDefault="00A07EE4" w:rsidP="00781834">
            <w:pPr>
              <w:spacing w:after="0" w:line="240" w:lineRule="auto"/>
              <w:jc w:val="both"/>
              <w:rPr>
                <w:sz w:val="20"/>
              </w:rPr>
            </w:pPr>
            <w:r>
              <w:rPr>
                <w:b/>
                <w:sz w:val="20"/>
              </w:rPr>
              <w:t xml:space="preserve">HIV </w:t>
            </w:r>
            <w:r w:rsidR="0071110F" w:rsidRPr="007E3A64">
              <w:rPr>
                <w:b/>
                <w:sz w:val="20"/>
              </w:rPr>
              <w:t>testing in key populations</w:t>
            </w:r>
            <w:r>
              <w:rPr>
                <w:sz w:val="20"/>
              </w:rPr>
              <w:t xml:space="preserve">, NAP </w:t>
            </w:r>
            <w:r w:rsidR="0071110F" w:rsidRPr="00246379">
              <w:rPr>
                <w:sz w:val="20"/>
              </w:rPr>
              <w:t>2016-2020 set the testing targets at 60% for PWID an</w:t>
            </w:r>
            <w:r>
              <w:rPr>
                <w:sz w:val="20"/>
              </w:rPr>
              <w:t>d</w:t>
            </w:r>
            <w:r w:rsidR="0071110F" w:rsidRPr="00246379">
              <w:rPr>
                <w:sz w:val="20"/>
              </w:rPr>
              <w:t xml:space="preserve"> SWs</w:t>
            </w:r>
            <w:r>
              <w:rPr>
                <w:sz w:val="20"/>
              </w:rPr>
              <w:t>,</w:t>
            </w:r>
            <w:r w:rsidR="0071110F" w:rsidRPr="00246379">
              <w:rPr>
                <w:sz w:val="20"/>
              </w:rPr>
              <w:t xml:space="preserve"> and 40% of MSM who are covered with HIV prevention package. In 2018 and 2019 these targets were met for SWs and MSM and not met for PWID. Strategies that led to</w:t>
            </w:r>
            <w:r w:rsidR="0071110F">
              <w:rPr>
                <w:sz w:val="20"/>
              </w:rPr>
              <w:t xml:space="preserve"> this increase included rollout of</w:t>
            </w:r>
            <w:r w:rsidR="003D55FC">
              <w:rPr>
                <w:sz w:val="20"/>
              </w:rPr>
              <w:t xml:space="preserve"> new testing strategy based on </w:t>
            </w:r>
            <w:r w:rsidR="0071110F">
              <w:rPr>
                <w:sz w:val="20"/>
              </w:rPr>
              <w:t>rapid</w:t>
            </w:r>
            <w:r w:rsidR="003D55FC">
              <w:rPr>
                <w:sz w:val="20"/>
              </w:rPr>
              <w:t xml:space="preserve"> diagnostic</w:t>
            </w:r>
            <w:r w:rsidR="0071110F">
              <w:rPr>
                <w:sz w:val="20"/>
              </w:rPr>
              <w:t xml:space="preserve"> tests,</w:t>
            </w:r>
            <w:r w:rsidR="003D55FC">
              <w:rPr>
                <w:sz w:val="20"/>
              </w:rPr>
              <w:t xml:space="preserve"> (RDT),</w:t>
            </w:r>
            <w:r w:rsidR="0071110F">
              <w:rPr>
                <w:sz w:val="20"/>
              </w:rPr>
              <w:t xml:space="preserve"> a</w:t>
            </w:r>
            <w:r w:rsidR="0071110F" w:rsidRPr="00246379">
              <w:rPr>
                <w:sz w:val="20"/>
              </w:rPr>
              <w:t xml:space="preserve"> pay for</w:t>
            </w:r>
            <w:r w:rsidR="0071110F">
              <w:rPr>
                <w:sz w:val="20"/>
              </w:rPr>
              <w:t xml:space="preserve"> performance to outreach workers</w:t>
            </w:r>
            <w:r w:rsidR="0071110F" w:rsidRPr="00246379">
              <w:rPr>
                <w:sz w:val="20"/>
              </w:rPr>
              <w:t xml:space="preserve"> scale-up of HIV testing in key population</w:t>
            </w:r>
            <w:r w:rsidR="003D55FC">
              <w:rPr>
                <w:sz w:val="20"/>
              </w:rPr>
              <w:t>s</w:t>
            </w:r>
            <w:r w:rsidR="0071110F" w:rsidRPr="00246379">
              <w:rPr>
                <w:sz w:val="20"/>
              </w:rPr>
              <w:t>, outreach-assisted oral fluid-based tests for self-testing for KAPs,</w:t>
            </w:r>
            <w:r w:rsidR="0071110F" w:rsidRPr="00246379">
              <w:rPr>
                <w:rFonts w:asciiTheme="majorHAnsi" w:hAnsiTheme="majorHAnsi" w:cstheme="majorHAnsi"/>
                <w:sz w:val="20"/>
              </w:rPr>
              <w:t xml:space="preserve"> </w:t>
            </w:r>
            <w:r w:rsidR="0071110F" w:rsidRPr="00246379">
              <w:rPr>
                <w:sz w:val="20"/>
              </w:rPr>
              <w:t>HIV self-test</w:t>
            </w:r>
            <w:r w:rsidR="003D55FC">
              <w:rPr>
                <w:sz w:val="20"/>
              </w:rPr>
              <w:t xml:space="preserve"> (HST)</w:t>
            </w:r>
            <w:r w:rsidR="0071110F" w:rsidRPr="00246379">
              <w:rPr>
                <w:sz w:val="20"/>
              </w:rPr>
              <w:t xml:space="preserve"> kits through pharmacies.</w:t>
            </w:r>
            <w:r w:rsidR="0071110F">
              <w:rPr>
                <w:sz w:val="20"/>
              </w:rPr>
              <w:t xml:space="preserve"> </w:t>
            </w:r>
          </w:p>
          <w:p w14:paraId="06EAF6E7" w14:textId="77777777" w:rsidR="0071110F" w:rsidRPr="00246379" w:rsidRDefault="0071110F" w:rsidP="00781834">
            <w:pPr>
              <w:spacing w:after="0" w:line="240" w:lineRule="auto"/>
              <w:jc w:val="both"/>
              <w:rPr>
                <w:sz w:val="20"/>
              </w:rPr>
            </w:pPr>
          </w:p>
          <w:p w14:paraId="7F0E9E3B" w14:textId="7152ADDB" w:rsidR="0071110F" w:rsidRPr="000E7579" w:rsidRDefault="0071110F" w:rsidP="00781834">
            <w:pPr>
              <w:rPr>
                <w:rStyle w:val="e24kjd"/>
                <w:rFonts w:asciiTheme="majorHAnsi" w:hAnsiTheme="majorHAnsi" w:cstheme="majorHAnsi"/>
                <w:b/>
                <w:sz w:val="20"/>
              </w:rPr>
            </w:pPr>
            <w:r w:rsidRPr="000E7579">
              <w:rPr>
                <w:rStyle w:val="e24kjd"/>
                <w:rFonts w:asciiTheme="majorHAnsi" w:hAnsiTheme="majorHAnsi" w:cstheme="majorHAnsi"/>
                <w:b/>
                <w:sz w:val="20"/>
              </w:rPr>
              <w:t>Progress in achieving testing targets in key populations</w:t>
            </w:r>
            <w:r>
              <w:rPr>
                <w:rStyle w:val="e24kjd"/>
                <w:rFonts w:asciiTheme="majorHAnsi" w:hAnsiTheme="majorHAnsi" w:cstheme="majorHAnsi"/>
                <w:b/>
                <w:sz w:val="20"/>
              </w:rPr>
              <w:t xml:space="preserve">, NSP 2016-2020 targets </w:t>
            </w:r>
          </w:p>
          <w:tbl>
            <w:tblPr>
              <w:tblStyle w:val="ListTable3-Accent4"/>
              <w:tblW w:w="10230" w:type="dxa"/>
              <w:tblLook w:val="04A0" w:firstRow="1" w:lastRow="0" w:firstColumn="1" w:lastColumn="0" w:noHBand="0" w:noVBand="1"/>
            </w:tblPr>
            <w:tblGrid>
              <w:gridCol w:w="930"/>
              <w:gridCol w:w="1311"/>
              <w:gridCol w:w="376"/>
              <w:gridCol w:w="1218"/>
              <w:gridCol w:w="417"/>
              <w:gridCol w:w="1260"/>
              <w:gridCol w:w="417"/>
              <w:gridCol w:w="961"/>
              <w:gridCol w:w="564"/>
              <w:gridCol w:w="1060"/>
              <w:gridCol w:w="594"/>
              <w:gridCol w:w="1122"/>
            </w:tblGrid>
            <w:tr w:rsidR="0071110F" w:rsidRPr="00DC77E8" w14:paraId="67C2BE4D" w14:textId="77777777" w:rsidTr="008376E7">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931" w:type="dxa"/>
                  <w:vMerge w:val="restart"/>
                  <w:shd w:val="clear" w:color="auto" w:fill="C00000"/>
                  <w:noWrap/>
                  <w:hideMark/>
                </w:tcPr>
                <w:p w14:paraId="6ED944FA" w14:textId="77777777" w:rsidR="0071110F" w:rsidRPr="00500EA7" w:rsidRDefault="0071110F" w:rsidP="00781834">
                  <w:pPr>
                    <w:spacing w:after="0" w:line="240" w:lineRule="auto"/>
                    <w:rPr>
                      <w:rFonts w:asciiTheme="minorHAnsi" w:eastAsia="Times New Roman" w:hAnsiTheme="minorHAnsi" w:cstheme="minorHAnsi"/>
                      <w:bCs w:val="0"/>
                      <w:sz w:val="18"/>
                      <w:szCs w:val="18"/>
                    </w:rPr>
                  </w:pPr>
                  <w:r w:rsidRPr="00500EA7">
                    <w:rPr>
                      <w:rFonts w:asciiTheme="minorHAnsi" w:eastAsia="Times New Roman" w:hAnsiTheme="minorHAnsi" w:cstheme="minorHAnsi"/>
                      <w:bCs w:val="0"/>
                      <w:sz w:val="18"/>
                      <w:szCs w:val="18"/>
                    </w:rPr>
                    <w:t> </w:t>
                  </w:r>
                </w:p>
              </w:tc>
              <w:tc>
                <w:tcPr>
                  <w:tcW w:w="1688" w:type="dxa"/>
                  <w:gridSpan w:val="2"/>
                  <w:shd w:val="clear" w:color="auto" w:fill="C00000"/>
                  <w:noWrap/>
                  <w:hideMark/>
                </w:tcPr>
                <w:p w14:paraId="20381B4A" w14:textId="77777777" w:rsidR="0071110F" w:rsidRPr="00500EA7"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8"/>
                      <w:szCs w:val="18"/>
                    </w:rPr>
                  </w:pPr>
                  <w:r w:rsidRPr="00500EA7">
                    <w:rPr>
                      <w:rFonts w:asciiTheme="minorHAnsi" w:eastAsia="Times New Roman" w:hAnsiTheme="minorHAnsi" w:cstheme="minorHAnsi"/>
                      <w:bCs w:val="0"/>
                      <w:sz w:val="18"/>
                      <w:szCs w:val="18"/>
                    </w:rPr>
                    <w:t>2015</w:t>
                  </w:r>
                </w:p>
              </w:tc>
              <w:tc>
                <w:tcPr>
                  <w:tcW w:w="1634" w:type="dxa"/>
                  <w:gridSpan w:val="2"/>
                  <w:shd w:val="clear" w:color="auto" w:fill="C00000"/>
                  <w:noWrap/>
                  <w:hideMark/>
                </w:tcPr>
                <w:p w14:paraId="237BB216" w14:textId="77777777" w:rsidR="0071110F" w:rsidRPr="00500EA7"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8"/>
                      <w:szCs w:val="18"/>
                    </w:rPr>
                  </w:pPr>
                  <w:r w:rsidRPr="00500EA7">
                    <w:rPr>
                      <w:rFonts w:asciiTheme="minorHAnsi" w:eastAsia="Times New Roman" w:hAnsiTheme="minorHAnsi" w:cstheme="minorHAnsi"/>
                      <w:bCs w:val="0"/>
                      <w:sz w:val="18"/>
                      <w:szCs w:val="18"/>
                    </w:rPr>
                    <w:t>2016</w:t>
                  </w:r>
                </w:p>
              </w:tc>
              <w:tc>
                <w:tcPr>
                  <w:tcW w:w="1676" w:type="dxa"/>
                  <w:gridSpan w:val="2"/>
                  <w:shd w:val="clear" w:color="auto" w:fill="C00000"/>
                  <w:noWrap/>
                  <w:hideMark/>
                </w:tcPr>
                <w:p w14:paraId="5B6BC56A" w14:textId="77777777" w:rsidR="0071110F" w:rsidRPr="00500EA7"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8"/>
                      <w:szCs w:val="18"/>
                    </w:rPr>
                  </w:pPr>
                  <w:r w:rsidRPr="00500EA7">
                    <w:rPr>
                      <w:rFonts w:asciiTheme="minorHAnsi" w:eastAsia="Times New Roman" w:hAnsiTheme="minorHAnsi" w:cstheme="minorHAnsi"/>
                      <w:bCs w:val="0"/>
                      <w:sz w:val="18"/>
                      <w:szCs w:val="18"/>
                    </w:rPr>
                    <w:t>2017</w:t>
                  </w:r>
                </w:p>
              </w:tc>
              <w:tc>
                <w:tcPr>
                  <w:tcW w:w="1525" w:type="dxa"/>
                  <w:gridSpan w:val="2"/>
                  <w:shd w:val="clear" w:color="auto" w:fill="C00000"/>
                  <w:noWrap/>
                  <w:hideMark/>
                </w:tcPr>
                <w:p w14:paraId="50816207" w14:textId="77777777" w:rsidR="0071110F" w:rsidRPr="00500EA7"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8"/>
                      <w:szCs w:val="18"/>
                    </w:rPr>
                  </w:pPr>
                  <w:r w:rsidRPr="00500EA7">
                    <w:rPr>
                      <w:rFonts w:asciiTheme="minorHAnsi" w:eastAsia="Times New Roman" w:hAnsiTheme="minorHAnsi" w:cstheme="minorHAnsi"/>
                      <w:bCs w:val="0"/>
                      <w:sz w:val="18"/>
                      <w:szCs w:val="18"/>
                    </w:rPr>
                    <w:t>2018</w:t>
                  </w:r>
                </w:p>
              </w:tc>
              <w:tc>
                <w:tcPr>
                  <w:tcW w:w="1654" w:type="dxa"/>
                  <w:gridSpan w:val="2"/>
                  <w:shd w:val="clear" w:color="auto" w:fill="C00000"/>
                  <w:noWrap/>
                  <w:hideMark/>
                </w:tcPr>
                <w:p w14:paraId="0E9A7D50" w14:textId="77777777" w:rsidR="0071110F" w:rsidRPr="00500EA7"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8"/>
                      <w:szCs w:val="18"/>
                    </w:rPr>
                  </w:pPr>
                  <w:r w:rsidRPr="00500EA7">
                    <w:rPr>
                      <w:rFonts w:asciiTheme="minorHAnsi" w:eastAsia="Times New Roman" w:hAnsiTheme="minorHAnsi" w:cstheme="minorHAnsi"/>
                      <w:bCs w:val="0"/>
                      <w:sz w:val="18"/>
                      <w:szCs w:val="18"/>
                    </w:rPr>
                    <w:t>2019</w:t>
                  </w:r>
                </w:p>
              </w:tc>
              <w:tc>
                <w:tcPr>
                  <w:tcW w:w="1122" w:type="dxa"/>
                  <w:shd w:val="clear" w:color="auto" w:fill="C00000"/>
                  <w:noWrap/>
                  <w:hideMark/>
                </w:tcPr>
                <w:p w14:paraId="57C62693" w14:textId="77777777" w:rsidR="0071110F" w:rsidRPr="00500EA7"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18"/>
                      <w:szCs w:val="18"/>
                    </w:rPr>
                  </w:pPr>
                  <w:r w:rsidRPr="00500EA7">
                    <w:rPr>
                      <w:rFonts w:asciiTheme="minorHAnsi" w:eastAsia="Times New Roman" w:hAnsiTheme="minorHAnsi" w:cstheme="minorHAnsi"/>
                      <w:bCs w:val="0"/>
                      <w:sz w:val="18"/>
                      <w:szCs w:val="18"/>
                    </w:rPr>
                    <w:t>Target  2020</w:t>
                  </w:r>
                </w:p>
              </w:tc>
            </w:tr>
            <w:tr w:rsidR="0071110F" w:rsidRPr="00DC77E8" w14:paraId="0E840DC7" w14:textId="77777777" w:rsidTr="008376E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31" w:type="dxa"/>
                  <w:vMerge/>
                  <w:shd w:val="clear" w:color="auto" w:fill="C00000"/>
                  <w:hideMark/>
                </w:tcPr>
                <w:p w14:paraId="350B7534" w14:textId="77777777" w:rsidR="0071110F" w:rsidRPr="00DC77E8" w:rsidRDefault="0071110F" w:rsidP="00781834">
                  <w:pPr>
                    <w:spacing w:after="0" w:line="240" w:lineRule="auto"/>
                    <w:rPr>
                      <w:rFonts w:asciiTheme="minorHAnsi" w:eastAsia="Times New Roman" w:hAnsiTheme="minorHAnsi" w:cstheme="minorHAnsi"/>
                      <w:b w:val="0"/>
                      <w:bCs w:val="0"/>
                      <w:color w:val="000000"/>
                      <w:sz w:val="18"/>
                      <w:szCs w:val="18"/>
                    </w:rPr>
                  </w:pPr>
                </w:p>
              </w:tc>
              <w:tc>
                <w:tcPr>
                  <w:tcW w:w="1312" w:type="dxa"/>
                  <w:shd w:val="clear" w:color="auto" w:fill="C00000"/>
                  <w:noWrap/>
                  <w:hideMark/>
                </w:tcPr>
                <w:p w14:paraId="139C0E94" w14:textId="77777777" w:rsidR="0071110F" w:rsidRPr="007E3A6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7E3A64">
                    <w:rPr>
                      <w:rFonts w:asciiTheme="minorHAnsi" w:eastAsia="Times New Roman" w:hAnsiTheme="minorHAnsi" w:cstheme="minorHAnsi"/>
                      <w:b/>
                      <w:bCs/>
                      <w:color w:val="FFFFFF" w:themeColor="background1"/>
                      <w:sz w:val="18"/>
                      <w:szCs w:val="18"/>
                    </w:rPr>
                    <w:t>#</w:t>
                  </w:r>
                </w:p>
              </w:tc>
              <w:tc>
                <w:tcPr>
                  <w:tcW w:w="376" w:type="dxa"/>
                  <w:shd w:val="clear" w:color="auto" w:fill="C00000"/>
                  <w:noWrap/>
                  <w:hideMark/>
                </w:tcPr>
                <w:p w14:paraId="64E81091" w14:textId="77777777" w:rsidR="0071110F" w:rsidRPr="007E3A6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7E3A64">
                    <w:rPr>
                      <w:rFonts w:asciiTheme="minorHAnsi" w:eastAsia="Times New Roman" w:hAnsiTheme="minorHAnsi" w:cstheme="minorHAnsi"/>
                      <w:b/>
                      <w:bCs/>
                      <w:color w:val="FFFFFF" w:themeColor="background1"/>
                      <w:sz w:val="18"/>
                      <w:szCs w:val="18"/>
                    </w:rPr>
                    <w:t>%</w:t>
                  </w:r>
                </w:p>
              </w:tc>
              <w:tc>
                <w:tcPr>
                  <w:tcW w:w="1218" w:type="dxa"/>
                  <w:shd w:val="clear" w:color="auto" w:fill="C00000"/>
                  <w:noWrap/>
                  <w:hideMark/>
                </w:tcPr>
                <w:p w14:paraId="35D06B7C" w14:textId="77777777" w:rsidR="0071110F" w:rsidRPr="007E3A6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7E3A64">
                    <w:rPr>
                      <w:rFonts w:asciiTheme="minorHAnsi" w:eastAsia="Times New Roman" w:hAnsiTheme="minorHAnsi" w:cstheme="minorHAnsi"/>
                      <w:b/>
                      <w:bCs/>
                      <w:color w:val="FFFFFF" w:themeColor="background1"/>
                      <w:sz w:val="18"/>
                      <w:szCs w:val="18"/>
                    </w:rPr>
                    <w:t>#</w:t>
                  </w:r>
                </w:p>
              </w:tc>
              <w:tc>
                <w:tcPr>
                  <w:tcW w:w="416" w:type="dxa"/>
                  <w:shd w:val="clear" w:color="auto" w:fill="C00000"/>
                  <w:noWrap/>
                  <w:hideMark/>
                </w:tcPr>
                <w:p w14:paraId="17B8419A" w14:textId="77777777" w:rsidR="0071110F" w:rsidRPr="007E3A6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7E3A64">
                    <w:rPr>
                      <w:rFonts w:asciiTheme="minorHAnsi" w:eastAsia="Times New Roman" w:hAnsiTheme="minorHAnsi" w:cstheme="minorHAnsi"/>
                      <w:b/>
                      <w:bCs/>
                      <w:color w:val="FFFFFF" w:themeColor="background1"/>
                      <w:sz w:val="18"/>
                      <w:szCs w:val="18"/>
                    </w:rPr>
                    <w:t>%</w:t>
                  </w:r>
                </w:p>
              </w:tc>
              <w:tc>
                <w:tcPr>
                  <w:tcW w:w="1260" w:type="dxa"/>
                  <w:shd w:val="clear" w:color="auto" w:fill="C00000"/>
                  <w:noWrap/>
                  <w:hideMark/>
                </w:tcPr>
                <w:p w14:paraId="12B96459" w14:textId="77777777" w:rsidR="0071110F" w:rsidRPr="007E3A6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7E3A64">
                    <w:rPr>
                      <w:rFonts w:asciiTheme="minorHAnsi" w:eastAsia="Times New Roman" w:hAnsiTheme="minorHAnsi" w:cstheme="minorHAnsi"/>
                      <w:b/>
                      <w:bCs/>
                      <w:color w:val="FFFFFF" w:themeColor="background1"/>
                      <w:sz w:val="18"/>
                      <w:szCs w:val="18"/>
                    </w:rPr>
                    <w:t>#</w:t>
                  </w:r>
                </w:p>
              </w:tc>
              <w:tc>
                <w:tcPr>
                  <w:tcW w:w="416" w:type="dxa"/>
                  <w:shd w:val="clear" w:color="auto" w:fill="C00000"/>
                  <w:noWrap/>
                  <w:hideMark/>
                </w:tcPr>
                <w:p w14:paraId="6D4B7508" w14:textId="77777777" w:rsidR="0071110F" w:rsidRPr="007E3A6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7E3A64">
                    <w:rPr>
                      <w:rFonts w:asciiTheme="minorHAnsi" w:eastAsia="Times New Roman" w:hAnsiTheme="minorHAnsi" w:cstheme="minorHAnsi"/>
                      <w:b/>
                      <w:bCs/>
                      <w:color w:val="FFFFFF" w:themeColor="background1"/>
                      <w:sz w:val="18"/>
                      <w:szCs w:val="18"/>
                    </w:rPr>
                    <w:t>%</w:t>
                  </w:r>
                </w:p>
              </w:tc>
              <w:tc>
                <w:tcPr>
                  <w:tcW w:w="961" w:type="dxa"/>
                  <w:shd w:val="clear" w:color="auto" w:fill="C00000"/>
                  <w:noWrap/>
                  <w:hideMark/>
                </w:tcPr>
                <w:p w14:paraId="02D5B7C9" w14:textId="77777777" w:rsidR="0071110F" w:rsidRPr="007E3A6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7E3A64">
                    <w:rPr>
                      <w:rFonts w:asciiTheme="minorHAnsi" w:eastAsia="Times New Roman" w:hAnsiTheme="minorHAnsi" w:cstheme="minorHAnsi"/>
                      <w:b/>
                      <w:bCs/>
                      <w:color w:val="FFFFFF" w:themeColor="background1"/>
                      <w:sz w:val="18"/>
                      <w:szCs w:val="18"/>
                    </w:rPr>
                    <w:t>#</w:t>
                  </w:r>
                </w:p>
              </w:tc>
              <w:tc>
                <w:tcPr>
                  <w:tcW w:w="564" w:type="dxa"/>
                  <w:shd w:val="clear" w:color="auto" w:fill="C00000"/>
                  <w:noWrap/>
                  <w:hideMark/>
                </w:tcPr>
                <w:p w14:paraId="5BF84181" w14:textId="77777777" w:rsidR="0071110F" w:rsidRPr="007E3A6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7E3A64">
                    <w:rPr>
                      <w:rFonts w:asciiTheme="minorHAnsi" w:eastAsia="Times New Roman" w:hAnsiTheme="minorHAnsi" w:cstheme="minorHAnsi"/>
                      <w:b/>
                      <w:bCs/>
                      <w:color w:val="FFFFFF" w:themeColor="background1"/>
                      <w:sz w:val="18"/>
                      <w:szCs w:val="18"/>
                    </w:rPr>
                    <w:t>%</w:t>
                  </w:r>
                </w:p>
              </w:tc>
              <w:tc>
                <w:tcPr>
                  <w:tcW w:w="1060" w:type="dxa"/>
                  <w:shd w:val="clear" w:color="auto" w:fill="C00000"/>
                  <w:noWrap/>
                  <w:hideMark/>
                </w:tcPr>
                <w:p w14:paraId="5DF5E780" w14:textId="77777777" w:rsidR="0071110F" w:rsidRPr="007E3A6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7E3A64">
                    <w:rPr>
                      <w:rFonts w:asciiTheme="minorHAnsi" w:eastAsia="Times New Roman" w:hAnsiTheme="minorHAnsi" w:cstheme="minorHAnsi"/>
                      <w:b/>
                      <w:bCs/>
                      <w:color w:val="FFFFFF" w:themeColor="background1"/>
                      <w:sz w:val="18"/>
                      <w:szCs w:val="18"/>
                    </w:rPr>
                    <w:t>#</w:t>
                  </w:r>
                </w:p>
              </w:tc>
              <w:tc>
                <w:tcPr>
                  <w:tcW w:w="594" w:type="dxa"/>
                  <w:shd w:val="clear" w:color="auto" w:fill="C00000"/>
                  <w:noWrap/>
                  <w:hideMark/>
                </w:tcPr>
                <w:p w14:paraId="3DBF1116" w14:textId="77777777" w:rsidR="0071110F" w:rsidRPr="007E3A6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7E3A64">
                    <w:rPr>
                      <w:rFonts w:asciiTheme="minorHAnsi" w:eastAsia="Times New Roman" w:hAnsiTheme="minorHAnsi" w:cstheme="minorHAnsi"/>
                      <w:b/>
                      <w:bCs/>
                      <w:color w:val="FFFFFF" w:themeColor="background1"/>
                      <w:sz w:val="18"/>
                      <w:szCs w:val="18"/>
                    </w:rPr>
                    <w:t>%</w:t>
                  </w:r>
                </w:p>
              </w:tc>
              <w:tc>
                <w:tcPr>
                  <w:tcW w:w="1122" w:type="dxa"/>
                  <w:shd w:val="clear" w:color="auto" w:fill="C00000"/>
                  <w:noWrap/>
                  <w:hideMark/>
                </w:tcPr>
                <w:p w14:paraId="65FF4EEF" w14:textId="77777777" w:rsidR="0071110F" w:rsidRPr="007E3A64"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FFFF" w:themeColor="background1"/>
                      <w:sz w:val="18"/>
                      <w:szCs w:val="18"/>
                    </w:rPr>
                  </w:pPr>
                  <w:r w:rsidRPr="007E3A64">
                    <w:rPr>
                      <w:rFonts w:asciiTheme="minorHAnsi" w:eastAsia="Times New Roman" w:hAnsiTheme="minorHAnsi" w:cstheme="minorHAnsi"/>
                      <w:b/>
                      <w:bCs/>
                      <w:color w:val="FFFFFF" w:themeColor="background1"/>
                      <w:sz w:val="18"/>
                      <w:szCs w:val="18"/>
                    </w:rPr>
                    <w:t>%</w:t>
                  </w:r>
                </w:p>
              </w:tc>
            </w:tr>
            <w:tr w:rsidR="0071110F" w:rsidRPr="00DC77E8" w14:paraId="3CCD172C" w14:textId="77777777" w:rsidTr="00500EA7">
              <w:trPr>
                <w:trHeight w:val="315"/>
              </w:trPr>
              <w:tc>
                <w:tcPr>
                  <w:cnfStyle w:val="001000000000" w:firstRow="0" w:lastRow="0" w:firstColumn="1" w:lastColumn="0" w:oddVBand="0" w:evenVBand="0" w:oddHBand="0" w:evenHBand="0" w:firstRowFirstColumn="0" w:firstRowLastColumn="0" w:lastRowFirstColumn="0" w:lastRowLastColumn="0"/>
                  <w:tcW w:w="931" w:type="dxa"/>
                  <w:noWrap/>
                  <w:hideMark/>
                </w:tcPr>
                <w:p w14:paraId="7B1154CB" w14:textId="77777777" w:rsidR="0071110F" w:rsidRPr="00DC77E8" w:rsidRDefault="0071110F" w:rsidP="00781834">
                  <w:pPr>
                    <w:spacing w:after="0" w:line="240" w:lineRule="auto"/>
                    <w:jc w:val="center"/>
                    <w:rPr>
                      <w:rFonts w:asciiTheme="minorHAnsi" w:eastAsia="Times New Roman" w:hAnsiTheme="minorHAnsi" w:cstheme="minorHAnsi"/>
                      <w:b w:val="0"/>
                      <w:bCs w:val="0"/>
                      <w:color w:val="000000"/>
                      <w:sz w:val="18"/>
                      <w:szCs w:val="18"/>
                    </w:rPr>
                  </w:pPr>
                  <w:r w:rsidRPr="00DC77E8">
                    <w:rPr>
                      <w:rFonts w:asciiTheme="minorHAnsi" w:eastAsia="Times New Roman" w:hAnsiTheme="minorHAnsi" w:cstheme="minorHAnsi"/>
                      <w:b w:val="0"/>
                      <w:bCs w:val="0"/>
                      <w:color w:val="000000"/>
                      <w:sz w:val="18"/>
                      <w:szCs w:val="18"/>
                    </w:rPr>
                    <w:t>PWID</w:t>
                  </w:r>
                </w:p>
              </w:tc>
              <w:tc>
                <w:tcPr>
                  <w:tcW w:w="1312" w:type="dxa"/>
                  <w:noWrap/>
                  <w:hideMark/>
                </w:tcPr>
                <w:p w14:paraId="62EEF737"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1,036</w:t>
                  </w:r>
                </w:p>
              </w:tc>
              <w:tc>
                <w:tcPr>
                  <w:tcW w:w="376" w:type="dxa"/>
                  <w:noWrap/>
                  <w:hideMark/>
                </w:tcPr>
                <w:p w14:paraId="048EE269"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8</w:t>
                  </w:r>
                </w:p>
              </w:tc>
              <w:tc>
                <w:tcPr>
                  <w:tcW w:w="1218" w:type="dxa"/>
                  <w:noWrap/>
                  <w:hideMark/>
                </w:tcPr>
                <w:p w14:paraId="7890790F"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2,415</w:t>
                  </w:r>
                </w:p>
              </w:tc>
              <w:tc>
                <w:tcPr>
                  <w:tcW w:w="416" w:type="dxa"/>
                  <w:noWrap/>
                  <w:hideMark/>
                </w:tcPr>
                <w:p w14:paraId="59812703"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16</w:t>
                  </w:r>
                </w:p>
              </w:tc>
              <w:tc>
                <w:tcPr>
                  <w:tcW w:w="1260" w:type="dxa"/>
                  <w:noWrap/>
                  <w:hideMark/>
                </w:tcPr>
                <w:p w14:paraId="4AC293F4"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2,443</w:t>
                  </w:r>
                </w:p>
              </w:tc>
              <w:tc>
                <w:tcPr>
                  <w:tcW w:w="416" w:type="dxa"/>
                  <w:noWrap/>
                  <w:hideMark/>
                </w:tcPr>
                <w:p w14:paraId="25B2C6C4"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16</w:t>
                  </w:r>
                </w:p>
              </w:tc>
              <w:tc>
                <w:tcPr>
                  <w:tcW w:w="961" w:type="dxa"/>
                  <w:noWrap/>
                  <w:hideMark/>
                </w:tcPr>
                <w:p w14:paraId="56801FD9"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10,175</w:t>
                  </w:r>
                </w:p>
              </w:tc>
              <w:tc>
                <w:tcPr>
                  <w:tcW w:w="564" w:type="dxa"/>
                  <w:noWrap/>
                  <w:hideMark/>
                </w:tcPr>
                <w:p w14:paraId="0C52AF16"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49</w:t>
                  </w:r>
                </w:p>
              </w:tc>
              <w:tc>
                <w:tcPr>
                  <w:tcW w:w="1060" w:type="dxa"/>
                  <w:noWrap/>
                  <w:hideMark/>
                </w:tcPr>
                <w:p w14:paraId="5B139E01"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7,922</w:t>
                  </w:r>
                </w:p>
              </w:tc>
              <w:tc>
                <w:tcPr>
                  <w:tcW w:w="594" w:type="dxa"/>
                  <w:noWrap/>
                  <w:hideMark/>
                </w:tcPr>
                <w:p w14:paraId="1AA1835A"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FF0000"/>
                      <w:sz w:val="18"/>
                      <w:szCs w:val="18"/>
                    </w:rPr>
                    <w:t>51</w:t>
                  </w:r>
                </w:p>
              </w:tc>
              <w:tc>
                <w:tcPr>
                  <w:tcW w:w="1122" w:type="dxa"/>
                  <w:noWrap/>
                  <w:hideMark/>
                </w:tcPr>
                <w:p w14:paraId="4138D841"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60%</w:t>
                  </w:r>
                </w:p>
              </w:tc>
            </w:tr>
            <w:tr w:rsidR="0071110F" w:rsidRPr="00DC77E8" w14:paraId="263DFA98" w14:textId="77777777" w:rsidTr="00500EA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31" w:type="dxa"/>
                  <w:noWrap/>
                  <w:hideMark/>
                </w:tcPr>
                <w:p w14:paraId="22FEB97E" w14:textId="77777777" w:rsidR="0071110F" w:rsidRPr="00DC77E8" w:rsidRDefault="0071110F" w:rsidP="00781834">
                  <w:pPr>
                    <w:spacing w:after="0" w:line="240" w:lineRule="auto"/>
                    <w:jc w:val="center"/>
                    <w:rPr>
                      <w:rFonts w:asciiTheme="minorHAnsi" w:eastAsia="Times New Roman" w:hAnsiTheme="minorHAnsi" w:cstheme="minorHAnsi"/>
                      <w:b w:val="0"/>
                      <w:bCs w:val="0"/>
                      <w:color w:val="000000"/>
                      <w:sz w:val="18"/>
                      <w:szCs w:val="18"/>
                    </w:rPr>
                  </w:pPr>
                  <w:r w:rsidRPr="00DC77E8">
                    <w:rPr>
                      <w:rFonts w:asciiTheme="minorHAnsi" w:eastAsia="Times New Roman" w:hAnsiTheme="minorHAnsi" w:cstheme="minorHAnsi"/>
                      <w:b w:val="0"/>
                      <w:bCs w:val="0"/>
                      <w:color w:val="000000"/>
                      <w:sz w:val="18"/>
                      <w:szCs w:val="18"/>
                    </w:rPr>
                    <w:t>SW</w:t>
                  </w:r>
                </w:p>
              </w:tc>
              <w:tc>
                <w:tcPr>
                  <w:tcW w:w="1312" w:type="dxa"/>
                  <w:noWrap/>
                  <w:hideMark/>
                </w:tcPr>
                <w:p w14:paraId="211EEDB1" w14:textId="77777777" w:rsidR="0071110F" w:rsidRPr="00DC77E8"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288</w:t>
                  </w:r>
                </w:p>
              </w:tc>
              <w:tc>
                <w:tcPr>
                  <w:tcW w:w="376" w:type="dxa"/>
                  <w:noWrap/>
                  <w:hideMark/>
                </w:tcPr>
                <w:p w14:paraId="3A916DC0" w14:textId="77777777" w:rsidR="0071110F" w:rsidRPr="00DC77E8"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6</w:t>
                  </w:r>
                </w:p>
              </w:tc>
              <w:tc>
                <w:tcPr>
                  <w:tcW w:w="1218" w:type="dxa"/>
                  <w:noWrap/>
                  <w:hideMark/>
                </w:tcPr>
                <w:p w14:paraId="782C3F68" w14:textId="77777777" w:rsidR="0071110F" w:rsidRPr="00DC77E8"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314</w:t>
                  </w:r>
                </w:p>
              </w:tc>
              <w:tc>
                <w:tcPr>
                  <w:tcW w:w="416" w:type="dxa"/>
                  <w:noWrap/>
                  <w:hideMark/>
                </w:tcPr>
                <w:p w14:paraId="54895EC2" w14:textId="77777777" w:rsidR="0071110F" w:rsidRPr="00DC77E8"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7</w:t>
                  </w:r>
                </w:p>
              </w:tc>
              <w:tc>
                <w:tcPr>
                  <w:tcW w:w="1260" w:type="dxa"/>
                  <w:noWrap/>
                  <w:hideMark/>
                </w:tcPr>
                <w:p w14:paraId="35051A8F" w14:textId="77777777" w:rsidR="0071110F" w:rsidRPr="00DC77E8"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807</w:t>
                  </w:r>
                </w:p>
              </w:tc>
              <w:tc>
                <w:tcPr>
                  <w:tcW w:w="416" w:type="dxa"/>
                  <w:noWrap/>
                  <w:hideMark/>
                </w:tcPr>
                <w:p w14:paraId="1FD8B0E0" w14:textId="77777777" w:rsidR="0071110F" w:rsidRPr="00DC77E8"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14</w:t>
                  </w:r>
                </w:p>
              </w:tc>
              <w:tc>
                <w:tcPr>
                  <w:tcW w:w="961" w:type="dxa"/>
                  <w:noWrap/>
                  <w:hideMark/>
                </w:tcPr>
                <w:p w14:paraId="57063B71" w14:textId="77777777" w:rsidR="0071110F" w:rsidRPr="00DC77E8"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5,431</w:t>
                  </w:r>
                </w:p>
              </w:tc>
              <w:tc>
                <w:tcPr>
                  <w:tcW w:w="564" w:type="dxa"/>
                  <w:noWrap/>
                  <w:hideMark/>
                </w:tcPr>
                <w:p w14:paraId="2523557D" w14:textId="77777777" w:rsidR="0071110F" w:rsidRPr="00DC77E8"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65</w:t>
                  </w:r>
                </w:p>
              </w:tc>
              <w:tc>
                <w:tcPr>
                  <w:tcW w:w="1060" w:type="dxa"/>
                  <w:noWrap/>
                  <w:hideMark/>
                </w:tcPr>
                <w:p w14:paraId="5793646A" w14:textId="77777777" w:rsidR="0071110F" w:rsidRPr="00DC77E8"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4,980</w:t>
                  </w:r>
                </w:p>
              </w:tc>
              <w:tc>
                <w:tcPr>
                  <w:tcW w:w="594" w:type="dxa"/>
                  <w:noWrap/>
                  <w:hideMark/>
                </w:tcPr>
                <w:p w14:paraId="4C8025B3" w14:textId="77777777" w:rsidR="0071110F" w:rsidRPr="00DC77E8"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B050"/>
                      <w:sz w:val="18"/>
                      <w:szCs w:val="18"/>
                    </w:rPr>
                  </w:pPr>
                  <w:r w:rsidRPr="00DC77E8">
                    <w:rPr>
                      <w:rFonts w:asciiTheme="minorHAnsi" w:eastAsia="Times New Roman" w:hAnsiTheme="minorHAnsi" w:cstheme="minorHAnsi"/>
                      <w:b/>
                      <w:bCs/>
                      <w:color w:val="00B050"/>
                      <w:sz w:val="18"/>
                      <w:szCs w:val="18"/>
                    </w:rPr>
                    <w:t>68</w:t>
                  </w:r>
                </w:p>
              </w:tc>
              <w:tc>
                <w:tcPr>
                  <w:tcW w:w="1122" w:type="dxa"/>
                  <w:noWrap/>
                  <w:hideMark/>
                </w:tcPr>
                <w:p w14:paraId="6B333325" w14:textId="77777777" w:rsidR="0071110F" w:rsidRPr="00DC77E8" w:rsidRDefault="0071110F" w:rsidP="007818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60%</w:t>
                  </w:r>
                </w:p>
              </w:tc>
            </w:tr>
            <w:tr w:rsidR="0071110F" w:rsidRPr="00DC77E8" w14:paraId="46536494" w14:textId="77777777" w:rsidTr="00500EA7">
              <w:trPr>
                <w:trHeight w:val="315"/>
              </w:trPr>
              <w:tc>
                <w:tcPr>
                  <w:cnfStyle w:val="001000000000" w:firstRow="0" w:lastRow="0" w:firstColumn="1" w:lastColumn="0" w:oddVBand="0" w:evenVBand="0" w:oddHBand="0" w:evenHBand="0" w:firstRowFirstColumn="0" w:firstRowLastColumn="0" w:lastRowFirstColumn="0" w:lastRowLastColumn="0"/>
                  <w:tcW w:w="931" w:type="dxa"/>
                  <w:noWrap/>
                  <w:hideMark/>
                </w:tcPr>
                <w:p w14:paraId="32C35F47" w14:textId="77777777" w:rsidR="0071110F" w:rsidRPr="00DC77E8" w:rsidRDefault="0071110F" w:rsidP="00781834">
                  <w:pPr>
                    <w:spacing w:after="0" w:line="240" w:lineRule="auto"/>
                    <w:jc w:val="center"/>
                    <w:rPr>
                      <w:rFonts w:asciiTheme="minorHAnsi" w:eastAsia="Times New Roman" w:hAnsiTheme="minorHAnsi" w:cstheme="minorHAnsi"/>
                      <w:b w:val="0"/>
                      <w:bCs w:val="0"/>
                      <w:color w:val="000000"/>
                      <w:sz w:val="18"/>
                      <w:szCs w:val="18"/>
                    </w:rPr>
                  </w:pPr>
                  <w:r w:rsidRPr="00DC77E8">
                    <w:rPr>
                      <w:rFonts w:asciiTheme="minorHAnsi" w:eastAsia="Times New Roman" w:hAnsiTheme="minorHAnsi" w:cstheme="minorHAnsi"/>
                      <w:b w:val="0"/>
                      <w:bCs w:val="0"/>
                      <w:color w:val="000000"/>
                      <w:sz w:val="18"/>
                      <w:szCs w:val="18"/>
                    </w:rPr>
                    <w:t>MSM</w:t>
                  </w:r>
                </w:p>
              </w:tc>
              <w:tc>
                <w:tcPr>
                  <w:tcW w:w="1312" w:type="dxa"/>
                  <w:noWrap/>
                  <w:hideMark/>
                </w:tcPr>
                <w:p w14:paraId="0C2AFA44"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185</w:t>
                  </w:r>
                </w:p>
              </w:tc>
              <w:tc>
                <w:tcPr>
                  <w:tcW w:w="376" w:type="dxa"/>
                  <w:noWrap/>
                  <w:hideMark/>
                </w:tcPr>
                <w:p w14:paraId="67CFC384"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7</w:t>
                  </w:r>
                </w:p>
              </w:tc>
              <w:tc>
                <w:tcPr>
                  <w:tcW w:w="1218" w:type="dxa"/>
                  <w:noWrap/>
                  <w:hideMark/>
                </w:tcPr>
                <w:p w14:paraId="288C7D5D"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232</w:t>
                  </w:r>
                </w:p>
              </w:tc>
              <w:tc>
                <w:tcPr>
                  <w:tcW w:w="416" w:type="dxa"/>
                  <w:noWrap/>
                  <w:hideMark/>
                </w:tcPr>
                <w:p w14:paraId="30B22D88"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8</w:t>
                  </w:r>
                </w:p>
              </w:tc>
              <w:tc>
                <w:tcPr>
                  <w:tcW w:w="1260" w:type="dxa"/>
                  <w:noWrap/>
                  <w:hideMark/>
                </w:tcPr>
                <w:p w14:paraId="3E897E97"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454</w:t>
                  </w:r>
                </w:p>
              </w:tc>
              <w:tc>
                <w:tcPr>
                  <w:tcW w:w="416" w:type="dxa"/>
                  <w:noWrap/>
                  <w:hideMark/>
                </w:tcPr>
                <w:p w14:paraId="3BCA4BEF"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12</w:t>
                  </w:r>
                </w:p>
              </w:tc>
              <w:tc>
                <w:tcPr>
                  <w:tcW w:w="961" w:type="dxa"/>
                  <w:noWrap/>
                  <w:hideMark/>
                </w:tcPr>
                <w:p w14:paraId="5ACFEAF0"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2,848</w:t>
                  </w:r>
                </w:p>
              </w:tc>
              <w:tc>
                <w:tcPr>
                  <w:tcW w:w="564" w:type="dxa"/>
                  <w:noWrap/>
                  <w:hideMark/>
                </w:tcPr>
                <w:p w14:paraId="7574CE3A"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62</w:t>
                  </w:r>
                </w:p>
              </w:tc>
              <w:tc>
                <w:tcPr>
                  <w:tcW w:w="1060" w:type="dxa"/>
                  <w:noWrap/>
                  <w:hideMark/>
                </w:tcPr>
                <w:p w14:paraId="1D188D7E"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2,411</w:t>
                  </w:r>
                </w:p>
              </w:tc>
              <w:tc>
                <w:tcPr>
                  <w:tcW w:w="594" w:type="dxa"/>
                  <w:noWrap/>
                  <w:hideMark/>
                </w:tcPr>
                <w:p w14:paraId="51F8EF84"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B050"/>
                      <w:sz w:val="18"/>
                      <w:szCs w:val="18"/>
                    </w:rPr>
                  </w:pPr>
                  <w:r w:rsidRPr="00DC77E8">
                    <w:rPr>
                      <w:rFonts w:asciiTheme="minorHAnsi" w:eastAsia="Times New Roman" w:hAnsiTheme="minorHAnsi" w:cstheme="minorHAnsi"/>
                      <w:b/>
                      <w:bCs/>
                      <w:color w:val="00B050"/>
                      <w:sz w:val="18"/>
                      <w:szCs w:val="18"/>
                    </w:rPr>
                    <w:t>55</w:t>
                  </w:r>
                </w:p>
              </w:tc>
              <w:tc>
                <w:tcPr>
                  <w:tcW w:w="1122" w:type="dxa"/>
                  <w:noWrap/>
                  <w:hideMark/>
                </w:tcPr>
                <w:p w14:paraId="56098580" w14:textId="77777777" w:rsidR="0071110F" w:rsidRPr="00DC77E8" w:rsidRDefault="0071110F" w:rsidP="007818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DC77E8">
                    <w:rPr>
                      <w:rFonts w:asciiTheme="minorHAnsi" w:eastAsia="Times New Roman" w:hAnsiTheme="minorHAnsi" w:cstheme="minorHAnsi"/>
                      <w:b/>
                      <w:bCs/>
                      <w:color w:val="000000"/>
                      <w:sz w:val="18"/>
                      <w:szCs w:val="18"/>
                    </w:rPr>
                    <w:t>40%</w:t>
                  </w:r>
                </w:p>
              </w:tc>
            </w:tr>
          </w:tbl>
          <w:p w14:paraId="08465CE2" w14:textId="62DE9FB3" w:rsidR="0071110F" w:rsidRPr="009968AA" w:rsidRDefault="0071110F" w:rsidP="00781834">
            <w:pPr>
              <w:rPr>
                <w:rFonts w:cs="Arial"/>
                <w:sz w:val="18"/>
              </w:rPr>
            </w:pPr>
            <w:r>
              <w:rPr>
                <w:rFonts w:cs="Arial"/>
                <w:sz w:val="18"/>
              </w:rPr>
              <w:t xml:space="preserve">Source: </w:t>
            </w:r>
            <w:r w:rsidR="00713B46">
              <w:rPr>
                <w:rFonts w:cs="Arial"/>
                <w:sz w:val="18"/>
              </w:rPr>
              <w:t>A</w:t>
            </w:r>
            <w:r>
              <w:rPr>
                <w:rFonts w:cs="Arial"/>
                <w:sz w:val="18"/>
              </w:rPr>
              <w:t>nnual program reports of GF implementers.</w:t>
            </w:r>
            <w:r w:rsidRPr="009968AA">
              <w:rPr>
                <w:rFonts w:cs="Arial"/>
                <w:sz w:val="18"/>
              </w:rPr>
              <w:t xml:space="preserve"> </w:t>
            </w:r>
            <w:r>
              <w:rPr>
                <w:rFonts w:cs="Arial"/>
                <w:sz w:val="18"/>
              </w:rPr>
              <w:t>P</w:t>
            </w:r>
            <w:r w:rsidRPr="009968AA">
              <w:rPr>
                <w:rFonts w:cs="Arial"/>
                <w:sz w:val="18"/>
              </w:rPr>
              <w:t>ercent tested is calculated out of those covered with HIV prevention</w:t>
            </w:r>
            <w:r>
              <w:rPr>
                <w:rFonts w:cs="Arial"/>
                <w:sz w:val="18"/>
              </w:rPr>
              <w:t xml:space="preserve"> services.</w:t>
            </w:r>
            <w:r w:rsidRPr="009968AA">
              <w:rPr>
                <w:rFonts w:cs="Arial"/>
                <w:sz w:val="18"/>
              </w:rPr>
              <w:t xml:space="preserve"> </w:t>
            </w:r>
          </w:p>
          <w:p w14:paraId="34AC8FE9" w14:textId="77777777" w:rsidR="00A63F2F" w:rsidRDefault="0071110F" w:rsidP="00781834">
            <w:pPr>
              <w:jc w:val="both"/>
              <w:rPr>
                <w:sz w:val="20"/>
              </w:rPr>
            </w:pPr>
            <w:r>
              <w:rPr>
                <w:sz w:val="20"/>
              </w:rPr>
              <w:t xml:space="preserve">Adoption of new approaches included adopting WHO-recommended testing strategy based on RDTs </w:t>
            </w:r>
            <w:r w:rsidR="003D55FC" w:rsidRPr="00246379">
              <w:rPr>
                <w:sz w:val="20"/>
              </w:rPr>
              <w:t xml:space="preserve">for both </w:t>
            </w:r>
            <w:r w:rsidR="0009442E">
              <w:rPr>
                <w:rStyle w:val="e24kjd"/>
                <w:rFonts w:asciiTheme="majorHAnsi" w:hAnsiTheme="majorHAnsi" w:cstheme="majorHAnsi"/>
                <w:sz w:val="20"/>
              </w:rPr>
              <w:t>providers initiated</w:t>
            </w:r>
            <w:r w:rsidR="003D55FC">
              <w:rPr>
                <w:rStyle w:val="e24kjd"/>
                <w:rFonts w:asciiTheme="majorHAnsi" w:hAnsiTheme="majorHAnsi" w:cstheme="majorHAnsi"/>
                <w:sz w:val="20"/>
              </w:rPr>
              <w:t xml:space="preserve"> testing and counseling (</w:t>
            </w:r>
            <w:r w:rsidR="003D55FC" w:rsidRPr="00246379">
              <w:rPr>
                <w:sz w:val="20"/>
              </w:rPr>
              <w:t>PITC</w:t>
            </w:r>
            <w:r w:rsidR="003D55FC">
              <w:rPr>
                <w:sz w:val="20"/>
              </w:rPr>
              <w:t>)</w:t>
            </w:r>
            <w:r w:rsidR="003D55FC" w:rsidRPr="00246379">
              <w:rPr>
                <w:sz w:val="20"/>
              </w:rPr>
              <w:t xml:space="preserve"> and community-based testing</w:t>
            </w:r>
            <w:r w:rsidR="003D55FC">
              <w:rPr>
                <w:sz w:val="20"/>
              </w:rPr>
              <w:t xml:space="preserve"> (CBT) </w:t>
            </w:r>
            <w:r>
              <w:rPr>
                <w:sz w:val="20"/>
              </w:rPr>
              <w:t xml:space="preserve">and some decentralization to </w:t>
            </w:r>
            <w:r>
              <w:rPr>
                <w:sz w:val="20"/>
              </w:rPr>
              <w:lastRenderedPageBreak/>
              <w:t xml:space="preserve">PHC. </w:t>
            </w:r>
            <w:r w:rsidR="00A63F2F">
              <w:rPr>
                <w:sz w:val="20"/>
              </w:rPr>
              <w:t>Self-testing is available since 2016, through NGOs and youth clinics.</w:t>
            </w:r>
            <w:r w:rsidR="003D55FC">
              <w:rPr>
                <w:sz w:val="20"/>
              </w:rPr>
              <w:t xml:space="preserve"> </w:t>
            </w:r>
            <w:r w:rsidR="00A63F2F">
              <w:rPr>
                <w:sz w:val="20"/>
              </w:rPr>
              <w:t xml:space="preserve">Adoption of new testing algorithm decreased time to results to 1-2 days as opposed to month. </w:t>
            </w:r>
          </w:p>
          <w:p w14:paraId="0E65F8C9" w14:textId="18700494" w:rsidR="0071110F" w:rsidRDefault="00A63F2F" w:rsidP="00781834">
            <w:pPr>
              <w:jc w:val="both"/>
              <w:rPr>
                <w:rStyle w:val="e24kjd"/>
                <w:rFonts w:asciiTheme="majorHAnsi" w:hAnsiTheme="majorHAnsi" w:cstheme="majorHAnsi"/>
                <w:sz w:val="20"/>
              </w:rPr>
            </w:pPr>
            <w:r>
              <w:rPr>
                <w:rStyle w:val="e24kjd"/>
                <w:rFonts w:asciiTheme="majorHAnsi" w:hAnsiTheme="majorHAnsi" w:cstheme="majorHAnsi"/>
                <w:sz w:val="20"/>
              </w:rPr>
              <w:t>Test</w:t>
            </w:r>
            <w:r w:rsidRPr="002D2F6D">
              <w:rPr>
                <w:rStyle w:val="e24kjd"/>
                <w:rFonts w:asciiTheme="majorHAnsi" w:hAnsiTheme="majorHAnsi" w:cstheme="majorHAnsi"/>
                <w:sz w:val="20"/>
              </w:rPr>
              <w:t xml:space="preserve"> yield overall has not changed, at 0.3%</w:t>
            </w:r>
            <w:r>
              <w:rPr>
                <w:rStyle w:val="e24kjd"/>
                <w:rFonts w:asciiTheme="majorHAnsi" w:hAnsiTheme="majorHAnsi" w:cstheme="majorHAnsi"/>
                <w:sz w:val="20"/>
              </w:rPr>
              <w:t xml:space="preserve"> in both 2016 and 2019, showing high number of untargeted testing. Total nu</w:t>
            </w:r>
            <w:r w:rsidR="0071110F">
              <w:rPr>
                <w:sz w:val="20"/>
              </w:rPr>
              <w:t>mber o</w:t>
            </w:r>
            <w:r w:rsidR="003D55FC">
              <w:rPr>
                <w:sz w:val="20"/>
              </w:rPr>
              <w:t>f</w:t>
            </w:r>
            <w:r w:rsidR="0071110F">
              <w:rPr>
                <w:sz w:val="20"/>
              </w:rPr>
              <w:t xml:space="preserve"> tests increa</w:t>
            </w:r>
            <w:r w:rsidR="0009442E">
              <w:rPr>
                <w:sz w:val="20"/>
              </w:rPr>
              <w:t>sed from 267K (170k gen pop, 80k</w:t>
            </w:r>
            <w:r w:rsidR="0071110F">
              <w:rPr>
                <w:sz w:val="20"/>
              </w:rPr>
              <w:t xml:space="preserve"> blood donors,</w:t>
            </w:r>
            <w:r w:rsidR="0009442E">
              <w:rPr>
                <w:sz w:val="20"/>
              </w:rPr>
              <w:t>18k</w:t>
            </w:r>
            <w:r w:rsidR="0071110F">
              <w:rPr>
                <w:sz w:val="20"/>
              </w:rPr>
              <w:t xml:space="preserve"> KPs) to 347K in 2019 (250K gen pop, 80K blood donors and 18K in KPs), this lead to increase in cases diagnosed from 835 in 2017 to 922 in 20</w:t>
            </w:r>
            <w:r w:rsidR="003D55FC">
              <w:rPr>
                <w:sz w:val="20"/>
              </w:rPr>
              <w:t>1</w:t>
            </w:r>
            <w:r w:rsidR="0071110F">
              <w:rPr>
                <w:sz w:val="20"/>
              </w:rPr>
              <w:t xml:space="preserve">9. </w:t>
            </w:r>
            <w:r w:rsidR="0071110F">
              <w:rPr>
                <w:rStyle w:val="e24kjd"/>
                <w:rFonts w:asciiTheme="majorHAnsi" w:hAnsiTheme="majorHAnsi" w:cstheme="majorHAnsi"/>
                <w:sz w:val="20"/>
              </w:rPr>
              <w:t xml:space="preserve">Comparative analysis shows that by type of testing, </w:t>
            </w:r>
            <w:r w:rsidR="0009442E">
              <w:rPr>
                <w:rStyle w:val="e24kjd"/>
                <w:rFonts w:asciiTheme="majorHAnsi" w:hAnsiTheme="majorHAnsi" w:cstheme="majorHAnsi"/>
                <w:sz w:val="20"/>
              </w:rPr>
              <w:t xml:space="preserve">coverage with testing </w:t>
            </w:r>
            <w:r w:rsidR="0071110F" w:rsidRPr="002D2F6D">
              <w:rPr>
                <w:rStyle w:val="e24kjd"/>
                <w:rFonts w:asciiTheme="majorHAnsi" w:hAnsiTheme="majorHAnsi" w:cstheme="majorHAnsi"/>
                <w:sz w:val="20"/>
              </w:rPr>
              <w:t>ha</w:t>
            </w:r>
            <w:r w:rsidR="0009442E">
              <w:rPr>
                <w:rStyle w:val="e24kjd"/>
                <w:rFonts w:asciiTheme="majorHAnsi" w:hAnsiTheme="majorHAnsi" w:cstheme="majorHAnsi"/>
                <w:sz w:val="20"/>
              </w:rPr>
              <w:t>s</w:t>
            </w:r>
            <w:r w:rsidR="0071110F" w:rsidRPr="002D2F6D">
              <w:rPr>
                <w:rStyle w:val="e24kjd"/>
                <w:rFonts w:asciiTheme="majorHAnsi" w:hAnsiTheme="majorHAnsi" w:cstheme="majorHAnsi"/>
                <w:sz w:val="20"/>
              </w:rPr>
              <w:t xml:space="preserve"> increased in all categories, </w:t>
            </w:r>
            <w:r w:rsidR="0009442E">
              <w:rPr>
                <w:rStyle w:val="e24kjd"/>
                <w:rFonts w:asciiTheme="majorHAnsi" w:hAnsiTheme="majorHAnsi" w:cstheme="majorHAnsi"/>
                <w:sz w:val="20"/>
              </w:rPr>
              <w:t>(</w:t>
            </w:r>
            <w:r w:rsidR="0071110F" w:rsidRPr="002D2F6D">
              <w:rPr>
                <w:rStyle w:val="e24kjd"/>
                <w:rFonts w:asciiTheme="majorHAnsi" w:hAnsiTheme="majorHAnsi" w:cstheme="majorHAnsi"/>
                <w:sz w:val="20"/>
              </w:rPr>
              <w:t>except blood donors and pregnant women</w:t>
            </w:r>
            <w:r w:rsidR="0009442E">
              <w:rPr>
                <w:rStyle w:val="e24kjd"/>
                <w:rFonts w:asciiTheme="majorHAnsi" w:hAnsiTheme="majorHAnsi" w:cstheme="majorHAnsi"/>
                <w:sz w:val="20"/>
              </w:rPr>
              <w:t xml:space="preserve">, a rather stable number and &gt;99% coverage). </w:t>
            </w:r>
            <w:r w:rsidR="0071110F">
              <w:rPr>
                <w:rStyle w:val="e24kjd"/>
                <w:rFonts w:asciiTheme="majorHAnsi" w:hAnsiTheme="majorHAnsi" w:cstheme="majorHAnsi"/>
                <w:sz w:val="20"/>
              </w:rPr>
              <w:t>Similarly, coverage with testing among key populations have significantly increased but has not brought</w:t>
            </w:r>
            <w:r>
              <w:rPr>
                <w:rStyle w:val="e24kjd"/>
                <w:rFonts w:asciiTheme="majorHAnsi" w:hAnsiTheme="majorHAnsi" w:cstheme="majorHAnsi"/>
                <w:sz w:val="20"/>
              </w:rPr>
              <w:t xml:space="preserve"> significantly</w:t>
            </w:r>
            <w:r w:rsidR="0071110F">
              <w:rPr>
                <w:rStyle w:val="e24kjd"/>
                <w:rFonts w:asciiTheme="majorHAnsi" w:hAnsiTheme="majorHAnsi" w:cstheme="majorHAnsi"/>
                <w:sz w:val="20"/>
              </w:rPr>
              <w:t xml:space="preserve"> more positives, number of new cases among KPs in 2019 close to the one in 2016 (98 versus 86).</w:t>
            </w:r>
            <w:r w:rsidR="0071110F" w:rsidRPr="006C7C45">
              <w:rPr>
                <w:rStyle w:val="e24kjd"/>
                <w:rFonts w:asciiTheme="majorHAnsi" w:hAnsiTheme="majorHAnsi" w:cstheme="majorHAnsi"/>
                <w:sz w:val="20"/>
              </w:rPr>
              <w:t xml:space="preserve"> </w:t>
            </w:r>
            <w:r w:rsidR="0071110F">
              <w:rPr>
                <w:rStyle w:val="e24kjd"/>
                <w:rFonts w:asciiTheme="majorHAnsi" w:hAnsiTheme="majorHAnsi" w:cstheme="majorHAnsi"/>
                <w:sz w:val="20"/>
              </w:rPr>
              <w:t xml:space="preserve">This shows that current testing strategies have yet to significantly </w:t>
            </w:r>
            <w:r w:rsidR="0009442E">
              <w:rPr>
                <w:rStyle w:val="e24kjd"/>
                <w:rFonts w:asciiTheme="majorHAnsi" w:hAnsiTheme="majorHAnsi" w:cstheme="majorHAnsi"/>
                <w:sz w:val="20"/>
              </w:rPr>
              <w:t>refocus on case finding for both</w:t>
            </w:r>
            <w:r w:rsidR="003D55FC">
              <w:rPr>
                <w:rStyle w:val="e24kjd"/>
                <w:rFonts w:asciiTheme="majorHAnsi" w:hAnsiTheme="majorHAnsi" w:cstheme="majorHAnsi"/>
                <w:sz w:val="20"/>
              </w:rPr>
              <w:t xml:space="preserve"> either </w:t>
            </w:r>
            <w:r w:rsidR="0071110F">
              <w:rPr>
                <w:rStyle w:val="e24kjd"/>
                <w:rFonts w:asciiTheme="majorHAnsi" w:hAnsiTheme="majorHAnsi" w:cstheme="majorHAnsi"/>
                <w:sz w:val="20"/>
              </w:rPr>
              <w:t xml:space="preserve">PITC </w:t>
            </w:r>
            <w:r w:rsidR="003D55FC">
              <w:rPr>
                <w:rStyle w:val="e24kjd"/>
                <w:rFonts w:asciiTheme="majorHAnsi" w:hAnsiTheme="majorHAnsi" w:cstheme="majorHAnsi"/>
                <w:sz w:val="20"/>
              </w:rPr>
              <w:t>or CBT</w:t>
            </w:r>
            <w:r w:rsidR="0009442E">
              <w:rPr>
                <w:rStyle w:val="e24kjd"/>
                <w:rFonts w:asciiTheme="majorHAnsi" w:hAnsiTheme="majorHAnsi" w:cstheme="majorHAnsi"/>
                <w:sz w:val="20"/>
              </w:rPr>
              <w:t>. The t</w:t>
            </w:r>
            <w:r w:rsidR="0071110F">
              <w:rPr>
                <w:rStyle w:val="e24kjd"/>
                <w:rFonts w:asciiTheme="majorHAnsi" w:hAnsiTheme="majorHAnsi" w:cstheme="majorHAnsi"/>
                <w:sz w:val="20"/>
              </w:rPr>
              <w:t xml:space="preserve">able below shows a similar yield in PITC and </w:t>
            </w:r>
            <w:r w:rsidR="0071110F" w:rsidRPr="00CD36CA">
              <w:rPr>
                <w:rStyle w:val="e24kjd"/>
                <w:rFonts w:asciiTheme="majorHAnsi" w:hAnsiTheme="majorHAnsi" w:cstheme="majorHAnsi"/>
                <w:sz w:val="18"/>
              </w:rPr>
              <w:t>CBT.</w:t>
            </w:r>
            <w:r w:rsidR="003D55FC">
              <w:rPr>
                <w:rStyle w:val="e24kjd"/>
                <w:rFonts w:asciiTheme="majorHAnsi" w:hAnsiTheme="majorHAnsi" w:cstheme="majorHAnsi"/>
                <w:sz w:val="18"/>
              </w:rPr>
              <w:t xml:space="preserve"> </w:t>
            </w:r>
            <w:r w:rsidR="003D55FC">
              <w:rPr>
                <w:rStyle w:val="e24kjd"/>
                <w:rFonts w:asciiTheme="majorHAnsi" w:hAnsiTheme="majorHAnsi" w:cstheme="majorHAnsi"/>
                <w:sz w:val="20"/>
              </w:rPr>
              <w:t xml:space="preserve">On PITC, the highest yield was found in sexual partners of PLHIV, at 13%, which stresses the importance of </w:t>
            </w:r>
            <w:r w:rsidR="0009442E">
              <w:rPr>
                <w:rStyle w:val="e24kjd"/>
                <w:rFonts w:asciiTheme="majorHAnsi" w:hAnsiTheme="majorHAnsi" w:cstheme="majorHAnsi"/>
                <w:sz w:val="20"/>
              </w:rPr>
              <w:t>partner testing, including</w:t>
            </w:r>
            <w:r w:rsidR="003D55FC">
              <w:rPr>
                <w:rStyle w:val="e24kjd"/>
                <w:rFonts w:asciiTheme="majorHAnsi" w:hAnsiTheme="majorHAnsi" w:cstheme="majorHAnsi"/>
                <w:sz w:val="20"/>
              </w:rPr>
              <w:t xml:space="preserve"> to index testing, sexual network partner testing. Other groups of PITC wi</w:t>
            </w:r>
            <w:r w:rsidR="0071110F" w:rsidRPr="00CD36CA">
              <w:rPr>
                <w:rStyle w:val="e24kjd"/>
                <w:sz w:val="20"/>
              </w:rPr>
              <w:t>th yield &gt;1% are: sexual partners of PLHIV</w:t>
            </w:r>
            <w:r w:rsidR="003D55FC">
              <w:rPr>
                <w:rStyle w:val="e24kjd"/>
                <w:sz w:val="20"/>
              </w:rPr>
              <w:t xml:space="preserve"> (13%)</w:t>
            </w:r>
            <w:r w:rsidR="0071110F" w:rsidRPr="00CD36CA">
              <w:rPr>
                <w:rStyle w:val="e24kjd"/>
                <w:sz w:val="20"/>
              </w:rPr>
              <w:t xml:space="preserve">, TB patients </w:t>
            </w:r>
            <w:r w:rsidR="003D55FC">
              <w:rPr>
                <w:rStyle w:val="e24kjd"/>
                <w:sz w:val="20"/>
              </w:rPr>
              <w:t>(</w:t>
            </w:r>
            <w:r w:rsidR="0071110F" w:rsidRPr="00CD36CA">
              <w:rPr>
                <w:rStyle w:val="e24kjd"/>
                <w:sz w:val="20"/>
              </w:rPr>
              <w:t>2%</w:t>
            </w:r>
            <w:r w:rsidR="003D55FC">
              <w:rPr>
                <w:rStyle w:val="e24kjd"/>
                <w:sz w:val="20"/>
              </w:rPr>
              <w:t>)</w:t>
            </w:r>
            <w:r w:rsidR="0071110F" w:rsidRPr="00CD36CA">
              <w:rPr>
                <w:rStyle w:val="e24kjd"/>
                <w:sz w:val="20"/>
              </w:rPr>
              <w:t>, AIDS-indicator symptoms (1.8%), STI symptoms (1%)</w:t>
            </w:r>
            <w:r w:rsidR="0071110F">
              <w:rPr>
                <w:rStyle w:val="e24kjd"/>
                <w:sz w:val="20"/>
              </w:rPr>
              <w:t xml:space="preserve">. </w:t>
            </w:r>
            <w:r w:rsidR="0071110F">
              <w:rPr>
                <w:rStyle w:val="e24kjd"/>
                <w:rFonts w:asciiTheme="majorHAnsi" w:hAnsiTheme="majorHAnsi" w:cstheme="majorHAnsi"/>
                <w:sz w:val="20"/>
              </w:rPr>
              <w:t xml:space="preserve"> </w:t>
            </w:r>
          </w:p>
          <w:p w14:paraId="7905F0B6" w14:textId="69AA6EEA" w:rsidR="0071110F" w:rsidRDefault="0071110F" w:rsidP="00781834">
            <w:pPr>
              <w:rPr>
                <w:rStyle w:val="e24kjd"/>
                <w:rFonts w:asciiTheme="majorHAnsi" w:hAnsiTheme="majorHAnsi" w:cstheme="majorHAnsi"/>
                <w:b/>
                <w:sz w:val="20"/>
              </w:rPr>
            </w:pPr>
            <w:r>
              <w:rPr>
                <w:rStyle w:val="e24kjd"/>
                <w:rFonts w:asciiTheme="majorHAnsi" w:hAnsiTheme="majorHAnsi" w:cstheme="majorHAnsi"/>
                <w:b/>
                <w:sz w:val="20"/>
              </w:rPr>
              <w:t>Testing positivity rate, depending on group and treatment modality, 20</w:t>
            </w:r>
            <w:r w:rsidR="003D55FC">
              <w:rPr>
                <w:rStyle w:val="e24kjd"/>
                <w:rFonts w:asciiTheme="majorHAnsi" w:hAnsiTheme="majorHAnsi" w:cstheme="majorHAnsi"/>
                <w:b/>
                <w:sz w:val="20"/>
              </w:rPr>
              <w:t>1</w:t>
            </w:r>
            <w:r>
              <w:rPr>
                <w:rStyle w:val="e24kjd"/>
                <w:rFonts w:asciiTheme="majorHAnsi" w:hAnsiTheme="majorHAnsi" w:cstheme="majorHAnsi"/>
                <w:b/>
                <w:sz w:val="20"/>
              </w:rPr>
              <w:t xml:space="preserve">6 compared to 2019 </w:t>
            </w:r>
          </w:p>
          <w:tbl>
            <w:tblPr>
              <w:tblStyle w:val="ListTable3-Accent4"/>
              <w:tblW w:w="10573" w:type="dxa"/>
              <w:tblLook w:val="04A0" w:firstRow="1" w:lastRow="0" w:firstColumn="1" w:lastColumn="0" w:noHBand="0" w:noVBand="1"/>
            </w:tblPr>
            <w:tblGrid>
              <w:gridCol w:w="4120"/>
              <w:gridCol w:w="1720"/>
              <w:gridCol w:w="674"/>
              <w:gridCol w:w="671"/>
              <w:gridCol w:w="1708"/>
              <w:gridCol w:w="670"/>
              <w:gridCol w:w="667"/>
            </w:tblGrid>
            <w:tr w:rsidR="0071110F" w:rsidRPr="001119FE" w14:paraId="5B50F6C5" w14:textId="77777777" w:rsidTr="0095021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273" w:type="dxa"/>
                  <w:vMerge w:val="restart"/>
                  <w:noWrap/>
                  <w:hideMark/>
                </w:tcPr>
                <w:p w14:paraId="73F07112" w14:textId="77777777" w:rsidR="0071110F" w:rsidRPr="00950217" w:rsidRDefault="0071110F" w:rsidP="00781834">
                  <w:pPr>
                    <w:spacing w:after="0" w:line="240" w:lineRule="auto"/>
                    <w:rPr>
                      <w:rFonts w:ascii="Calibri" w:eastAsia="Times New Roman" w:hAnsi="Calibri" w:cs="Calibri"/>
                      <w:bCs w:val="0"/>
                    </w:rPr>
                  </w:pPr>
                  <w:r w:rsidRPr="00950217">
                    <w:rPr>
                      <w:rFonts w:ascii="Calibri" w:eastAsia="Times New Roman" w:hAnsi="Calibri" w:cs="Calibri"/>
                      <w:bCs w:val="0"/>
                    </w:rPr>
                    <w:t>Key populations</w:t>
                  </w:r>
                </w:p>
              </w:tc>
              <w:tc>
                <w:tcPr>
                  <w:tcW w:w="3160" w:type="dxa"/>
                  <w:gridSpan w:val="3"/>
                  <w:vMerge w:val="restart"/>
                  <w:noWrap/>
                  <w:hideMark/>
                </w:tcPr>
                <w:p w14:paraId="6A2EC296" w14:textId="77777777" w:rsidR="0071110F" w:rsidRPr="00950217"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rPr>
                  </w:pPr>
                  <w:r w:rsidRPr="00950217">
                    <w:rPr>
                      <w:rFonts w:ascii="Calibri" w:eastAsia="Times New Roman" w:hAnsi="Calibri" w:cs="Calibri"/>
                      <w:bCs w:val="0"/>
                    </w:rPr>
                    <w:t>2016</w:t>
                  </w:r>
                </w:p>
              </w:tc>
              <w:tc>
                <w:tcPr>
                  <w:tcW w:w="3140" w:type="dxa"/>
                  <w:gridSpan w:val="3"/>
                  <w:vMerge w:val="restart"/>
                  <w:noWrap/>
                  <w:hideMark/>
                </w:tcPr>
                <w:p w14:paraId="1EEBE8DC" w14:textId="4492CB34" w:rsidR="007E3A64" w:rsidRPr="00950217" w:rsidRDefault="0071110F" w:rsidP="007E3A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rPr>
                  </w:pPr>
                  <w:r w:rsidRPr="00950217">
                    <w:rPr>
                      <w:rFonts w:ascii="Calibri" w:eastAsia="Times New Roman" w:hAnsi="Calibri" w:cs="Calibri"/>
                      <w:bCs w:val="0"/>
                    </w:rPr>
                    <w:t>2019</w:t>
                  </w:r>
                </w:p>
              </w:tc>
            </w:tr>
            <w:tr w:rsidR="0071110F" w:rsidRPr="001119FE" w14:paraId="195EEA94" w14:textId="77777777" w:rsidTr="00950217">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273" w:type="dxa"/>
                  <w:vMerge/>
                  <w:hideMark/>
                </w:tcPr>
                <w:p w14:paraId="4C17BBE8" w14:textId="77777777" w:rsidR="0071110F" w:rsidRPr="001119FE" w:rsidRDefault="0071110F" w:rsidP="00781834">
                  <w:pPr>
                    <w:spacing w:after="0" w:line="240" w:lineRule="auto"/>
                    <w:rPr>
                      <w:rFonts w:ascii="Calibri" w:eastAsia="Times New Roman" w:hAnsi="Calibri" w:cs="Calibri"/>
                      <w:b w:val="0"/>
                      <w:bCs w:val="0"/>
                      <w:color w:val="000000"/>
                    </w:rPr>
                  </w:pPr>
                </w:p>
              </w:tc>
              <w:tc>
                <w:tcPr>
                  <w:tcW w:w="3160" w:type="dxa"/>
                  <w:gridSpan w:val="3"/>
                  <w:vMerge/>
                  <w:hideMark/>
                </w:tcPr>
                <w:p w14:paraId="4590930A" w14:textId="77777777" w:rsidR="0071110F" w:rsidRPr="001119FE" w:rsidRDefault="0071110F" w:rsidP="00781834">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p>
              </w:tc>
              <w:tc>
                <w:tcPr>
                  <w:tcW w:w="3140" w:type="dxa"/>
                  <w:gridSpan w:val="3"/>
                  <w:vMerge/>
                  <w:hideMark/>
                </w:tcPr>
                <w:p w14:paraId="5665C5B7" w14:textId="77777777" w:rsidR="0071110F" w:rsidRPr="001119FE" w:rsidRDefault="0071110F" w:rsidP="00781834">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p>
              </w:tc>
            </w:tr>
            <w:tr w:rsidR="0071110F" w:rsidRPr="001119FE" w14:paraId="2722111D" w14:textId="77777777" w:rsidTr="00950217">
              <w:trPr>
                <w:trHeight w:val="300"/>
              </w:trPr>
              <w:tc>
                <w:tcPr>
                  <w:cnfStyle w:val="001000000000" w:firstRow="0" w:lastRow="0" w:firstColumn="1" w:lastColumn="0" w:oddVBand="0" w:evenVBand="0" w:oddHBand="0" w:evenHBand="0" w:firstRowFirstColumn="0" w:firstRowLastColumn="0" w:lastRowFirstColumn="0" w:lastRowLastColumn="0"/>
                  <w:tcW w:w="4273" w:type="dxa"/>
                  <w:noWrap/>
                  <w:hideMark/>
                </w:tcPr>
                <w:p w14:paraId="6959F539" w14:textId="77777777" w:rsidR="0071110F" w:rsidRPr="001119FE" w:rsidRDefault="0071110F" w:rsidP="00781834">
                  <w:pPr>
                    <w:spacing w:after="0" w:line="240" w:lineRule="auto"/>
                    <w:rPr>
                      <w:rFonts w:ascii="Calibri" w:eastAsia="Times New Roman" w:hAnsi="Calibri" w:cs="Calibri"/>
                      <w:b w:val="0"/>
                      <w:bCs w:val="0"/>
                      <w:color w:val="000000"/>
                    </w:rPr>
                  </w:pPr>
                  <w:r w:rsidRPr="001119FE">
                    <w:rPr>
                      <w:rFonts w:ascii="Calibri" w:eastAsia="Times New Roman" w:hAnsi="Calibri" w:cs="Calibri"/>
                      <w:b w:val="0"/>
                      <w:bCs w:val="0"/>
                      <w:color w:val="000000"/>
                    </w:rPr>
                    <w:t> </w:t>
                  </w:r>
                </w:p>
              </w:tc>
              <w:tc>
                <w:tcPr>
                  <w:tcW w:w="1779" w:type="dxa"/>
                  <w:noWrap/>
                  <w:hideMark/>
                </w:tcPr>
                <w:p w14:paraId="3B217428" w14:textId="77777777" w:rsidR="0071110F" w:rsidRPr="001119FE" w:rsidRDefault="0071110F" w:rsidP="009502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1119FE">
                    <w:rPr>
                      <w:rFonts w:ascii="Calibri" w:eastAsia="Times New Roman" w:hAnsi="Calibri" w:cs="Calibri"/>
                      <w:b/>
                      <w:bCs/>
                      <w:color w:val="000000"/>
                    </w:rPr>
                    <w:t>#  tests</w:t>
                  </w:r>
                </w:p>
              </w:tc>
              <w:tc>
                <w:tcPr>
                  <w:tcW w:w="692" w:type="dxa"/>
                  <w:noWrap/>
                  <w:hideMark/>
                </w:tcPr>
                <w:p w14:paraId="0D720451" w14:textId="77777777" w:rsidR="0071110F" w:rsidRPr="001119FE" w:rsidRDefault="0071110F" w:rsidP="009502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1119FE">
                    <w:rPr>
                      <w:rFonts w:ascii="Calibri" w:eastAsia="Times New Roman" w:hAnsi="Calibri" w:cs="Calibri"/>
                      <w:b/>
                      <w:bCs/>
                      <w:color w:val="000000"/>
                    </w:rPr>
                    <w:t>HIV+</w:t>
                  </w:r>
                </w:p>
              </w:tc>
              <w:tc>
                <w:tcPr>
                  <w:tcW w:w="689" w:type="dxa"/>
                  <w:noWrap/>
                  <w:hideMark/>
                </w:tcPr>
                <w:p w14:paraId="6A1C4C79" w14:textId="77777777" w:rsidR="0071110F" w:rsidRPr="001119FE" w:rsidRDefault="0071110F" w:rsidP="009502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1119FE">
                    <w:rPr>
                      <w:rFonts w:ascii="Calibri" w:eastAsia="Times New Roman" w:hAnsi="Calibri" w:cs="Calibri"/>
                      <w:b/>
                      <w:bCs/>
                      <w:color w:val="000000"/>
                    </w:rPr>
                    <w:t>%</w:t>
                  </w:r>
                </w:p>
              </w:tc>
              <w:tc>
                <w:tcPr>
                  <w:tcW w:w="1767" w:type="dxa"/>
                  <w:noWrap/>
                  <w:hideMark/>
                </w:tcPr>
                <w:p w14:paraId="5AAEAEDF" w14:textId="77777777" w:rsidR="0071110F" w:rsidRPr="001119FE" w:rsidRDefault="0071110F" w:rsidP="009502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1119FE">
                    <w:rPr>
                      <w:rFonts w:ascii="Calibri" w:eastAsia="Times New Roman" w:hAnsi="Calibri" w:cs="Calibri"/>
                      <w:b/>
                      <w:bCs/>
                      <w:color w:val="000000"/>
                    </w:rPr>
                    <w:t>#  tests</w:t>
                  </w:r>
                </w:p>
              </w:tc>
              <w:tc>
                <w:tcPr>
                  <w:tcW w:w="688" w:type="dxa"/>
                  <w:noWrap/>
                  <w:hideMark/>
                </w:tcPr>
                <w:p w14:paraId="7A7796F2" w14:textId="77777777" w:rsidR="0071110F" w:rsidRPr="001119FE" w:rsidRDefault="0071110F" w:rsidP="009502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1119FE">
                    <w:rPr>
                      <w:rFonts w:ascii="Calibri" w:eastAsia="Times New Roman" w:hAnsi="Calibri" w:cs="Calibri"/>
                      <w:b/>
                      <w:bCs/>
                      <w:color w:val="000000"/>
                    </w:rPr>
                    <w:t>HIV+</w:t>
                  </w:r>
                </w:p>
              </w:tc>
              <w:tc>
                <w:tcPr>
                  <w:tcW w:w="685" w:type="dxa"/>
                  <w:noWrap/>
                  <w:hideMark/>
                </w:tcPr>
                <w:p w14:paraId="58E6BE5E" w14:textId="77777777" w:rsidR="0071110F" w:rsidRPr="001119FE" w:rsidRDefault="0071110F" w:rsidP="009502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1119FE">
                    <w:rPr>
                      <w:rFonts w:ascii="Calibri" w:eastAsia="Times New Roman" w:hAnsi="Calibri" w:cs="Calibri"/>
                      <w:b/>
                      <w:bCs/>
                      <w:color w:val="000000"/>
                    </w:rPr>
                    <w:t>%</w:t>
                  </w:r>
                </w:p>
              </w:tc>
            </w:tr>
            <w:tr w:rsidR="0071110F" w:rsidRPr="001119FE" w14:paraId="4D45E35A" w14:textId="77777777" w:rsidTr="009502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3" w:type="dxa"/>
                  <w:noWrap/>
                  <w:hideMark/>
                </w:tcPr>
                <w:p w14:paraId="60F74DC4" w14:textId="77777777" w:rsidR="0071110F" w:rsidRPr="001119FE" w:rsidRDefault="0071110F" w:rsidP="00781834">
                  <w:pPr>
                    <w:spacing w:after="0" w:line="240" w:lineRule="auto"/>
                    <w:jc w:val="center"/>
                    <w:rPr>
                      <w:rFonts w:asciiTheme="minorHAnsi" w:eastAsia="Times New Roman" w:hAnsiTheme="minorHAnsi" w:cstheme="minorHAnsi"/>
                      <w:b w:val="0"/>
                      <w:bCs w:val="0"/>
                      <w:color w:val="000000"/>
                      <w:sz w:val="18"/>
                      <w:szCs w:val="18"/>
                    </w:rPr>
                  </w:pPr>
                  <w:r w:rsidRPr="001119FE">
                    <w:rPr>
                      <w:rFonts w:asciiTheme="minorHAnsi" w:eastAsia="Times New Roman" w:hAnsiTheme="minorHAnsi" w:cstheme="minorHAnsi"/>
                      <w:b w:val="0"/>
                      <w:bCs w:val="0"/>
                      <w:color w:val="000000"/>
                      <w:sz w:val="18"/>
                      <w:szCs w:val="18"/>
                    </w:rPr>
                    <w:t>Testing in KPs (community and PITC)</w:t>
                  </w:r>
                </w:p>
              </w:tc>
              <w:tc>
                <w:tcPr>
                  <w:tcW w:w="1779" w:type="dxa"/>
                  <w:noWrap/>
                  <w:hideMark/>
                </w:tcPr>
                <w:p w14:paraId="0A6F35F1" w14:textId="77777777" w:rsidR="0071110F" w:rsidRPr="001119FE" w:rsidRDefault="0071110F" w:rsidP="0095021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 xml:space="preserve">             4,061 </w:t>
                  </w:r>
                </w:p>
              </w:tc>
              <w:tc>
                <w:tcPr>
                  <w:tcW w:w="692" w:type="dxa"/>
                  <w:noWrap/>
                  <w:hideMark/>
                </w:tcPr>
                <w:p w14:paraId="67751AF1" w14:textId="77777777" w:rsidR="0071110F" w:rsidRPr="001119FE" w:rsidRDefault="0071110F" w:rsidP="0095021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86</w:t>
                  </w:r>
                </w:p>
              </w:tc>
              <w:tc>
                <w:tcPr>
                  <w:tcW w:w="689" w:type="dxa"/>
                  <w:noWrap/>
                  <w:hideMark/>
                </w:tcPr>
                <w:p w14:paraId="129778D4" w14:textId="77777777" w:rsidR="0071110F" w:rsidRPr="001119FE" w:rsidRDefault="0071110F" w:rsidP="0095021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2.1%</w:t>
                  </w:r>
                </w:p>
              </w:tc>
              <w:tc>
                <w:tcPr>
                  <w:tcW w:w="1767" w:type="dxa"/>
                  <w:noWrap/>
                  <w:hideMark/>
                </w:tcPr>
                <w:p w14:paraId="5803185C" w14:textId="77777777" w:rsidR="0071110F" w:rsidRPr="001119FE" w:rsidRDefault="0071110F" w:rsidP="0095021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 xml:space="preserve">           20,235 </w:t>
                  </w:r>
                </w:p>
              </w:tc>
              <w:tc>
                <w:tcPr>
                  <w:tcW w:w="688" w:type="dxa"/>
                  <w:noWrap/>
                  <w:hideMark/>
                </w:tcPr>
                <w:p w14:paraId="09CA55DF" w14:textId="77777777" w:rsidR="0071110F" w:rsidRPr="001119FE" w:rsidRDefault="0071110F" w:rsidP="0095021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98</w:t>
                  </w:r>
                </w:p>
              </w:tc>
              <w:tc>
                <w:tcPr>
                  <w:tcW w:w="685" w:type="dxa"/>
                  <w:noWrap/>
                  <w:hideMark/>
                </w:tcPr>
                <w:p w14:paraId="324CF453" w14:textId="77777777" w:rsidR="0071110F" w:rsidRPr="001119FE" w:rsidRDefault="0071110F" w:rsidP="0095021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2.8%</w:t>
                  </w:r>
                </w:p>
              </w:tc>
            </w:tr>
            <w:tr w:rsidR="0071110F" w:rsidRPr="001119FE" w14:paraId="10DBF89E" w14:textId="77777777" w:rsidTr="00950217">
              <w:trPr>
                <w:trHeight w:val="300"/>
              </w:trPr>
              <w:tc>
                <w:tcPr>
                  <w:cnfStyle w:val="001000000000" w:firstRow="0" w:lastRow="0" w:firstColumn="1" w:lastColumn="0" w:oddVBand="0" w:evenVBand="0" w:oddHBand="0" w:evenHBand="0" w:firstRowFirstColumn="0" w:firstRowLastColumn="0" w:lastRowFirstColumn="0" w:lastRowLastColumn="0"/>
                  <w:tcW w:w="4273" w:type="dxa"/>
                  <w:noWrap/>
                  <w:hideMark/>
                </w:tcPr>
                <w:p w14:paraId="0D2FCD50" w14:textId="51B5A089" w:rsidR="0071110F" w:rsidRPr="001119FE" w:rsidRDefault="00543D4F" w:rsidP="00543D4F">
                  <w:pPr>
                    <w:spacing w:after="0" w:line="240" w:lineRule="auto"/>
                    <w:jc w:val="center"/>
                    <w:rPr>
                      <w:rFonts w:asciiTheme="minorHAnsi" w:eastAsia="Times New Roman" w:hAnsiTheme="minorHAnsi" w:cstheme="minorHAnsi"/>
                      <w:b w:val="0"/>
                      <w:bCs w:val="0"/>
                      <w:color w:val="000000"/>
                      <w:sz w:val="18"/>
                      <w:szCs w:val="18"/>
                    </w:rPr>
                  </w:pPr>
                  <w:r>
                    <w:rPr>
                      <w:rFonts w:asciiTheme="minorHAnsi" w:eastAsia="Times New Roman" w:hAnsiTheme="minorHAnsi" w:cstheme="minorHAnsi"/>
                      <w:b w:val="0"/>
                      <w:bCs w:val="0"/>
                      <w:color w:val="000000"/>
                      <w:sz w:val="18"/>
                      <w:szCs w:val="18"/>
                    </w:rPr>
                    <w:t>PITC,</w:t>
                  </w:r>
                  <w:r w:rsidR="0071110F">
                    <w:rPr>
                      <w:rFonts w:asciiTheme="minorHAnsi" w:eastAsia="Times New Roman" w:hAnsiTheme="minorHAnsi" w:cstheme="minorHAnsi"/>
                      <w:b w:val="0"/>
                      <w:bCs w:val="0"/>
                      <w:color w:val="000000"/>
                      <w:sz w:val="18"/>
                      <w:szCs w:val="18"/>
                    </w:rPr>
                    <w:t xml:space="preserve"> groups </w:t>
                  </w:r>
                  <w:r w:rsidR="0071110F" w:rsidRPr="001119FE">
                    <w:rPr>
                      <w:rFonts w:asciiTheme="minorHAnsi" w:eastAsia="Times New Roman" w:hAnsiTheme="minorHAnsi" w:cstheme="minorHAnsi"/>
                      <w:b w:val="0"/>
                      <w:bCs w:val="0"/>
                      <w:color w:val="000000"/>
                      <w:sz w:val="18"/>
                      <w:szCs w:val="18"/>
                    </w:rPr>
                    <w:t>yield &gt;1%</w:t>
                  </w:r>
                </w:p>
              </w:tc>
              <w:tc>
                <w:tcPr>
                  <w:tcW w:w="1779" w:type="dxa"/>
                  <w:noWrap/>
                  <w:hideMark/>
                </w:tcPr>
                <w:p w14:paraId="7DE432D3" w14:textId="77777777" w:rsidR="0071110F" w:rsidRPr="001119FE" w:rsidRDefault="0071110F" w:rsidP="0095021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 xml:space="preserve">           19,635 </w:t>
                  </w:r>
                </w:p>
              </w:tc>
              <w:tc>
                <w:tcPr>
                  <w:tcW w:w="692" w:type="dxa"/>
                  <w:noWrap/>
                  <w:hideMark/>
                </w:tcPr>
                <w:p w14:paraId="367ED4C5" w14:textId="77777777" w:rsidR="0071110F" w:rsidRPr="001119FE" w:rsidRDefault="0071110F" w:rsidP="0095021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389</w:t>
                  </w:r>
                </w:p>
              </w:tc>
              <w:tc>
                <w:tcPr>
                  <w:tcW w:w="689" w:type="dxa"/>
                  <w:noWrap/>
                  <w:hideMark/>
                </w:tcPr>
                <w:p w14:paraId="3AB556D1" w14:textId="77777777" w:rsidR="0071110F" w:rsidRPr="001119FE" w:rsidRDefault="0071110F" w:rsidP="0095021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2.0%</w:t>
                  </w:r>
                </w:p>
              </w:tc>
              <w:tc>
                <w:tcPr>
                  <w:tcW w:w="1767" w:type="dxa"/>
                  <w:noWrap/>
                  <w:hideMark/>
                </w:tcPr>
                <w:p w14:paraId="59D0742E" w14:textId="77777777" w:rsidR="0071110F" w:rsidRPr="001119FE" w:rsidRDefault="0071110F" w:rsidP="0095021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 xml:space="preserve">           21,504 </w:t>
                  </w:r>
                </w:p>
              </w:tc>
              <w:tc>
                <w:tcPr>
                  <w:tcW w:w="688" w:type="dxa"/>
                  <w:noWrap/>
                  <w:hideMark/>
                </w:tcPr>
                <w:p w14:paraId="2D05E3E6" w14:textId="77777777" w:rsidR="0071110F" w:rsidRPr="001119FE" w:rsidRDefault="0071110F" w:rsidP="0095021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491</w:t>
                  </w:r>
                </w:p>
              </w:tc>
              <w:tc>
                <w:tcPr>
                  <w:tcW w:w="685" w:type="dxa"/>
                  <w:noWrap/>
                  <w:hideMark/>
                </w:tcPr>
                <w:p w14:paraId="5604CA91" w14:textId="77777777" w:rsidR="0071110F" w:rsidRPr="001119FE" w:rsidRDefault="0071110F" w:rsidP="0095021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2.3%</w:t>
                  </w:r>
                </w:p>
              </w:tc>
            </w:tr>
            <w:tr w:rsidR="0071110F" w:rsidRPr="001119FE" w14:paraId="7A702FA6" w14:textId="77777777" w:rsidTr="009502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73" w:type="dxa"/>
                  <w:noWrap/>
                  <w:hideMark/>
                </w:tcPr>
                <w:p w14:paraId="61DD7401" w14:textId="77777777" w:rsidR="0071110F" w:rsidRPr="001119FE" w:rsidRDefault="0071110F" w:rsidP="00781834">
                  <w:pPr>
                    <w:spacing w:after="0" w:line="240" w:lineRule="auto"/>
                    <w:jc w:val="center"/>
                    <w:rPr>
                      <w:rFonts w:asciiTheme="minorHAnsi" w:eastAsia="Times New Roman" w:hAnsiTheme="minorHAnsi" w:cstheme="minorHAnsi"/>
                      <w:b w:val="0"/>
                      <w:bCs w:val="0"/>
                      <w:color w:val="000000"/>
                      <w:sz w:val="18"/>
                      <w:szCs w:val="18"/>
                    </w:rPr>
                  </w:pPr>
                  <w:r w:rsidRPr="001119FE">
                    <w:rPr>
                      <w:rFonts w:asciiTheme="minorHAnsi" w:eastAsia="Times New Roman" w:hAnsiTheme="minorHAnsi" w:cstheme="minorHAnsi"/>
                      <w:b w:val="0"/>
                      <w:bCs w:val="0"/>
                      <w:color w:val="000000"/>
                      <w:sz w:val="18"/>
                      <w:szCs w:val="18"/>
                    </w:rPr>
                    <w:t xml:space="preserve">PITC, </w:t>
                  </w:r>
                  <w:r>
                    <w:rPr>
                      <w:rFonts w:asciiTheme="minorHAnsi" w:eastAsia="Times New Roman" w:hAnsiTheme="minorHAnsi" w:cstheme="minorHAnsi"/>
                      <w:b w:val="0"/>
                      <w:bCs w:val="0"/>
                      <w:color w:val="000000"/>
                      <w:sz w:val="18"/>
                      <w:szCs w:val="18"/>
                    </w:rPr>
                    <w:t xml:space="preserve">other groups </w:t>
                  </w:r>
                  <w:r w:rsidRPr="001119FE">
                    <w:rPr>
                      <w:rFonts w:asciiTheme="minorHAnsi" w:eastAsia="Times New Roman" w:hAnsiTheme="minorHAnsi" w:cstheme="minorHAnsi"/>
                      <w:b w:val="0"/>
                      <w:bCs w:val="0"/>
                      <w:color w:val="000000"/>
                      <w:sz w:val="18"/>
                      <w:szCs w:val="18"/>
                    </w:rPr>
                    <w:t>yield &lt;1%</w:t>
                  </w:r>
                </w:p>
              </w:tc>
              <w:tc>
                <w:tcPr>
                  <w:tcW w:w="1779" w:type="dxa"/>
                  <w:noWrap/>
                  <w:hideMark/>
                </w:tcPr>
                <w:p w14:paraId="07B82375" w14:textId="77777777" w:rsidR="0071110F" w:rsidRPr="001119FE" w:rsidRDefault="0071110F" w:rsidP="0095021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 xml:space="preserve">           27,732 </w:t>
                  </w:r>
                </w:p>
              </w:tc>
              <w:tc>
                <w:tcPr>
                  <w:tcW w:w="692" w:type="dxa"/>
                  <w:noWrap/>
                  <w:hideMark/>
                </w:tcPr>
                <w:p w14:paraId="3E34F1DB" w14:textId="77777777" w:rsidR="0071110F" w:rsidRPr="001119FE" w:rsidRDefault="0071110F" w:rsidP="0095021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140</w:t>
                  </w:r>
                </w:p>
              </w:tc>
              <w:tc>
                <w:tcPr>
                  <w:tcW w:w="689" w:type="dxa"/>
                  <w:noWrap/>
                  <w:hideMark/>
                </w:tcPr>
                <w:p w14:paraId="102F3ACC" w14:textId="77777777" w:rsidR="0071110F" w:rsidRPr="001119FE" w:rsidRDefault="0071110F" w:rsidP="0095021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0.5%</w:t>
                  </w:r>
                </w:p>
              </w:tc>
              <w:tc>
                <w:tcPr>
                  <w:tcW w:w="1767" w:type="dxa"/>
                  <w:noWrap/>
                  <w:hideMark/>
                </w:tcPr>
                <w:p w14:paraId="7EEF6E96" w14:textId="77777777" w:rsidR="0071110F" w:rsidRPr="001119FE" w:rsidRDefault="0071110F" w:rsidP="0095021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 xml:space="preserve">           54,784 </w:t>
                  </w:r>
                </w:p>
              </w:tc>
              <w:tc>
                <w:tcPr>
                  <w:tcW w:w="688" w:type="dxa"/>
                  <w:noWrap/>
                  <w:hideMark/>
                </w:tcPr>
                <w:p w14:paraId="42725F76" w14:textId="77777777" w:rsidR="0071110F" w:rsidRPr="001119FE" w:rsidRDefault="0071110F" w:rsidP="0095021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179</w:t>
                  </w:r>
                </w:p>
              </w:tc>
              <w:tc>
                <w:tcPr>
                  <w:tcW w:w="685" w:type="dxa"/>
                  <w:noWrap/>
                  <w:hideMark/>
                </w:tcPr>
                <w:p w14:paraId="38C50C28" w14:textId="77777777" w:rsidR="0071110F" w:rsidRPr="001119FE" w:rsidRDefault="0071110F" w:rsidP="00950217">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0.3%</w:t>
                  </w:r>
                </w:p>
              </w:tc>
            </w:tr>
            <w:tr w:rsidR="0071110F" w:rsidRPr="001119FE" w14:paraId="4D0B0F36" w14:textId="77777777" w:rsidTr="00950217">
              <w:trPr>
                <w:trHeight w:val="300"/>
              </w:trPr>
              <w:tc>
                <w:tcPr>
                  <w:cnfStyle w:val="001000000000" w:firstRow="0" w:lastRow="0" w:firstColumn="1" w:lastColumn="0" w:oddVBand="0" w:evenVBand="0" w:oddHBand="0" w:evenHBand="0" w:firstRowFirstColumn="0" w:firstRowLastColumn="0" w:lastRowFirstColumn="0" w:lastRowLastColumn="0"/>
                  <w:tcW w:w="4273" w:type="dxa"/>
                  <w:noWrap/>
                  <w:hideMark/>
                </w:tcPr>
                <w:p w14:paraId="3CE0DA55" w14:textId="77777777" w:rsidR="0071110F" w:rsidRPr="001119FE" w:rsidRDefault="0071110F" w:rsidP="00781834">
                  <w:pPr>
                    <w:spacing w:after="0" w:line="240" w:lineRule="auto"/>
                    <w:jc w:val="center"/>
                    <w:rPr>
                      <w:rFonts w:asciiTheme="minorHAnsi" w:eastAsia="Times New Roman" w:hAnsiTheme="minorHAnsi" w:cstheme="minorHAnsi"/>
                      <w:b w:val="0"/>
                      <w:bCs w:val="0"/>
                      <w:color w:val="000000"/>
                      <w:sz w:val="18"/>
                      <w:szCs w:val="18"/>
                    </w:rPr>
                  </w:pPr>
                  <w:r w:rsidRPr="001119FE">
                    <w:rPr>
                      <w:rFonts w:asciiTheme="minorHAnsi" w:eastAsia="Times New Roman" w:hAnsiTheme="minorHAnsi" w:cstheme="minorHAnsi"/>
                      <w:b w:val="0"/>
                      <w:bCs w:val="0"/>
                      <w:color w:val="000000"/>
                      <w:sz w:val="18"/>
                      <w:szCs w:val="18"/>
                    </w:rPr>
                    <w:t xml:space="preserve">Blood donors and recipients, pregnant women </w:t>
                  </w:r>
                </w:p>
              </w:tc>
              <w:tc>
                <w:tcPr>
                  <w:tcW w:w="1779" w:type="dxa"/>
                  <w:noWrap/>
                  <w:hideMark/>
                </w:tcPr>
                <w:p w14:paraId="1924BF6E" w14:textId="77777777" w:rsidR="0071110F" w:rsidRPr="001119FE" w:rsidRDefault="0071110F" w:rsidP="0095021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 xml:space="preserve">         198,351 </w:t>
                  </w:r>
                </w:p>
              </w:tc>
              <w:tc>
                <w:tcPr>
                  <w:tcW w:w="692" w:type="dxa"/>
                  <w:noWrap/>
                  <w:hideMark/>
                </w:tcPr>
                <w:p w14:paraId="31D09C8E" w14:textId="77777777" w:rsidR="0071110F" w:rsidRPr="001119FE" w:rsidRDefault="0071110F" w:rsidP="0095021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188</w:t>
                  </w:r>
                </w:p>
              </w:tc>
              <w:tc>
                <w:tcPr>
                  <w:tcW w:w="689" w:type="dxa"/>
                  <w:noWrap/>
                  <w:hideMark/>
                </w:tcPr>
                <w:p w14:paraId="2B12B2E7" w14:textId="77777777" w:rsidR="0071110F" w:rsidRPr="001119FE" w:rsidRDefault="0071110F" w:rsidP="0095021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0.7%</w:t>
                  </w:r>
                </w:p>
              </w:tc>
              <w:tc>
                <w:tcPr>
                  <w:tcW w:w="1767" w:type="dxa"/>
                  <w:noWrap/>
                  <w:hideMark/>
                </w:tcPr>
                <w:p w14:paraId="07660E0E" w14:textId="77777777" w:rsidR="0071110F" w:rsidRPr="001119FE" w:rsidRDefault="0071110F" w:rsidP="0095021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 xml:space="preserve">         152,631 </w:t>
                  </w:r>
                </w:p>
              </w:tc>
              <w:tc>
                <w:tcPr>
                  <w:tcW w:w="688" w:type="dxa"/>
                  <w:noWrap/>
                  <w:hideMark/>
                </w:tcPr>
                <w:p w14:paraId="7135E329" w14:textId="77777777" w:rsidR="0071110F" w:rsidRPr="001119FE" w:rsidRDefault="0071110F" w:rsidP="0095021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133</w:t>
                  </w:r>
                </w:p>
              </w:tc>
              <w:tc>
                <w:tcPr>
                  <w:tcW w:w="685" w:type="dxa"/>
                  <w:noWrap/>
                  <w:hideMark/>
                </w:tcPr>
                <w:p w14:paraId="3B587EF3" w14:textId="77777777" w:rsidR="0071110F" w:rsidRPr="001119FE" w:rsidRDefault="0071110F" w:rsidP="00950217">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1119FE">
                    <w:rPr>
                      <w:rFonts w:asciiTheme="minorHAnsi" w:eastAsia="Times New Roman" w:hAnsiTheme="minorHAnsi" w:cstheme="minorHAnsi"/>
                      <w:b/>
                      <w:bCs/>
                      <w:color w:val="000000"/>
                      <w:sz w:val="18"/>
                      <w:szCs w:val="18"/>
                    </w:rPr>
                    <w:t>0.5%</w:t>
                  </w:r>
                </w:p>
              </w:tc>
            </w:tr>
          </w:tbl>
          <w:p w14:paraId="5C03771D" w14:textId="77777777" w:rsidR="006D0D17" w:rsidRDefault="006D0D17" w:rsidP="006D0D17">
            <w:pPr>
              <w:ind w:right="157"/>
              <w:jc w:val="both"/>
              <w:rPr>
                <w:rStyle w:val="e24kjd"/>
                <w:rFonts w:asciiTheme="majorHAnsi" w:hAnsiTheme="majorHAnsi" w:cstheme="majorHAnsi"/>
                <w:b/>
                <w:sz w:val="20"/>
              </w:rPr>
            </w:pPr>
            <w:r>
              <w:rPr>
                <w:rFonts w:cs="Arial"/>
                <w:sz w:val="18"/>
              </w:rPr>
              <w:t>S</w:t>
            </w:r>
            <w:r w:rsidRPr="00E4545E">
              <w:rPr>
                <w:rFonts w:cs="Arial"/>
                <w:sz w:val="18"/>
              </w:rPr>
              <w:t xml:space="preserve">ource: </w:t>
            </w:r>
            <w:r w:rsidRPr="00B629D0">
              <w:rPr>
                <w:rFonts w:cs="Arial"/>
                <w:sz w:val="18"/>
              </w:rPr>
              <w:t>National Coordination Unit, National Program on Prevention and Control of HIV/AIDS and STI</w:t>
            </w:r>
            <w:r>
              <w:rPr>
                <w:rFonts w:cs="Arial"/>
                <w:sz w:val="18"/>
              </w:rPr>
              <w:t xml:space="preserve"> data</w:t>
            </w:r>
            <w:r w:rsidRPr="003112FF">
              <w:rPr>
                <w:rStyle w:val="e24kjd"/>
                <w:rFonts w:asciiTheme="majorHAnsi" w:hAnsiTheme="majorHAnsi" w:cstheme="majorHAnsi"/>
                <w:b/>
                <w:sz w:val="20"/>
              </w:rPr>
              <w:t xml:space="preserve"> </w:t>
            </w:r>
          </w:p>
          <w:p w14:paraId="68B18C4F" w14:textId="4DD0DDBA" w:rsidR="0009442E" w:rsidRDefault="007E3A64" w:rsidP="007E3A64">
            <w:pPr>
              <w:tabs>
                <w:tab w:val="num" w:pos="720"/>
              </w:tabs>
              <w:jc w:val="both"/>
              <w:rPr>
                <w:rStyle w:val="e24kjd"/>
                <w:rFonts w:asciiTheme="majorHAnsi" w:hAnsiTheme="majorHAnsi" w:cstheme="majorHAnsi"/>
                <w:sz w:val="20"/>
              </w:rPr>
            </w:pPr>
            <w:r>
              <w:rPr>
                <w:rFonts w:cs="Arial"/>
                <w:b/>
                <w:sz w:val="20"/>
              </w:rPr>
              <w:t>90% of PLHIV are on ART -</w:t>
            </w:r>
            <w:r w:rsidR="0071110F">
              <w:rPr>
                <w:rFonts w:cs="Arial"/>
                <w:b/>
                <w:sz w:val="20"/>
              </w:rPr>
              <w:t xml:space="preserve"> </w:t>
            </w:r>
            <w:r w:rsidR="0071110F" w:rsidRPr="002D2F6D">
              <w:rPr>
                <w:rStyle w:val="e24kjd"/>
                <w:rFonts w:asciiTheme="majorHAnsi" w:hAnsiTheme="majorHAnsi" w:cstheme="majorHAnsi"/>
                <w:b/>
                <w:sz w:val="20"/>
              </w:rPr>
              <w:t>HIV diagnosis</w:t>
            </w:r>
            <w:r w:rsidR="0071110F">
              <w:rPr>
                <w:rStyle w:val="e24kjd"/>
                <w:rFonts w:asciiTheme="majorHAnsi" w:hAnsiTheme="majorHAnsi" w:cstheme="majorHAnsi"/>
                <w:b/>
                <w:sz w:val="20"/>
              </w:rPr>
              <w:t xml:space="preserve"> and linkage to care</w:t>
            </w:r>
            <w:r w:rsidR="0071110F" w:rsidRPr="002D2F6D">
              <w:rPr>
                <w:rStyle w:val="e24kjd"/>
                <w:rFonts w:asciiTheme="majorHAnsi" w:hAnsiTheme="majorHAnsi" w:cstheme="majorHAnsi"/>
                <w:sz w:val="20"/>
              </w:rPr>
              <w:t xml:space="preserve">: </w:t>
            </w:r>
            <w:r w:rsidR="0071110F">
              <w:rPr>
                <w:rStyle w:val="e24kjd"/>
                <w:rFonts w:asciiTheme="majorHAnsi" w:hAnsiTheme="majorHAnsi" w:cstheme="majorHAnsi"/>
                <w:sz w:val="20"/>
              </w:rPr>
              <w:t>The number of</w:t>
            </w:r>
            <w:r w:rsidR="003D55FC">
              <w:rPr>
                <w:rStyle w:val="e24kjd"/>
                <w:rFonts w:asciiTheme="majorHAnsi" w:hAnsiTheme="majorHAnsi" w:cstheme="majorHAnsi"/>
                <w:sz w:val="20"/>
              </w:rPr>
              <w:t xml:space="preserve"> PLHIV </w:t>
            </w:r>
            <w:r w:rsidR="0071110F">
              <w:rPr>
                <w:rStyle w:val="e24kjd"/>
                <w:rFonts w:asciiTheme="majorHAnsi" w:hAnsiTheme="majorHAnsi" w:cstheme="majorHAnsi"/>
                <w:sz w:val="20"/>
              </w:rPr>
              <w:t xml:space="preserve">both diagnosed and linked to care </w:t>
            </w:r>
            <w:r>
              <w:rPr>
                <w:rStyle w:val="e24kjd"/>
                <w:rFonts w:asciiTheme="majorHAnsi" w:hAnsiTheme="majorHAnsi" w:cstheme="majorHAnsi"/>
                <w:sz w:val="20"/>
              </w:rPr>
              <w:t>has been</w:t>
            </w:r>
            <w:r w:rsidR="0071110F">
              <w:rPr>
                <w:rStyle w:val="e24kjd"/>
                <w:rFonts w:asciiTheme="majorHAnsi" w:hAnsiTheme="majorHAnsi" w:cstheme="majorHAnsi"/>
                <w:sz w:val="20"/>
              </w:rPr>
              <w:t xml:space="preserve"> increasing in past </w:t>
            </w:r>
            <w:r w:rsidR="00A63F2F">
              <w:rPr>
                <w:rStyle w:val="e24kjd"/>
                <w:rFonts w:asciiTheme="majorHAnsi" w:hAnsiTheme="majorHAnsi" w:cstheme="majorHAnsi"/>
                <w:sz w:val="20"/>
              </w:rPr>
              <w:t>few</w:t>
            </w:r>
            <w:r w:rsidR="0071110F">
              <w:rPr>
                <w:rStyle w:val="e24kjd"/>
                <w:rFonts w:asciiTheme="majorHAnsi" w:hAnsiTheme="majorHAnsi" w:cstheme="majorHAnsi"/>
                <w:sz w:val="20"/>
              </w:rPr>
              <w:t xml:space="preserve"> years. </w:t>
            </w:r>
            <w:r w:rsidR="0071110F" w:rsidRPr="002D2F6D">
              <w:rPr>
                <w:rStyle w:val="e24kjd"/>
                <w:rFonts w:asciiTheme="majorHAnsi" w:hAnsiTheme="majorHAnsi" w:cstheme="majorHAnsi"/>
                <w:sz w:val="20"/>
              </w:rPr>
              <w:t xml:space="preserve">During </w:t>
            </w:r>
            <w:r w:rsidR="0071110F">
              <w:rPr>
                <w:rStyle w:val="e24kjd"/>
                <w:rFonts w:asciiTheme="majorHAnsi" w:hAnsiTheme="majorHAnsi" w:cstheme="majorHAnsi"/>
                <w:sz w:val="20"/>
              </w:rPr>
              <w:t xml:space="preserve">2019 alone, </w:t>
            </w:r>
            <w:r w:rsidR="0071110F" w:rsidRPr="002D2F6D">
              <w:rPr>
                <w:rStyle w:val="e24kjd"/>
                <w:rFonts w:asciiTheme="majorHAnsi" w:hAnsiTheme="majorHAnsi" w:cstheme="majorHAnsi"/>
                <w:sz w:val="20"/>
              </w:rPr>
              <w:t>922</w:t>
            </w:r>
            <w:r w:rsidR="0071110F">
              <w:rPr>
                <w:rStyle w:val="e24kjd"/>
                <w:rFonts w:asciiTheme="majorHAnsi" w:hAnsiTheme="majorHAnsi" w:cstheme="majorHAnsi"/>
                <w:sz w:val="20"/>
              </w:rPr>
              <w:t xml:space="preserve"> PLHIV learned their HIV status</w:t>
            </w:r>
            <w:r w:rsidR="0071110F" w:rsidRPr="002D2F6D">
              <w:rPr>
                <w:rStyle w:val="e24kjd"/>
                <w:rFonts w:asciiTheme="majorHAnsi" w:hAnsiTheme="majorHAnsi" w:cstheme="majorHAnsi"/>
                <w:sz w:val="20"/>
              </w:rPr>
              <w:t xml:space="preserve"> </w:t>
            </w:r>
            <w:r w:rsidR="0071110F">
              <w:rPr>
                <w:rStyle w:val="e24kjd"/>
                <w:rFonts w:asciiTheme="majorHAnsi" w:hAnsiTheme="majorHAnsi" w:cstheme="majorHAnsi"/>
                <w:sz w:val="20"/>
              </w:rPr>
              <w:t xml:space="preserve">and </w:t>
            </w:r>
            <w:r w:rsidR="0071110F" w:rsidRPr="002D2F6D">
              <w:rPr>
                <w:rStyle w:val="e24kjd"/>
                <w:rFonts w:asciiTheme="majorHAnsi" w:hAnsiTheme="majorHAnsi" w:cstheme="majorHAnsi"/>
                <w:sz w:val="20"/>
              </w:rPr>
              <w:t>1</w:t>
            </w:r>
            <w:r w:rsidR="0071110F">
              <w:rPr>
                <w:rStyle w:val="e24kjd"/>
                <w:rFonts w:asciiTheme="majorHAnsi" w:hAnsiTheme="majorHAnsi" w:cstheme="majorHAnsi"/>
                <w:sz w:val="20"/>
              </w:rPr>
              <w:t>,</w:t>
            </w:r>
            <w:r w:rsidR="0071110F" w:rsidRPr="002D2F6D">
              <w:rPr>
                <w:rStyle w:val="e24kjd"/>
                <w:rFonts w:asciiTheme="majorHAnsi" w:hAnsiTheme="majorHAnsi" w:cstheme="majorHAnsi"/>
                <w:sz w:val="20"/>
              </w:rPr>
              <w:t xml:space="preserve">074 </w:t>
            </w:r>
            <w:r w:rsidR="003D55FC">
              <w:rPr>
                <w:rStyle w:val="e24kjd"/>
                <w:rFonts w:asciiTheme="majorHAnsi" w:hAnsiTheme="majorHAnsi" w:cstheme="majorHAnsi"/>
                <w:sz w:val="20"/>
              </w:rPr>
              <w:t>people started ART.</w:t>
            </w:r>
            <w:r w:rsidR="0071110F">
              <w:rPr>
                <w:rStyle w:val="e24kjd"/>
                <w:rFonts w:asciiTheme="majorHAnsi" w:hAnsiTheme="majorHAnsi" w:cstheme="majorHAnsi"/>
                <w:sz w:val="20"/>
              </w:rPr>
              <w:t xml:space="preserve"> Despite </w:t>
            </w:r>
            <w:r w:rsidR="0071110F" w:rsidRPr="002D2F6D">
              <w:rPr>
                <w:rStyle w:val="e24kjd"/>
                <w:rFonts w:asciiTheme="majorHAnsi" w:hAnsiTheme="majorHAnsi" w:cstheme="majorHAnsi"/>
                <w:sz w:val="20"/>
              </w:rPr>
              <w:t>implementation</w:t>
            </w:r>
            <w:r w:rsidR="0071110F">
              <w:rPr>
                <w:rStyle w:val="e24kjd"/>
                <w:rFonts w:asciiTheme="majorHAnsi" w:hAnsiTheme="majorHAnsi" w:cstheme="majorHAnsi"/>
                <w:sz w:val="20"/>
              </w:rPr>
              <w:t xml:space="preserve"> of the new testing strategy, </w:t>
            </w:r>
            <w:r w:rsidR="0071110F" w:rsidRPr="002D2F6D">
              <w:rPr>
                <w:rStyle w:val="e24kjd"/>
                <w:rFonts w:asciiTheme="majorHAnsi" w:hAnsiTheme="majorHAnsi" w:cstheme="majorHAnsi"/>
                <w:sz w:val="20"/>
              </w:rPr>
              <w:t xml:space="preserve">late diagnosis </w:t>
            </w:r>
            <w:r w:rsidR="0071110F">
              <w:rPr>
                <w:rStyle w:val="e24kjd"/>
                <w:rFonts w:asciiTheme="majorHAnsi" w:hAnsiTheme="majorHAnsi" w:cstheme="majorHAnsi"/>
                <w:sz w:val="20"/>
              </w:rPr>
              <w:t xml:space="preserve">is still unchanged </w:t>
            </w:r>
            <w:r w:rsidR="0071110F" w:rsidRPr="00EE3592">
              <w:rPr>
                <w:rStyle w:val="e24kjd"/>
                <w:rFonts w:asciiTheme="majorHAnsi" w:hAnsiTheme="majorHAnsi" w:cstheme="majorHAnsi"/>
                <w:sz w:val="20"/>
              </w:rPr>
              <w:t xml:space="preserve">at 29% </w:t>
            </w:r>
            <w:r w:rsidR="0009442E">
              <w:rPr>
                <w:rStyle w:val="e24kjd"/>
                <w:rFonts w:asciiTheme="majorHAnsi" w:hAnsiTheme="majorHAnsi" w:cstheme="majorHAnsi"/>
                <w:sz w:val="20"/>
              </w:rPr>
              <w:t xml:space="preserve">have low </w:t>
            </w:r>
            <w:r w:rsidR="0071110F" w:rsidRPr="00EE3592">
              <w:rPr>
                <w:rStyle w:val="e24kjd"/>
                <w:rFonts w:asciiTheme="majorHAnsi" w:hAnsiTheme="majorHAnsi" w:cstheme="majorHAnsi"/>
                <w:sz w:val="20"/>
              </w:rPr>
              <w:t>CD4 &lt; 200</w:t>
            </w:r>
            <w:r w:rsidR="0009442E">
              <w:rPr>
                <w:rStyle w:val="e24kjd"/>
                <w:rFonts w:asciiTheme="majorHAnsi" w:hAnsiTheme="majorHAnsi" w:cstheme="majorHAnsi"/>
                <w:sz w:val="20"/>
              </w:rPr>
              <w:t xml:space="preserve"> at time of diagnosis</w:t>
            </w:r>
            <w:r w:rsidR="0071110F">
              <w:rPr>
                <w:rStyle w:val="e24kjd"/>
                <w:rFonts w:asciiTheme="majorHAnsi" w:hAnsiTheme="majorHAnsi" w:cstheme="majorHAnsi"/>
                <w:sz w:val="20"/>
              </w:rPr>
              <w:t xml:space="preserve">. </w:t>
            </w:r>
            <w:r w:rsidR="0071110F" w:rsidRPr="002D2F6D">
              <w:rPr>
                <w:rStyle w:val="e24kjd"/>
                <w:rFonts w:asciiTheme="majorHAnsi" w:hAnsiTheme="majorHAnsi" w:cstheme="majorHAnsi"/>
                <w:sz w:val="20"/>
              </w:rPr>
              <w:t>Data from N</w:t>
            </w:r>
            <w:r w:rsidR="003D55FC">
              <w:rPr>
                <w:rStyle w:val="e24kjd"/>
                <w:rFonts w:asciiTheme="majorHAnsi" w:hAnsiTheme="majorHAnsi" w:cstheme="majorHAnsi"/>
                <w:sz w:val="20"/>
              </w:rPr>
              <w:t>CU-NAP</w:t>
            </w:r>
            <w:r w:rsidR="0071110F" w:rsidRPr="002D2F6D">
              <w:rPr>
                <w:rStyle w:val="e24kjd"/>
                <w:rFonts w:asciiTheme="majorHAnsi" w:hAnsiTheme="majorHAnsi" w:cstheme="majorHAnsi"/>
                <w:sz w:val="20"/>
              </w:rPr>
              <w:t xml:space="preserve"> (2019) indicates that late diagnosis is associated with certain demographic</w:t>
            </w:r>
            <w:r w:rsidR="00A63F2F">
              <w:rPr>
                <w:rStyle w:val="e24kjd"/>
                <w:rFonts w:asciiTheme="majorHAnsi" w:hAnsiTheme="majorHAnsi" w:cstheme="majorHAnsi"/>
                <w:sz w:val="20"/>
              </w:rPr>
              <w:t xml:space="preserve"> characteristics:</w:t>
            </w:r>
            <w:r w:rsidR="0071110F" w:rsidRPr="002D2F6D">
              <w:rPr>
                <w:rStyle w:val="e24kjd"/>
                <w:rFonts w:asciiTheme="majorHAnsi" w:hAnsiTheme="majorHAnsi" w:cstheme="majorHAnsi"/>
                <w:sz w:val="20"/>
              </w:rPr>
              <w:t xml:space="preserve"> highe</w:t>
            </w:r>
            <w:r w:rsidR="00047D69">
              <w:rPr>
                <w:rStyle w:val="e24kjd"/>
                <w:rFonts w:asciiTheme="majorHAnsi" w:hAnsiTheme="majorHAnsi" w:cstheme="majorHAnsi"/>
                <w:sz w:val="20"/>
              </w:rPr>
              <w:t>r</w:t>
            </w:r>
            <w:r w:rsidR="0071110F" w:rsidRPr="002D2F6D">
              <w:rPr>
                <w:rStyle w:val="e24kjd"/>
                <w:rFonts w:asciiTheme="majorHAnsi" w:hAnsiTheme="majorHAnsi" w:cstheme="majorHAnsi"/>
                <w:sz w:val="20"/>
              </w:rPr>
              <w:t xml:space="preserve"> among men </w:t>
            </w:r>
            <w:r w:rsidR="00047D69">
              <w:rPr>
                <w:rStyle w:val="e24kjd"/>
                <w:rFonts w:asciiTheme="majorHAnsi" w:hAnsiTheme="majorHAnsi" w:cstheme="majorHAnsi"/>
                <w:sz w:val="20"/>
              </w:rPr>
              <w:t>(33</w:t>
            </w:r>
            <w:r w:rsidR="0071110F" w:rsidRPr="002D2F6D">
              <w:rPr>
                <w:rStyle w:val="e24kjd"/>
                <w:rFonts w:asciiTheme="majorHAnsi" w:hAnsiTheme="majorHAnsi" w:cstheme="majorHAnsi"/>
                <w:sz w:val="20"/>
              </w:rPr>
              <w:t>%</w:t>
            </w:r>
            <w:r w:rsidR="00047D69">
              <w:rPr>
                <w:rStyle w:val="e24kjd"/>
                <w:rFonts w:asciiTheme="majorHAnsi" w:hAnsiTheme="majorHAnsi" w:cstheme="majorHAnsi"/>
                <w:sz w:val="20"/>
              </w:rPr>
              <w:t>)</w:t>
            </w:r>
            <w:r w:rsidR="0071110F" w:rsidRPr="002D2F6D">
              <w:rPr>
                <w:rStyle w:val="e24kjd"/>
                <w:rFonts w:asciiTheme="majorHAnsi" w:hAnsiTheme="majorHAnsi" w:cstheme="majorHAnsi"/>
                <w:sz w:val="20"/>
              </w:rPr>
              <w:t xml:space="preserve"> </w:t>
            </w:r>
            <w:r w:rsidR="00047D69">
              <w:rPr>
                <w:rStyle w:val="e24kjd"/>
                <w:rFonts w:asciiTheme="majorHAnsi" w:hAnsiTheme="majorHAnsi" w:cstheme="majorHAnsi"/>
                <w:sz w:val="20"/>
              </w:rPr>
              <w:t>compared to</w:t>
            </w:r>
            <w:r w:rsidR="0071110F" w:rsidRPr="002D2F6D">
              <w:rPr>
                <w:rStyle w:val="e24kjd"/>
                <w:rFonts w:asciiTheme="majorHAnsi" w:hAnsiTheme="majorHAnsi" w:cstheme="majorHAnsi"/>
                <w:sz w:val="20"/>
              </w:rPr>
              <w:t xml:space="preserve"> </w:t>
            </w:r>
            <w:r w:rsidR="0071110F">
              <w:rPr>
                <w:rStyle w:val="e24kjd"/>
                <w:rFonts w:asciiTheme="majorHAnsi" w:hAnsiTheme="majorHAnsi" w:cstheme="majorHAnsi"/>
                <w:sz w:val="20"/>
              </w:rPr>
              <w:t>women</w:t>
            </w:r>
            <w:r w:rsidR="00047D69">
              <w:rPr>
                <w:rStyle w:val="e24kjd"/>
                <w:rFonts w:asciiTheme="majorHAnsi" w:hAnsiTheme="majorHAnsi" w:cstheme="majorHAnsi"/>
                <w:sz w:val="20"/>
              </w:rPr>
              <w:t xml:space="preserve"> (2</w:t>
            </w:r>
            <w:r w:rsidR="00047D69" w:rsidRPr="002D2F6D">
              <w:rPr>
                <w:rStyle w:val="e24kjd"/>
                <w:rFonts w:asciiTheme="majorHAnsi" w:hAnsiTheme="majorHAnsi" w:cstheme="majorHAnsi"/>
                <w:sz w:val="20"/>
              </w:rPr>
              <w:t>5%</w:t>
            </w:r>
            <w:r w:rsidR="00047D69">
              <w:rPr>
                <w:rStyle w:val="e24kjd"/>
                <w:rFonts w:asciiTheme="majorHAnsi" w:hAnsiTheme="majorHAnsi" w:cstheme="majorHAnsi"/>
                <w:sz w:val="20"/>
              </w:rPr>
              <w:t>)</w:t>
            </w:r>
            <w:r w:rsidR="0071110F">
              <w:rPr>
                <w:rStyle w:val="e24kjd"/>
                <w:rFonts w:asciiTheme="majorHAnsi" w:hAnsiTheme="majorHAnsi" w:cstheme="majorHAnsi"/>
                <w:sz w:val="20"/>
              </w:rPr>
              <w:t xml:space="preserve"> </w:t>
            </w:r>
            <w:r w:rsidR="00047D69">
              <w:rPr>
                <w:rStyle w:val="e24kjd"/>
                <w:rFonts w:asciiTheme="majorHAnsi" w:hAnsiTheme="majorHAnsi" w:cstheme="majorHAnsi"/>
                <w:sz w:val="20"/>
              </w:rPr>
              <w:t xml:space="preserve">in </w:t>
            </w:r>
            <w:r w:rsidR="00047D69" w:rsidRPr="002D2F6D">
              <w:rPr>
                <w:rStyle w:val="e24kjd"/>
                <w:rFonts w:asciiTheme="majorHAnsi" w:hAnsiTheme="majorHAnsi" w:cstheme="majorHAnsi"/>
                <w:sz w:val="20"/>
              </w:rPr>
              <w:t>2019</w:t>
            </w:r>
            <w:r w:rsidR="00047D69">
              <w:rPr>
                <w:rStyle w:val="e24kjd"/>
                <w:rFonts w:asciiTheme="majorHAnsi" w:hAnsiTheme="majorHAnsi" w:cstheme="majorHAnsi"/>
                <w:sz w:val="20"/>
              </w:rPr>
              <w:t xml:space="preserve"> and this trend is stable over time.</w:t>
            </w:r>
            <w:r w:rsidR="0071110F" w:rsidRPr="002D2F6D">
              <w:rPr>
                <w:rStyle w:val="e24kjd"/>
                <w:rFonts w:asciiTheme="majorHAnsi" w:hAnsiTheme="majorHAnsi" w:cstheme="majorHAnsi"/>
                <w:sz w:val="20"/>
              </w:rPr>
              <w:t xml:space="preserve"> </w:t>
            </w:r>
            <w:r w:rsidR="00047D69">
              <w:rPr>
                <w:rStyle w:val="e24kjd"/>
                <w:rFonts w:asciiTheme="majorHAnsi" w:hAnsiTheme="majorHAnsi" w:cstheme="majorHAnsi"/>
                <w:sz w:val="20"/>
              </w:rPr>
              <w:t>Among those diagnosed with CD4&lt;200, the</w:t>
            </w:r>
            <w:r w:rsidR="0071110F" w:rsidRPr="002D2F6D">
              <w:rPr>
                <w:rStyle w:val="e24kjd"/>
                <w:rFonts w:asciiTheme="majorHAnsi" w:hAnsiTheme="majorHAnsi" w:cstheme="majorHAnsi"/>
                <w:sz w:val="20"/>
              </w:rPr>
              <w:t xml:space="preserve"> age group 25-39 years </w:t>
            </w:r>
            <w:r w:rsidR="00047D69">
              <w:rPr>
                <w:rStyle w:val="e24kjd"/>
                <w:rFonts w:asciiTheme="majorHAnsi" w:hAnsiTheme="majorHAnsi" w:cstheme="majorHAnsi"/>
                <w:sz w:val="20"/>
              </w:rPr>
              <w:t>has been decreasing</w:t>
            </w:r>
            <w:r w:rsidR="0071110F" w:rsidRPr="002D2F6D">
              <w:rPr>
                <w:rStyle w:val="e24kjd"/>
                <w:rFonts w:asciiTheme="majorHAnsi" w:hAnsiTheme="majorHAnsi" w:cstheme="majorHAnsi"/>
                <w:sz w:val="20"/>
              </w:rPr>
              <w:t>, with 40.9% in 2019 compared with 48.4% in 2015. Similarly, the levels of late diagnosis among those who reported heterosexual transmission are also higher with 78%.</w:t>
            </w:r>
          </w:p>
          <w:p w14:paraId="7EED3E57" w14:textId="77777777" w:rsidR="00770158" w:rsidRPr="002D2F6D" w:rsidRDefault="00770158" w:rsidP="00770158">
            <w:pPr>
              <w:tabs>
                <w:tab w:val="num" w:pos="720"/>
              </w:tabs>
              <w:spacing w:after="0" w:line="240" w:lineRule="auto"/>
              <w:jc w:val="both"/>
              <w:rPr>
                <w:rStyle w:val="e24kjd"/>
                <w:rFonts w:asciiTheme="majorHAnsi" w:hAnsiTheme="majorHAnsi" w:cstheme="majorHAnsi"/>
                <w:b/>
                <w:sz w:val="20"/>
              </w:rPr>
            </w:pPr>
            <w:r w:rsidRPr="002D2F6D">
              <w:rPr>
                <w:rStyle w:val="e24kjd"/>
                <w:rFonts w:asciiTheme="majorHAnsi" w:hAnsiTheme="majorHAnsi" w:cstheme="majorHAnsi"/>
                <w:b/>
                <w:sz w:val="20"/>
              </w:rPr>
              <w:t xml:space="preserve">Late presentation for HIV diagnosis: </w:t>
            </w:r>
            <w:r>
              <w:rPr>
                <w:rStyle w:val="e24kjd"/>
                <w:rFonts w:asciiTheme="majorHAnsi" w:hAnsiTheme="majorHAnsi" w:cstheme="majorHAnsi"/>
                <w:b/>
                <w:sz w:val="20"/>
              </w:rPr>
              <w:t>age breakdown of those with CD4 count&lt;200 (2015-2019)</w:t>
            </w:r>
          </w:p>
          <w:p w14:paraId="3FCEC2FC" w14:textId="5570E132" w:rsidR="00770158" w:rsidRDefault="00770158" w:rsidP="007E3A64">
            <w:pPr>
              <w:tabs>
                <w:tab w:val="num" w:pos="720"/>
              </w:tabs>
              <w:jc w:val="both"/>
              <w:rPr>
                <w:rStyle w:val="e24kjd"/>
                <w:rFonts w:asciiTheme="majorHAnsi" w:hAnsiTheme="majorHAnsi" w:cstheme="majorHAnsi"/>
                <w:sz w:val="20"/>
              </w:rPr>
            </w:pPr>
            <w:r>
              <w:rPr>
                <w:noProof/>
              </w:rPr>
              <w:drawing>
                <wp:inline distT="0" distB="0" distL="0" distR="0" wp14:anchorId="667C294E" wp14:editId="444995FD">
                  <wp:extent cx="6400800" cy="1495425"/>
                  <wp:effectExtent l="0" t="0" r="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1DB73F7" w14:textId="4A2A8C49" w:rsidR="00500EA7" w:rsidRDefault="00500EA7" w:rsidP="00500EA7">
            <w:pPr>
              <w:ind w:right="157"/>
              <w:jc w:val="both"/>
              <w:rPr>
                <w:rStyle w:val="e24kjd"/>
                <w:rFonts w:asciiTheme="majorHAnsi" w:hAnsiTheme="majorHAnsi" w:cstheme="majorHAnsi"/>
                <w:b/>
                <w:sz w:val="20"/>
              </w:rPr>
            </w:pPr>
            <w:r>
              <w:rPr>
                <w:rFonts w:cs="Arial"/>
                <w:sz w:val="18"/>
              </w:rPr>
              <w:t>S</w:t>
            </w:r>
            <w:r w:rsidRPr="00E4545E">
              <w:rPr>
                <w:rFonts w:cs="Arial"/>
                <w:sz w:val="18"/>
              </w:rPr>
              <w:t xml:space="preserve">ource: </w:t>
            </w:r>
            <w:r w:rsidRPr="00B629D0">
              <w:rPr>
                <w:rFonts w:cs="Arial"/>
                <w:sz w:val="18"/>
              </w:rPr>
              <w:t>National Coordination Unit, National Program on Prevention and Control of HIV/AIDS and STI</w:t>
            </w:r>
            <w:r>
              <w:rPr>
                <w:rFonts w:cs="Arial"/>
                <w:sz w:val="18"/>
              </w:rPr>
              <w:t xml:space="preserve"> data</w:t>
            </w:r>
            <w:r w:rsidRPr="003112FF">
              <w:rPr>
                <w:rStyle w:val="e24kjd"/>
                <w:rFonts w:asciiTheme="majorHAnsi" w:hAnsiTheme="majorHAnsi" w:cstheme="majorHAnsi"/>
                <w:b/>
                <w:sz w:val="20"/>
              </w:rPr>
              <w:t xml:space="preserve"> </w:t>
            </w:r>
          </w:p>
          <w:p w14:paraId="0590206C" w14:textId="57581733" w:rsidR="0071110F" w:rsidRDefault="0071110F" w:rsidP="0009442E">
            <w:pPr>
              <w:pStyle w:val="Default"/>
              <w:jc w:val="both"/>
              <w:rPr>
                <w:rStyle w:val="e24kjd"/>
                <w:sz w:val="20"/>
                <w:szCs w:val="20"/>
              </w:rPr>
            </w:pPr>
            <w:r w:rsidRPr="00923070">
              <w:rPr>
                <w:rStyle w:val="e24kjd"/>
                <w:rFonts w:asciiTheme="majorHAnsi" w:hAnsiTheme="majorHAnsi" w:cstheme="majorHAnsi"/>
                <w:b/>
                <w:sz w:val="20"/>
              </w:rPr>
              <w:t>ART</w:t>
            </w:r>
            <w:r>
              <w:rPr>
                <w:rStyle w:val="e24kjd"/>
                <w:rFonts w:asciiTheme="majorHAnsi" w:hAnsiTheme="majorHAnsi" w:cstheme="majorHAnsi"/>
                <w:b/>
                <w:sz w:val="20"/>
              </w:rPr>
              <w:t xml:space="preserve"> provision</w:t>
            </w:r>
            <w:r>
              <w:rPr>
                <w:rStyle w:val="e24kjd"/>
                <w:rFonts w:asciiTheme="majorHAnsi" w:hAnsiTheme="majorHAnsi" w:cstheme="majorHAnsi"/>
                <w:sz w:val="20"/>
              </w:rPr>
              <w:t xml:space="preserve">: </w:t>
            </w:r>
            <w:r w:rsidRPr="003D49A3">
              <w:rPr>
                <w:rStyle w:val="e24kjd"/>
                <w:sz w:val="20"/>
                <w:szCs w:val="20"/>
              </w:rPr>
              <w:t>“</w:t>
            </w:r>
            <w:r w:rsidR="00A63F2F">
              <w:rPr>
                <w:rStyle w:val="e24kjd"/>
                <w:sz w:val="20"/>
                <w:szCs w:val="20"/>
              </w:rPr>
              <w:t xml:space="preserve">test and </w:t>
            </w:r>
            <w:r w:rsidRPr="003D49A3">
              <w:rPr>
                <w:rStyle w:val="e24kjd"/>
                <w:sz w:val="20"/>
                <w:szCs w:val="20"/>
              </w:rPr>
              <w:t>treat” approach led to no waiti</w:t>
            </w:r>
            <w:r w:rsidR="00A63F2F">
              <w:rPr>
                <w:rStyle w:val="e24kjd"/>
                <w:sz w:val="20"/>
                <w:szCs w:val="20"/>
              </w:rPr>
              <w:t xml:space="preserve">ng time for treatment enrolment, all newly diagnosed are put on treatment. </w:t>
            </w:r>
            <w:r w:rsidRPr="003D49A3">
              <w:rPr>
                <w:rStyle w:val="e24kjd"/>
                <w:sz w:val="20"/>
                <w:szCs w:val="20"/>
              </w:rPr>
              <w:t xml:space="preserve">Treatment </w:t>
            </w:r>
            <w:r w:rsidR="00A63F2F">
              <w:rPr>
                <w:rStyle w:val="e24kjd"/>
                <w:sz w:val="20"/>
                <w:szCs w:val="20"/>
              </w:rPr>
              <w:t xml:space="preserve">services are </w:t>
            </w:r>
            <w:r w:rsidRPr="003D49A3">
              <w:rPr>
                <w:rStyle w:val="e24kjd"/>
                <w:sz w:val="20"/>
                <w:szCs w:val="20"/>
              </w:rPr>
              <w:t xml:space="preserve">covered by national program regardless of health insurance status for all diagnosed people. </w:t>
            </w:r>
            <w:r w:rsidR="00A63F2F" w:rsidRPr="003D49A3">
              <w:rPr>
                <w:rStyle w:val="e24kjd"/>
                <w:sz w:val="20"/>
                <w:szCs w:val="20"/>
              </w:rPr>
              <w:t>Currently there are 8 tre</w:t>
            </w:r>
            <w:r w:rsidR="00A63F2F">
              <w:rPr>
                <w:rStyle w:val="e24kjd"/>
                <w:sz w:val="20"/>
                <w:szCs w:val="20"/>
              </w:rPr>
              <w:t xml:space="preserve">atment sites in the country. </w:t>
            </w:r>
            <w:r w:rsidRPr="003D49A3">
              <w:rPr>
                <w:rStyle w:val="e24kjd"/>
                <w:sz w:val="20"/>
                <w:szCs w:val="20"/>
              </w:rPr>
              <w:t xml:space="preserve">New clinical protocols are in place since 2018 include </w:t>
            </w:r>
            <w:r w:rsidRPr="00C329E8">
              <w:rPr>
                <w:rStyle w:val="e24kjd"/>
                <w:sz w:val="20"/>
                <w:szCs w:val="20"/>
              </w:rPr>
              <w:t>DTG-based regimens as 1st line, with 250 patients enrolled in 2018 and 850 in 2019, and treatment regimen optimization reduced from 28 in 2016 to 17 in 2019</w:t>
            </w:r>
            <w:r w:rsidRPr="00C329E8">
              <w:rPr>
                <w:sz w:val="20"/>
                <w:szCs w:val="20"/>
              </w:rPr>
              <w:t xml:space="preserve">. </w:t>
            </w:r>
            <w:r w:rsidRPr="00C329E8">
              <w:rPr>
                <w:rStyle w:val="e24kjd"/>
                <w:sz w:val="20"/>
                <w:szCs w:val="20"/>
              </w:rPr>
              <w:t>As a result, ART costs have significantly decreased. Differentiated approach allows multi-month scripting for stable adherent patients. During COVID-19 outbreak</w:t>
            </w:r>
            <w:r w:rsidR="0009442E">
              <w:rPr>
                <w:rStyle w:val="e24kjd"/>
                <w:sz w:val="20"/>
                <w:szCs w:val="20"/>
              </w:rPr>
              <w:t xml:space="preserve"> CSOs have home delivered ART to</w:t>
            </w:r>
            <w:r w:rsidRPr="00C329E8">
              <w:rPr>
                <w:rStyle w:val="e24kjd"/>
                <w:sz w:val="20"/>
                <w:szCs w:val="20"/>
              </w:rPr>
              <w:t xml:space="preserve"> 798 patients who were not able to travel to pick up the ARV medicines</w:t>
            </w:r>
            <w:r w:rsidR="0009442E">
              <w:rPr>
                <w:rStyle w:val="e24kjd"/>
                <w:sz w:val="20"/>
                <w:szCs w:val="20"/>
              </w:rPr>
              <w:t xml:space="preserve"> from facility</w:t>
            </w:r>
            <w:r w:rsidRPr="00C329E8">
              <w:rPr>
                <w:rStyle w:val="e24kjd"/>
                <w:sz w:val="20"/>
                <w:szCs w:val="20"/>
              </w:rPr>
              <w:t>.</w:t>
            </w:r>
            <w:r>
              <w:rPr>
                <w:rStyle w:val="e24kjd"/>
                <w:sz w:val="20"/>
                <w:szCs w:val="20"/>
              </w:rPr>
              <w:t xml:space="preserve"> </w:t>
            </w:r>
            <w:r>
              <w:rPr>
                <w:rStyle w:val="e24kjd"/>
                <w:rFonts w:asciiTheme="majorHAnsi" w:hAnsiTheme="majorHAnsi" w:cstheme="majorHAnsi"/>
                <w:sz w:val="20"/>
              </w:rPr>
              <w:t xml:space="preserve"> </w:t>
            </w:r>
            <w:r w:rsidRPr="00C329E8">
              <w:rPr>
                <w:rStyle w:val="e24kjd"/>
                <w:sz w:val="20"/>
                <w:szCs w:val="20"/>
              </w:rPr>
              <w:t>However, the treatm</w:t>
            </w:r>
            <w:r w:rsidR="00A63F2F">
              <w:rPr>
                <w:rStyle w:val="e24kjd"/>
                <w:sz w:val="20"/>
                <w:szCs w:val="20"/>
              </w:rPr>
              <w:t>ent coverage remains suboptimal, some reasons being</w:t>
            </w:r>
            <w:r w:rsidRPr="00C329E8">
              <w:rPr>
                <w:rStyle w:val="e24kjd"/>
                <w:sz w:val="20"/>
                <w:szCs w:val="20"/>
              </w:rPr>
              <w:t xml:space="preserve"> hig</w:t>
            </w:r>
            <w:r w:rsidR="00A63F2F">
              <w:rPr>
                <w:rStyle w:val="e24kjd"/>
                <w:sz w:val="20"/>
                <w:szCs w:val="20"/>
              </w:rPr>
              <w:t>h centralization of ART service,</w:t>
            </w:r>
            <w:r w:rsidR="0049222A">
              <w:rPr>
                <w:rStyle w:val="e24kjd"/>
                <w:sz w:val="20"/>
                <w:szCs w:val="20"/>
              </w:rPr>
              <w:t xml:space="preserve"> </w:t>
            </w:r>
            <w:r w:rsidRPr="00C329E8">
              <w:rPr>
                <w:rStyle w:val="e24kjd"/>
                <w:sz w:val="20"/>
                <w:szCs w:val="20"/>
              </w:rPr>
              <w:t xml:space="preserve">insufficient staff in existing ART </w:t>
            </w:r>
            <w:r>
              <w:rPr>
                <w:rStyle w:val="e24kjd"/>
                <w:sz w:val="20"/>
                <w:szCs w:val="20"/>
              </w:rPr>
              <w:t>centers</w:t>
            </w:r>
            <w:r w:rsidR="0049222A">
              <w:rPr>
                <w:rStyle w:val="e24kjd"/>
                <w:sz w:val="20"/>
                <w:szCs w:val="20"/>
              </w:rPr>
              <w:t>, insufficient s funding for services not allowing quality service provision.</w:t>
            </w:r>
            <w:r>
              <w:rPr>
                <w:rStyle w:val="e24kjd"/>
                <w:sz w:val="20"/>
                <w:szCs w:val="20"/>
              </w:rPr>
              <w:t xml:space="preserve"> </w:t>
            </w:r>
          </w:p>
          <w:p w14:paraId="708D6242" w14:textId="77777777" w:rsidR="0009442E" w:rsidRPr="003D49A3" w:rsidRDefault="0009442E" w:rsidP="0009442E">
            <w:pPr>
              <w:pStyle w:val="Default"/>
              <w:jc w:val="both"/>
              <w:rPr>
                <w:rStyle w:val="e24kjd"/>
                <w:sz w:val="20"/>
                <w:szCs w:val="20"/>
              </w:rPr>
            </w:pPr>
          </w:p>
          <w:p w14:paraId="05386FAF" w14:textId="5350D8F3" w:rsidR="0071110F" w:rsidRPr="00500EA7" w:rsidRDefault="0071110F" w:rsidP="00781834">
            <w:pPr>
              <w:tabs>
                <w:tab w:val="num" w:pos="720"/>
              </w:tabs>
              <w:jc w:val="both"/>
              <w:rPr>
                <w:rStyle w:val="e24kjd"/>
                <w:rFonts w:asciiTheme="majorHAnsi" w:hAnsiTheme="majorHAnsi" w:cstheme="majorHAnsi"/>
                <w:sz w:val="20"/>
              </w:rPr>
            </w:pPr>
            <w:r w:rsidRPr="00F251C1">
              <w:rPr>
                <w:rFonts w:cs="Arial"/>
                <w:b/>
                <w:sz w:val="20"/>
              </w:rPr>
              <w:t>90</w:t>
            </w:r>
            <w:r w:rsidR="00713B46">
              <w:rPr>
                <w:rFonts w:cs="Arial"/>
                <w:b/>
                <w:sz w:val="20"/>
              </w:rPr>
              <w:t>% of PLHIV</w:t>
            </w:r>
            <w:r w:rsidR="007E3A64">
              <w:rPr>
                <w:rFonts w:cs="Arial"/>
                <w:b/>
                <w:sz w:val="20"/>
              </w:rPr>
              <w:t xml:space="preserve"> are virally suppressed</w:t>
            </w:r>
            <w:r>
              <w:rPr>
                <w:rFonts w:cs="Arial"/>
                <w:b/>
              </w:rPr>
              <w:t xml:space="preserve">: </w:t>
            </w:r>
            <w:r w:rsidRPr="003C1741">
              <w:rPr>
                <w:rStyle w:val="e24kjd"/>
                <w:rFonts w:asciiTheme="majorHAnsi" w:hAnsiTheme="majorHAnsi" w:cstheme="majorHAnsi"/>
                <w:sz w:val="20"/>
              </w:rPr>
              <w:t xml:space="preserve">Treatment retention </w:t>
            </w:r>
            <w:r w:rsidR="00875E9C">
              <w:rPr>
                <w:rStyle w:val="e24kjd"/>
                <w:rFonts w:asciiTheme="majorHAnsi" w:hAnsiTheme="majorHAnsi" w:cstheme="majorHAnsi"/>
                <w:sz w:val="20"/>
              </w:rPr>
              <w:t>was</w:t>
            </w:r>
            <w:r w:rsidRPr="003C1741">
              <w:rPr>
                <w:rStyle w:val="e24kjd"/>
                <w:rFonts w:asciiTheme="majorHAnsi" w:hAnsiTheme="majorHAnsi" w:cstheme="majorHAnsi"/>
                <w:sz w:val="20"/>
              </w:rPr>
              <w:t xml:space="preserve"> 85% at 12 months, 81% at </w:t>
            </w:r>
            <w:r>
              <w:rPr>
                <w:rStyle w:val="e24kjd"/>
                <w:rFonts w:asciiTheme="majorHAnsi" w:hAnsiTheme="majorHAnsi" w:cstheme="majorHAnsi"/>
                <w:sz w:val="20"/>
              </w:rPr>
              <w:t xml:space="preserve">24 months and 74% at 60 months, achieving current NAP targets </w:t>
            </w:r>
            <w:r w:rsidRPr="00C329E8">
              <w:rPr>
                <w:rStyle w:val="e24kjd"/>
                <w:rFonts w:asciiTheme="majorHAnsi" w:hAnsiTheme="majorHAnsi" w:cstheme="majorHAnsi"/>
                <w:sz w:val="20"/>
                <w:szCs w:val="20"/>
              </w:rPr>
              <w:t>set at 80% at 12 months, 75% at 24 months and 70% at 60 months</w:t>
            </w:r>
            <w:r w:rsidR="00875E9C">
              <w:rPr>
                <w:rStyle w:val="e24kjd"/>
                <w:rFonts w:asciiTheme="majorHAnsi" w:hAnsiTheme="majorHAnsi" w:cstheme="majorHAnsi"/>
                <w:sz w:val="20"/>
                <w:szCs w:val="20"/>
              </w:rPr>
              <w:t xml:space="preserve"> at the end of 2019</w:t>
            </w:r>
            <w:r w:rsidRPr="00C329E8">
              <w:rPr>
                <w:rStyle w:val="e24kjd"/>
                <w:rFonts w:asciiTheme="majorHAnsi" w:hAnsiTheme="majorHAnsi" w:cstheme="majorHAnsi"/>
                <w:sz w:val="20"/>
                <w:szCs w:val="20"/>
              </w:rPr>
              <w:t>.</w:t>
            </w:r>
            <w:r w:rsidRPr="003C1741">
              <w:rPr>
                <w:rStyle w:val="e24kjd"/>
                <w:rFonts w:asciiTheme="majorHAnsi" w:hAnsiTheme="majorHAnsi" w:cstheme="majorHAnsi"/>
                <w:sz w:val="20"/>
              </w:rPr>
              <w:t xml:space="preserve"> </w:t>
            </w:r>
            <w:r w:rsidR="0049222A" w:rsidRPr="00F251C1">
              <w:rPr>
                <w:rStyle w:val="e24kjd"/>
                <w:rFonts w:asciiTheme="majorHAnsi" w:hAnsiTheme="majorHAnsi" w:cstheme="majorHAnsi"/>
                <w:sz w:val="20"/>
              </w:rPr>
              <w:t>Treatment monitoring</w:t>
            </w:r>
            <w:r w:rsidR="0049222A" w:rsidRPr="00923070">
              <w:rPr>
                <w:rStyle w:val="e24kjd"/>
                <w:rFonts w:asciiTheme="majorHAnsi" w:hAnsiTheme="majorHAnsi" w:cstheme="majorHAnsi"/>
                <w:sz w:val="20"/>
              </w:rPr>
              <w:t xml:space="preserve"> includes Xpert viral load testing</w:t>
            </w:r>
            <w:r w:rsidR="0049222A">
              <w:rPr>
                <w:rStyle w:val="e24kjd"/>
                <w:rFonts w:asciiTheme="majorHAnsi" w:hAnsiTheme="majorHAnsi" w:cstheme="majorHAnsi"/>
                <w:sz w:val="20"/>
              </w:rPr>
              <w:t xml:space="preserve"> and </w:t>
            </w:r>
            <w:r w:rsidR="0049222A" w:rsidRPr="00500EA7">
              <w:rPr>
                <w:rStyle w:val="e24kjd"/>
                <w:rFonts w:asciiTheme="majorHAnsi" w:hAnsiTheme="majorHAnsi" w:cstheme="majorHAnsi"/>
                <w:sz w:val="20"/>
              </w:rPr>
              <w:t xml:space="preserve">toxicity monitoring. </w:t>
            </w:r>
            <w:r>
              <w:rPr>
                <w:rStyle w:val="e24kjd"/>
                <w:rFonts w:asciiTheme="majorHAnsi" w:hAnsiTheme="majorHAnsi" w:cstheme="majorHAnsi"/>
                <w:sz w:val="20"/>
              </w:rPr>
              <w:t xml:space="preserve">Key bottlenecks in improving treatment coverage is finding people lost to follow up and bringing them back into care. Most of this work is done by medical staff and there is no strategy allowing other PLWH to find those lost to follow up. Other </w:t>
            </w:r>
            <w:r w:rsidRPr="003C1741">
              <w:rPr>
                <w:rStyle w:val="e24kjd"/>
                <w:rFonts w:asciiTheme="majorHAnsi" w:hAnsiTheme="majorHAnsi" w:cstheme="majorHAnsi"/>
                <w:sz w:val="20"/>
              </w:rPr>
              <w:t>barriers to improve adherence are centralization of ART, high workload for infectious disease specialists in ART sites</w:t>
            </w:r>
            <w:r w:rsidR="0049222A">
              <w:rPr>
                <w:rStyle w:val="e24kjd"/>
                <w:rFonts w:asciiTheme="majorHAnsi" w:hAnsiTheme="majorHAnsi" w:cstheme="majorHAnsi"/>
                <w:sz w:val="20"/>
              </w:rPr>
              <w:t xml:space="preserve">, insufficient </w:t>
            </w:r>
            <w:r w:rsidR="0049222A">
              <w:rPr>
                <w:rStyle w:val="e24kjd"/>
                <w:rFonts w:asciiTheme="majorHAnsi" w:hAnsiTheme="majorHAnsi" w:cstheme="majorHAnsi"/>
                <w:sz w:val="20"/>
              </w:rPr>
              <w:lastRenderedPageBreak/>
              <w:t xml:space="preserve">supportive services, </w:t>
            </w:r>
            <w:r w:rsidRPr="003C1741">
              <w:rPr>
                <w:rStyle w:val="e24kjd"/>
                <w:rFonts w:asciiTheme="majorHAnsi" w:hAnsiTheme="majorHAnsi" w:cstheme="majorHAnsi"/>
                <w:sz w:val="20"/>
              </w:rPr>
              <w:t>and migration</w:t>
            </w:r>
            <w:r w:rsidRPr="00F269D7">
              <w:rPr>
                <w:rStyle w:val="e24kjd"/>
                <w:rFonts w:asciiTheme="majorHAnsi" w:hAnsiTheme="majorHAnsi" w:cstheme="majorHAnsi"/>
                <w:sz w:val="20"/>
              </w:rPr>
              <w:t xml:space="preserve">. The treatment continuity </w:t>
            </w:r>
            <w:r>
              <w:rPr>
                <w:rStyle w:val="e24kjd"/>
                <w:rFonts w:asciiTheme="majorHAnsi" w:hAnsiTheme="majorHAnsi" w:cstheme="majorHAnsi"/>
                <w:sz w:val="20"/>
              </w:rPr>
              <w:t>between prisons, health facilities and NGOs is still weak and fragmented.</w:t>
            </w:r>
            <w:r w:rsidRPr="00F269D7">
              <w:rPr>
                <w:rStyle w:val="e24kjd"/>
                <w:rFonts w:asciiTheme="majorHAnsi" w:hAnsiTheme="majorHAnsi" w:cstheme="majorHAnsi"/>
                <w:sz w:val="20"/>
              </w:rPr>
              <w:t xml:space="preserve"> </w:t>
            </w:r>
            <w:r>
              <w:rPr>
                <w:rStyle w:val="e24kjd"/>
                <w:rFonts w:asciiTheme="majorHAnsi" w:hAnsiTheme="majorHAnsi" w:cstheme="majorHAnsi"/>
                <w:sz w:val="20"/>
              </w:rPr>
              <w:t xml:space="preserve">Lack of an operational electronic system decreases timely information exchange between all these actors. </w:t>
            </w:r>
          </w:p>
          <w:p w14:paraId="612132A3" w14:textId="1FB92A55" w:rsidR="0071110F" w:rsidRDefault="0071110F" w:rsidP="00543D4F">
            <w:pPr>
              <w:jc w:val="both"/>
              <w:rPr>
                <w:rStyle w:val="e24kjd"/>
                <w:rFonts w:asciiTheme="majorHAnsi" w:hAnsiTheme="majorHAnsi" w:cstheme="majorHAnsi"/>
              </w:rPr>
            </w:pPr>
            <w:r w:rsidRPr="00500EA7">
              <w:rPr>
                <w:rStyle w:val="e24kjd"/>
                <w:rFonts w:asciiTheme="majorHAnsi" w:hAnsiTheme="majorHAnsi" w:cstheme="majorHAnsi"/>
                <w:b/>
                <w:sz w:val="20"/>
              </w:rPr>
              <w:t>TB/HIV</w:t>
            </w:r>
            <w:r w:rsidRPr="00500EA7">
              <w:rPr>
                <w:rStyle w:val="e24kjd"/>
                <w:rFonts w:asciiTheme="majorHAnsi" w:hAnsiTheme="majorHAnsi" w:cstheme="majorHAnsi"/>
                <w:sz w:val="20"/>
              </w:rPr>
              <w:t>: TB/HIV</w:t>
            </w:r>
            <w:r w:rsidRPr="00543D4F">
              <w:rPr>
                <w:rStyle w:val="e24kjd"/>
                <w:rFonts w:asciiTheme="majorHAnsi" w:hAnsiTheme="majorHAnsi" w:cstheme="majorHAnsi"/>
                <w:sz w:val="20"/>
              </w:rPr>
              <w:t xml:space="preserve"> co-infection is </w:t>
            </w:r>
            <w:r w:rsidR="00543D4F" w:rsidRPr="00543D4F">
              <w:rPr>
                <w:rStyle w:val="e24kjd"/>
                <w:rFonts w:asciiTheme="majorHAnsi" w:hAnsiTheme="majorHAnsi" w:cstheme="majorHAnsi"/>
                <w:sz w:val="20"/>
              </w:rPr>
              <w:t xml:space="preserve">part of </w:t>
            </w:r>
            <w:r w:rsidRPr="00543D4F">
              <w:rPr>
                <w:rStyle w:val="e24kjd"/>
                <w:rFonts w:asciiTheme="majorHAnsi" w:hAnsiTheme="majorHAnsi" w:cstheme="majorHAnsi"/>
                <w:sz w:val="20"/>
              </w:rPr>
              <w:t>general objective</w:t>
            </w:r>
            <w:r w:rsidR="00543D4F" w:rsidRPr="00543D4F">
              <w:rPr>
                <w:rStyle w:val="e24kjd"/>
                <w:rFonts w:asciiTheme="majorHAnsi" w:hAnsiTheme="majorHAnsi" w:cstheme="majorHAnsi"/>
                <w:sz w:val="20"/>
              </w:rPr>
              <w:t xml:space="preserve"> of current NAP 2016-2020.</w:t>
            </w:r>
            <w:r w:rsidRPr="00543D4F">
              <w:rPr>
                <w:rStyle w:val="e24kjd"/>
                <w:rFonts w:asciiTheme="majorHAnsi" w:hAnsiTheme="majorHAnsi" w:cstheme="majorHAnsi"/>
                <w:sz w:val="20"/>
              </w:rPr>
              <w:t xml:space="preserve"> “By 2020, 80% of people living with HIV in need of treatment for opportunistic infections receive appropriate treatment and antiretroviral therapy” and inclu</w:t>
            </w:r>
            <w:r w:rsidR="00543D4F" w:rsidRPr="00543D4F">
              <w:rPr>
                <w:rStyle w:val="e24kjd"/>
                <w:rFonts w:asciiTheme="majorHAnsi" w:hAnsiTheme="majorHAnsi" w:cstheme="majorHAnsi"/>
                <w:sz w:val="20"/>
              </w:rPr>
              <w:t>des specific indicator for TB</w:t>
            </w:r>
            <w:r w:rsidRPr="00543D4F">
              <w:rPr>
                <w:rStyle w:val="e24kjd"/>
                <w:rFonts w:asciiTheme="majorHAnsi" w:hAnsiTheme="majorHAnsi" w:cstheme="majorHAnsi"/>
                <w:sz w:val="20"/>
              </w:rPr>
              <w:t>. TB/HIV coinfection is part of the protocols and includes algorithm of patient care, drugs interaction, prophylactics of Isoniazid and co</w:t>
            </w:r>
            <w:r w:rsidR="00770158">
              <w:rPr>
                <w:rStyle w:val="e24kjd"/>
                <w:rFonts w:asciiTheme="majorHAnsi" w:hAnsiTheme="majorHAnsi" w:cstheme="majorHAnsi"/>
                <w:sz w:val="20"/>
              </w:rPr>
              <w:t>-</w:t>
            </w:r>
            <w:r w:rsidRPr="00543D4F">
              <w:rPr>
                <w:rStyle w:val="e24kjd"/>
                <w:rFonts w:asciiTheme="majorHAnsi" w:hAnsiTheme="majorHAnsi" w:cstheme="majorHAnsi"/>
                <w:sz w:val="20"/>
              </w:rPr>
              <w:t xml:space="preserve">trimoxazole. </w:t>
            </w:r>
            <w:r w:rsidR="00500EA7">
              <w:rPr>
                <w:rStyle w:val="e24kjd"/>
                <w:rFonts w:asciiTheme="majorHAnsi" w:hAnsiTheme="majorHAnsi" w:cstheme="majorHAnsi"/>
                <w:sz w:val="20"/>
              </w:rPr>
              <w:t>The clinical</w:t>
            </w:r>
            <w:r w:rsidRPr="00543D4F">
              <w:rPr>
                <w:rStyle w:val="e24kjd"/>
                <w:rFonts w:asciiTheme="majorHAnsi" w:hAnsiTheme="majorHAnsi" w:cstheme="majorHAnsi"/>
                <w:sz w:val="20"/>
              </w:rPr>
              <w:t xml:space="preserve"> protocol also includes the indicators related to death of HIV patients due to TB and treatment of both infections.  During</w:t>
            </w:r>
            <w:r w:rsidR="00543D4F">
              <w:rPr>
                <w:rStyle w:val="e24kjd"/>
                <w:rFonts w:asciiTheme="majorHAnsi" w:hAnsiTheme="majorHAnsi" w:cstheme="majorHAnsi"/>
                <w:sz w:val="20"/>
              </w:rPr>
              <w:t xml:space="preserve"> 2016-</w:t>
            </w:r>
            <w:r w:rsidRPr="00543D4F">
              <w:rPr>
                <w:rStyle w:val="e24kjd"/>
                <w:rFonts w:asciiTheme="majorHAnsi" w:hAnsiTheme="majorHAnsi" w:cstheme="majorHAnsi"/>
                <w:sz w:val="20"/>
              </w:rPr>
              <w:t xml:space="preserve">2019, </w:t>
            </w:r>
            <w:r w:rsidR="00543D4F">
              <w:rPr>
                <w:rStyle w:val="e24kjd"/>
                <w:rFonts w:asciiTheme="majorHAnsi" w:hAnsiTheme="majorHAnsi" w:cstheme="majorHAnsi"/>
                <w:sz w:val="20"/>
              </w:rPr>
              <w:t xml:space="preserve">significant improvements were registered in screening PLHIV for TB (85% in 2019), starting TPT in 2017, and </w:t>
            </w:r>
            <w:r w:rsidR="00500EA7">
              <w:rPr>
                <w:rStyle w:val="e24kjd"/>
                <w:rFonts w:asciiTheme="majorHAnsi" w:hAnsiTheme="majorHAnsi" w:cstheme="majorHAnsi"/>
                <w:sz w:val="20"/>
              </w:rPr>
              <w:t>enrolling</w:t>
            </w:r>
            <w:r w:rsidR="00543D4F">
              <w:rPr>
                <w:rStyle w:val="e24kjd"/>
                <w:rFonts w:asciiTheme="majorHAnsi" w:hAnsiTheme="majorHAnsi" w:cstheme="majorHAnsi"/>
                <w:sz w:val="20"/>
              </w:rPr>
              <w:t xml:space="preserve"> 90% of TB/HIV patients on ART. TB/HIV clinical audits</w:t>
            </w:r>
            <w:r w:rsidR="00500EA7">
              <w:rPr>
                <w:rStyle w:val="e24kjd"/>
                <w:rFonts w:asciiTheme="majorHAnsi" w:hAnsiTheme="majorHAnsi" w:cstheme="majorHAnsi"/>
                <w:sz w:val="20"/>
              </w:rPr>
              <w:t xml:space="preserve"> and link to auditing national mortality data</w:t>
            </w:r>
            <w:r w:rsidR="00543D4F">
              <w:rPr>
                <w:rStyle w:val="e24kjd"/>
                <w:rFonts w:asciiTheme="majorHAnsi" w:hAnsiTheme="majorHAnsi" w:cstheme="majorHAnsi"/>
                <w:sz w:val="20"/>
              </w:rPr>
              <w:t xml:space="preserve"> showed areas of improvement and removing bottlenecks.  Employment of an ID specialist on staff at IFP and TB physician at SDMC improved clinical management</w:t>
            </w:r>
            <w:r w:rsidRPr="00543D4F">
              <w:rPr>
                <w:rStyle w:val="e24kjd"/>
                <w:rFonts w:asciiTheme="majorHAnsi" w:hAnsiTheme="majorHAnsi" w:cstheme="majorHAnsi"/>
                <w:sz w:val="20"/>
              </w:rPr>
              <w:t xml:space="preserve">. </w:t>
            </w:r>
            <w:r w:rsidR="00543D4F">
              <w:rPr>
                <w:rStyle w:val="e24kjd"/>
                <w:rFonts w:asciiTheme="majorHAnsi" w:hAnsiTheme="majorHAnsi" w:cstheme="majorHAnsi"/>
                <w:sz w:val="20"/>
              </w:rPr>
              <w:t>H</w:t>
            </w:r>
            <w:r w:rsidR="00500EA7">
              <w:rPr>
                <w:rStyle w:val="e24kjd"/>
                <w:rFonts w:asciiTheme="majorHAnsi" w:hAnsiTheme="majorHAnsi" w:cstheme="majorHAnsi"/>
                <w:sz w:val="20"/>
              </w:rPr>
              <w:t>owever, despite improvement, mortality due to TB is still high, TPT enrolment is low and earlier HIV case finding and linkage to care is needed to ensure sufficient time for appropriate TB/HIV interventions</w:t>
            </w:r>
            <w:r w:rsidRPr="00543D4F">
              <w:rPr>
                <w:rStyle w:val="e24kjd"/>
                <w:rFonts w:asciiTheme="majorHAnsi" w:hAnsiTheme="majorHAnsi" w:cstheme="majorHAnsi"/>
                <w:sz w:val="20"/>
              </w:rPr>
              <w:t xml:space="preserve"> for next period</w:t>
            </w:r>
            <w:r w:rsidRPr="00543D4F">
              <w:rPr>
                <w:rStyle w:val="e24kjd"/>
                <w:rFonts w:asciiTheme="majorHAnsi" w:hAnsiTheme="majorHAnsi" w:cstheme="majorHAnsi"/>
              </w:rPr>
              <w:t xml:space="preserve">. </w:t>
            </w:r>
          </w:p>
          <w:p w14:paraId="3DBFAF36" w14:textId="1C091CAB" w:rsidR="00500EA7" w:rsidRPr="00500EA7" w:rsidRDefault="00500EA7" w:rsidP="00543D4F">
            <w:pPr>
              <w:jc w:val="both"/>
              <w:rPr>
                <w:rStyle w:val="e24kjd"/>
                <w:rFonts w:asciiTheme="majorHAnsi" w:hAnsiTheme="majorHAnsi" w:cstheme="majorHAnsi"/>
                <w:b/>
                <w:sz w:val="18"/>
              </w:rPr>
            </w:pPr>
            <w:r w:rsidRPr="00500EA7">
              <w:rPr>
                <w:rStyle w:val="e24kjd"/>
                <w:rFonts w:asciiTheme="majorHAnsi" w:hAnsiTheme="majorHAnsi" w:cstheme="majorHAnsi"/>
                <w:b/>
                <w:sz w:val="18"/>
              </w:rPr>
              <w:t>Trends in TB/HIV key indicators, 2015-2019</w:t>
            </w:r>
          </w:p>
          <w:tbl>
            <w:tblPr>
              <w:tblStyle w:val="ListTable3-Accent4"/>
              <w:tblW w:w="7940" w:type="dxa"/>
              <w:tblLook w:val="04A0" w:firstRow="1" w:lastRow="0" w:firstColumn="1" w:lastColumn="0" w:noHBand="0" w:noVBand="1"/>
            </w:tblPr>
            <w:tblGrid>
              <w:gridCol w:w="3140"/>
              <w:gridCol w:w="960"/>
              <w:gridCol w:w="960"/>
              <w:gridCol w:w="960"/>
              <w:gridCol w:w="960"/>
              <w:gridCol w:w="960"/>
            </w:tblGrid>
            <w:tr w:rsidR="00543D4F" w:rsidRPr="00950217" w14:paraId="19A42B1E" w14:textId="77777777" w:rsidTr="007E3A64">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140" w:type="dxa"/>
                  <w:noWrap/>
                  <w:hideMark/>
                </w:tcPr>
                <w:p w14:paraId="3DA7849E" w14:textId="77777777" w:rsidR="00950217" w:rsidRPr="00950217" w:rsidRDefault="00950217" w:rsidP="00950217">
                  <w:pPr>
                    <w:spacing w:after="0" w:line="240" w:lineRule="auto"/>
                    <w:rPr>
                      <w:rFonts w:ascii="Calibri" w:eastAsia="Times New Roman" w:hAnsi="Calibri" w:cs="Times New Roman"/>
                      <w:color w:val="000000"/>
                    </w:rPr>
                  </w:pPr>
                  <w:r w:rsidRPr="00950217">
                    <w:rPr>
                      <w:rFonts w:ascii="Calibri" w:eastAsia="Times New Roman" w:hAnsi="Calibri" w:cs="Times New Roman"/>
                      <w:color w:val="000000"/>
                    </w:rPr>
                    <w:t> </w:t>
                  </w:r>
                </w:p>
              </w:tc>
              <w:tc>
                <w:tcPr>
                  <w:tcW w:w="960" w:type="dxa"/>
                  <w:noWrap/>
                  <w:hideMark/>
                </w:tcPr>
                <w:p w14:paraId="5E977AA3" w14:textId="77777777" w:rsidR="00950217" w:rsidRPr="00950217" w:rsidRDefault="00950217" w:rsidP="0095021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950217">
                    <w:rPr>
                      <w:rFonts w:ascii="Calibri" w:eastAsia="Times New Roman" w:hAnsi="Calibri" w:cs="Times New Roman"/>
                    </w:rPr>
                    <w:t>2015</w:t>
                  </w:r>
                </w:p>
              </w:tc>
              <w:tc>
                <w:tcPr>
                  <w:tcW w:w="960" w:type="dxa"/>
                  <w:noWrap/>
                  <w:hideMark/>
                </w:tcPr>
                <w:p w14:paraId="7448A5DD" w14:textId="77777777" w:rsidR="00950217" w:rsidRPr="00950217" w:rsidRDefault="00950217" w:rsidP="0095021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950217">
                    <w:rPr>
                      <w:rFonts w:ascii="Calibri" w:eastAsia="Times New Roman" w:hAnsi="Calibri" w:cs="Times New Roman"/>
                    </w:rPr>
                    <w:t>2016</w:t>
                  </w:r>
                </w:p>
              </w:tc>
              <w:tc>
                <w:tcPr>
                  <w:tcW w:w="960" w:type="dxa"/>
                  <w:noWrap/>
                  <w:hideMark/>
                </w:tcPr>
                <w:p w14:paraId="221009A5" w14:textId="77777777" w:rsidR="00950217" w:rsidRPr="00950217" w:rsidRDefault="00950217" w:rsidP="0095021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950217">
                    <w:rPr>
                      <w:rFonts w:ascii="Calibri" w:eastAsia="Times New Roman" w:hAnsi="Calibri" w:cs="Times New Roman"/>
                    </w:rPr>
                    <w:t>2017</w:t>
                  </w:r>
                </w:p>
              </w:tc>
              <w:tc>
                <w:tcPr>
                  <w:tcW w:w="960" w:type="dxa"/>
                  <w:noWrap/>
                  <w:hideMark/>
                </w:tcPr>
                <w:p w14:paraId="5C4ECA3E" w14:textId="77777777" w:rsidR="00950217" w:rsidRPr="00950217" w:rsidRDefault="00950217" w:rsidP="0095021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950217">
                    <w:rPr>
                      <w:rFonts w:ascii="Calibri" w:eastAsia="Times New Roman" w:hAnsi="Calibri" w:cs="Times New Roman"/>
                    </w:rPr>
                    <w:t>2018</w:t>
                  </w:r>
                </w:p>
              </w:tc>
              <w:tc>
                <w:tcPr>
                  <w:tcW w:w="960" w:type="dxa"/>
                  <w:noWrap/>
                  <w:hideMark/>
                </w:tcPr>
                <w:p w14:paraId="55B19B6B" w14:textId="77777777" w:rsidR="00950217" w:rsidRPr="00950217" w:rsidRDefault="00950217" w:rsidP="0095021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950217">
                    <w:rPr>
                      <w:rFonts w:ascii="Calibri" w:eastAsia="Times New Roman" w:hAnsi="Calibri" w:cs="Times New Roman"/>
                    </w:rPr>
                    <w:t>2019</w:t>
                  </w:r>
                </w:p>
              </w:tc>
            </w:tr>
            <w:tr w:rsidR="00950217" w:rsidRPr="00950217" w14:paraId="41A543DD" w14:textId="77777777" w:rsidTr="007E3A6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140" w:type="dxa"/>
                  <w:hideMark/>
                </w:tcPr>
                <w:p w14:paraId="4A16F02B" w14:textId="77777777" w:rsidR="00950217" w:rsidRPr="00950217" w:rsidRDefault="00950217" w:rsidP="00950217">
                  <w:pPr>
                    <w:spacing w:after="0" w:line="240" w:lineRule="auto"/>
                    <w:rPr>
                      <w:rFonts w:eastAsia="Times New Roman" w:cs="Arial"/>
                      <w:color w:val="222222"/>
                      <w:sz w:val="20"/>
                      <w:szCs w:val="20"/>
                    </w:rPr>
                  </w:pPr>
                  <w:r w:rsidRPr="00950217">
                    <w:rPr>
                      <w:rFonts w:eastAsia="Times New Roman" w:cs="Arial"/>
                      <w:color w:val="222222"/>
                      <w:sz w:val="20"/>
                      <w:szCs w:val="20"/>
                    </w:rPr>
                    <w:t>PLHIV screened for TB</w:t>
                  </w:r>
                </w:p>
              </w:tc>
              <w:tc>
                <w:tcPr>
                  <w:tcW w:w="960" w:type="dxa"/>
                  <w:noWrap/>
                  <w:hideMark/>
                </w:tcPr>
                <w:p w14:paraId="6D088C64" w14:textId="77777777" w:rsidR="00950217" w:rsidRPr="00950217" w:rsidRDefault="00950217" w:rsidP="009502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50217">
                    <w:rPr>
                      <w:rFonts w:ascii="Calibri" w:eastAsia="Times New Roman" w:hAnsi="Calibri" w:cs="Times New Roman"/>
                      <w:color w:val="000000"/>
                    </w:rPr>
                    <w:t>83%</w:t>
                  </w:r>
                </w:p>
              </w:tc>
              <w:tc>
                <w:tcPr>
                  <w:tcW w:w="960" w:type="dxa"/>
                  <w:noWrap/>
                  <w:hideMark/>
                </w:tcPr>
                <w:p w14:paraId="7BFED24F" w14:textId="77777777" w:rsidR="00950217" w:rsidRPr="00950217" w:rsidRDefault="00950217" w:rsidP="009502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50217">
                    <w:rPr>
                      <w:rFonts w:ascii="Calibri" w:eastAsia="Times New Roman" w:hAnsi="Calibri" w:cs="Times New Roman"/>
                      <w:color w:val="000000"/>
                    </w:rPr>
                    <w:t>68%</w:t>
                  </w:r>
                </w:p>
              </w:tc>
              <w:tc>
                <w:tcPr>
                  <w:tcW w:w="960" w:type="dxa"/>
                  <w:noWrap/>
                  <w:hideMark/>
                </w:tcPr>
                <w:p w14:paraId="79D715CF" w14:textId="77777777" w:rsidR="00950217" w:rsidRPr="00950217" w:rsidRDefault="00950217" w:rsidP="009502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50217">
                    <w:rPr>
                      <w:rFonts w:ascii="Calibri" w:eastAsia="Times New Roman" w:hAnsi="Calibri" w:cs="Times New Roman"/>
                      <w:color w:val="000000"/>
                    </w:rPr>
                    <w:t>78%</w:t>
                  </w:r>
                </w:p>
              </w:tc>
              <w:tc>
                <w:tcPr>
                  <w:tcW w:w="960" w:type="dxa"/>
                  <w:noWrap/>
                  <w:hideMark/>
                </w:tcPr>
                <w:p w14:paraId="4B6CA2CE" w14:textId="77777777" w:rsidR="00950217" w:rsidRPr="00950217" w:rsidRDefault="00950217" w:rsidP="009502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50217">
                    <w:rPr>
                      <w:rFonts w:ascii="Calibri" w:eastAsia="Times New Roman" w:hAnsi="Calibri" w:cs="Times New Roman"/>
                      <w:color w:val="000000"/>
                    </w:rPr>
                    <w:t>78%</w:t>
                  </w:r>
                </w:p>
              </w:tc>
              <w:tc>
                <w:tcPr>
                  <w:tcW w:w="960" w:type="dxa"/>
                  <w:noWrap/>
                  <w:hideMark/>
                </w:tcPr>
                <w:p w14:paraId="21AE9560" w14:textId="77777777" w:rsidR="00950217" w:rsidRPr="00950217" w:rsidRDefault="00950217" w:rsidP="009502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50217">
                    <w:rPr>
                      <w:rFonts w:ascii="Calibri" w:eastAsia="Times New Roman" w:hAnsi="Calibri" w:cs="Times New Roman"/>
                      <w:color w:val="000000"/>
                    </w:rPr>
                    <w:t>85%</w:t>
                  </w:r>
                </w:p>
              </w:tc>
            </w:tr>
            <w:tr w:rsidR="00950217" w:rsidRPr="00950217" w14:paraId="46CC4BF2" w14:textId="77777777" w:rsidTr="007E3A64">
              <w:trPr>
                <w:trHeight w:val="525"/>
              </w:trPr>
              <w:tc>
                <w:tcPr>
                  <w:cnfStyle w:val="001000000000" w:firstRow="0" w:lastRow="0" w:firstColumn="1" w:lastColumn="0" w:oddVBand="0" w:evenVBand="0" w:oddHBand="0" w:evenHBand="0" w:firstRowFirstColumn="0" w:firstRowLastColumn="0" w:lastRowFirstColumn="0" w:lastRowLastColumn="0"/>
                  <w:tcW w:w="3140" w:type="dxa"/>
                  <w:hideMark/>
                </w:tcPr>
                <w:p w14:paraId="7C2953C4" w14:textId="77777777" w:rsidR="00950217" w:rsidRPr="00950217" w:rsidRDefault="00950217" w:rsidP="00950217">
                  <w:pPr>
                    <w:spacing w:after="0" w:line="240" w:lineRule="auto"/>
                    <w:rPr>
                      <w:rFonts w:eastAsia="Times New Roman" w:cs="Arial"/>
                      <w:color w:val="222222"/>
                      <w:sz w:val="20"/>
                      <w:szCs w:val="20"/>
                    </w:rPr>
                  </w:pPr>
                  <w:r w:rsidRPr="00950217">
                    <w:rPr>
                      <w:rFonts w:eastAsia="Times New Roman" w:cs="Arial"/>
                      <w:color w:val="222222"/>
                      <w:sz w:val="20"/>
                      <w:szCs w:val="20"/>
                    </w:rPr>
                    <w:t>Number of PLHIV on TPT</w:t>
                  </w:r>
                </w:p>
              </w:tc>
              <w:tc>
                <w:tcPr>
                  <w:tcW w:w="960" w:type="dxa"/>
                  <w:noWrap/>
                  <w:hideMark/>
                </w:tcPr>
                <w:p w14:paraId="587F8847" w14:textId="77777777" w:rsidR="00950217" w:rsidRPr="00950217" w:rsidRDefault="00950217" w:rsidP="009502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50217">
                    <w:rPr>
                      <w:rFonts w:ascii="Calibri" w:eastAsia="Times New Roman" w:hAnsi="Calibri" w:cs="Times New Roman"/>
                      <w:color w:val="000000"/>
                    </w:rPr>
                    <w:t>0</w:t>
                  </w:r>
                </w:p>
              </w:tc>
              <w:tc>
                <w:tcPr>
                  <w:tcW w:w="960" w:type="dxa"/>
                  <w:noWrap/>
                  <w:hideMark/>
                </w:tcPr>
                <w:p w14:paraId="2F9BF239" w14:textId="77777777" w:rsidR="00950217" w:rsidRPr="00950217" w:rsidRDefault="00950217" w:rsidP="009502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50217">
                    <w:rPr>
                      <w:rFonts w:ascii="Calibri" w:eastAsia="Times New Roman" w:hAnsi="Calibri" w:cs="Times New Roman"/>
                      <w:color w:val="000000"/>
                    </w:rPr>
                    <w:t>0</w:t>
                  </w:r>
                </w:p>
              </w:tc>
              <w:tc>
                <w:tcPr>
                  <w:tcW w:w="960" w:type="dxa"/>
                  <w:noWrap/>
                  <w:hideMark/>
                </w:tcPr>
                <w:p w14:paraId="0CA833CD" w14:textId="77777777" w:rsidR="00950217" w:rsidRPr="00950217" w:rsidRDefault="00950217" w:rsidP="009502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50217">
                    <w:rPr>
                      <w:rFonts w:ascii="Calibri" w:eastAsia="Times New Roman" w:hAnsi="Calibri" w:cs="Times New Roman"/>
                      <w:color w:val="000000"/>
                    </w:rPr>
                    <w:t>75</w:t>
                  </w:r>
                </w:p>
              </w:tc>
              <w:tc>
                <w:tcPr>
                  <w:tcW w:w="960" w:type="dxa"/>
                  <w:noWrap/>
                  <w:hideMark/>
                </w:tcPr>
                <w:p w14:paraId="2BD7F0B4" w14:textId="77777777" w:rsidR="00950217" w:rsidRPr="00950217" w:rsidRDefault="00950217" w:rsidP="009502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50217">
                    <w:rPr>
                      <w:rFonts w:ascii="Calibri" w:eastAsia="Times New Roman" w:hAnsi="Calibri" w:cs="Times New Roman"/>
                      <w:color w:val="000000"/>
                    </w:rPr>
                    <w:t>812</w:t>
                  </w:r>
                </w:p>
              </w:tc>
              <w:tc>
                <w:tcPr>
                  <w:tcW w:w="960" w:type="dxa"/>
                  <w:noWrap/>
                  <w:hideMark/>
                </w:tcPr>
                <w:p w14:paraId="1639E9D5" w14:textId="77777777" w:rsidR="00950217" w:rsidRPr="00950217" w:rsidRDefault="00950217" w:rsidP="009502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50217">
                    <w:rPr>
                      <w:rFonts w:ascii="Calibri" w:eastAsia="Times New Roman" w:hAnsi="Calibri" w:cs="Times New Roman"/>
                      <w:color w:val="000000"/>
                    </w:rPr>
                    <w:t>163</w:t>
                  </w:r>
                </w:p>
              </w:tc>
            </w:tr>
            <w:tr w:rsidR="00950217" w:rsidRPr="00950217" w14:paraId="5CBF4710" w14:textId="77777777" w:rsidTr="007E3A6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140" w:type="dxa"/>
                  <w:hideMark/>
                </w:tcPr>
                <w:p w14:paraId="268A6C44" w14:textId="77777777" w:rsidR="00950217" w:rsidRPr="00950217" w:rsidRDefault="00950217" w:rsidP="00950217">
                  <w:pPr>
                    <w:spacing w:after="0" w:line="240" w:lineRule="auto"/>
                    <w:rPr>
                      <w:rFonts w:eastAsia="Times New Roman" w:cs="Arial"/>
                      <w:color w:val="222222"/>
                      <w:sz w:val="20"/>
                      <w:szCs w:val="20"/>
                    </w:rPr>
                  </w:pPr>
                  <w:r w:rsidRPr="00950217">
                    <w:rPr>
                      <w:rFonts w:eastAsia="Times New Roman" w:cs="Arial"/>
                      <w:color w:val="222222"/>
                      <w:sz w:val="20"/>
                      <w:szCs w:val="20"/>
                    </w:rPr>
                    <w:t>%PLHIV and TB who are on ART</w:t>
                  </w:r>
                </w:p>
              </w:tc>
              <w:tc>
                <w:tcPr>
                  <w:tcW w:w="960" w:type="dxa"/>
                  <w:noWrap/>
                  <w:hideMark/>
                </w:tcPr>
                <w:p w14:paraId="27682F04" w14:textId="44091B24" w:rsidR="00950217" w:rsidRPr="00950217" w:rsidRDefault="00543D4F" w:rsidP="009502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48.3</w:t>
                  </w:r>
                  <w:r w:rsidR="00950217" w:rsidRPr="00950217">
                    <w:rPr>
                      <w:rFonts w:ascii="Calibri" w:eastAsia="Times New Roman" w:hAnsi="Calibri" w:cs="Times New Roman"/>
                      <w:color w:val="000000"/>
                    </w:rPr>
                    <w:t>%</w:t>
                  </w:r>
                </w:p>
              </w:tc>
              <w:tc>
                <w:tcPr>
                  <w:tcW w:w="960" w:type="dxa"/>
                  <w:noWrap/>
                  <w:hideMark/>
                </w:tcPr>
                <w:p w14:paraId="62E07CC6" w14:textId="5D45B2C7" w:rsidR="00950217" w:rsidRPr="00950217" w:rsidRDefault="00543D4F" w:rsidP="009502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69.4</w:t>
                  </w:r>
                  <w:r w:rsidR="00950217" w:rsidRPr="00950217">
                    <w:rPr>
                      <w:rFonts w:ascii="Calibri" w:eastAsia="Times New Roman" w:hAnsi="Calibri" w:cs="Times New Roman"/>
                      <w:color w:val="000000"/>
                    </w:rPr>
                    <w:t>%</w:t>
                  </w:r>
                </w:p>
              </w:tc>
              <w:tc>
                <w:tcPr>
                  <w:tcW w:w="960" w:type="dxa"/>
                  <w:noWrap/>
                  <w:hideMark/>
                </w:tcPr>
                <w:p w14:paraId="591FAD57" w14:textId="4B6DE02F" w:rsidR="00950217" w:rsidRPr="00950217" w:rsidRDefault="00543D4F" w:rsidP="009502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68.1</w:t>
                  </w:r>
                  <w:r w:rsidR="00950217" w:rsidRPr="00950217">
                    <w:rPr>
                      <w:rFonts w:ascii="Calibri" w:eastAsia="Times New Roman" w:hAnsi="Calibri" w:cs="Times New Roman"/>
                      <w:color w:val="000000"/>
                    </w:rPr>
                    <w:t>%</w:t>
                  </w:r>
                </w:p>
              </w:tc>
              <w:tc>
                <w:tcPr>
                  <w:tcW w:w="960" w:type="dxa"/>
                  <w:noWrap/>
                  <w:hideMark/>
                </w:tcPr>
                <w:p w14:paraId="2F49D4A6" w14:textId="2A7B107E" w:rsidR="00950217" w:rsidRPr="00950217" w:rsidRDefault="00543D4F" w:rsidP="009502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68.8</w:t>
                  </w:r>
                  <w:r w:rsidR="00950217" w:rsidRPr="00950217">
                    <w:rPr>
                      <w:rFonts w:ascii="Calibri" w:eastAsia="Times New Roman" w:hAnsi="Calibri" w:cs="Times New Roman"/>
                      <w:color w:val="000000"/>
                    </w:rPr>
                    <w:t>%</w:t>
                  </w:r>
                </w:p>
              </w:tc>
              <w:tc>
                <w:tcPr>
                  <w:tcW w:w="960" w:type="dxa"/>
                  <w:noWrap/>
                  <w:hideMark/>
                </w:tcPr>
                <w:p w14:paraId="3E6FA950" w14:textId="77777777" w:rsidR="00950217" w:rsidRPr="00950217" w:rsidRDefault="00950217" w:rsidP="0095021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950217">
                    <w:rPr>
                      <w:rFonts w:ascii="Calibri" w:eastAsia="Times New Roman" w:hAnsi="Calibri" w:cs="Times New Roman"/>
                      <w:color w:val="000000"/>
                    </w:rPr>
                    <w:t>90%</w:t>
                  </w:r>
                </w:p>
              </w:tc>
            </w:tr>
            <w:tr w:rsidR="00950217" w:rsidRPr="00950217" w14:paraId="1BBC05E6" w14:textId="77777777" w:rsidTr="007E3A64">
              <w:trPr>
                <w:trHeight w:val="525"/>
              </w:trPr>
              <w:tc>
                <w:tcPr>
                  <w:cnfStyle w:val="001000000000" w:firstRow="0" w:lastRow="0" w:firstColumn="1" w:lastColumn="0" w:oddVBand="0" w:evenVBand="0" w:oddHBand="0" w:evenHBand="0" w:firstRowFirstColumn="0" w:firstRowLastColumn="0" w:lastRowFirstColumn="0" w:lastRowLastColumn="0"/>
                  <w:tcW w:w="3140" w:type="dxa"/>
                  <w:hideMark/>
                </w:tcPr>
                <w:p w14:paraId="31162B52" w14:textId="2B89DC66" w:rsidR="00950217" w:rsidRPr="00950217" w:rsidRDefault="00543D4F" w:rsidP="00543D4F">
                  <w:pPr>
                    <w:spacing w:after="0" w:line="240" w:lineRule="auto"/>
                    <w:rPr>
                      <w:rFonts w:eastAsia="Times New Roman" w:cs="Arial"/>
                      <w:color w:val="222222"/>
                      <w:sz w:val="20"/>
                      <w:szCs w:val="20"/>
                    </w:rPr>
                  </w:pPr>
                  <w:r w:rsidRPr="00950217">
                    <w:rPr>
                      <w:rFonts w:eastAsia="Times New Roman" w:cs="Arial"/>
                      <w:color w:val="222222"/>
                      <w:sz w:val="20"/>
                      <w:szCs w:val="20"/>
                    </w:rPr>
                    <w:t>TB</w:t>
                  </w:r>
                  <w:r>
                    <w:rPr>
                      <w:rFonts w:eastAsia="Times New Roman" w:cs="Arial"/>
                      <w:color w:val="222222"/>
                      <w:sz w:val="20"/>
                      <w:szCs w:val="20"/>
                    </w:rPr>
                    <w:t xml:space="preserve"> as cause of d</w:t>
                  </w:r>
                  <w:r w:rsidR="00950217" w:rsidRPr="00950217">
                    <w:rPr>
                      <w:rFonts w:eastAsia="Times New Roman" w:cs="Arial"/>
                      <w:color w:val="222222"/>
                      <w:sz w:val="20"/>
                      <w:szCs w:val="20"/>
                    </w:rPr>
                    <w:t xml:space="preserve">eath in PLHIV  due to </w:t>
                  </w:r>
                </w:p>
              </w:tc>
              <w:tc>
                <w:tcPr>
                  <w:tcW w:w="960" w:type="dxa"/>
                  <w:noWrap/>
                  <w:hideMark/>
                </w:tcPr>
                <w:p w14:paraId="3A88C1F4" w14:textId="1AA848CE" w:rsidR="00950217" w:rsidRPr="00950217" w:rsidRDefault="00950217" w:rsidP="00543D4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50217">
                    <w:rPr>
                      <w:rFonts w:ascii="Calibri" w:eastAsia="Times New Roman" w:hAnsi="Calibri" w:cs="Times New Roman"/>
                      <w:color w:val="000000"/>
                    </w:rPr>
                    <w:t>54.3%</w:t>
                  </w:r>
                </w:p>
              </w:tc>
              <w:tc>
                <w:tcPr>
                  <w:tcW w:w="960" w:type="dxa"/>
                  <w:noWrap/>
                  <w:hideMark/>
                </w:tcPr>
                <w:p w14:paraId="2B858D53" w14:textId="2F7246A6" w:rsidR="00950217" w:rsidRPr="00950217" w:rsidRDefault="00543D4F" w:rsidP="009502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52.9</w:t>
                  </w:r>
                  <w:r w:rsidR="00950217" w:rsidRPr="00950217">
                    <w:rPr>
                      <w:rFonts w:ascii="Calibri" w:eastAsia="Times New Roman" w:hAnsi="Calibri" w:cs="Times New Roman"/>
                      <w:color w:val="000000"/>
                    </w:rPr>
                    <w:t>%</w:t>
                  </w:r>
                </w:p>
              </w:tc>
              <w:tc>
                <w:tcPr>
                  <w:tcW w:w="960" w:type="dxa"/>
                  <w:noWrap/>
                  <w:hideMark/>
                </w:tcPr>
                <w:p w14:paraId="3D8B8145" w14:textId="677D9DD1" w:rsidR="00950217" w:rsidRPr="00950217" w:rsidRDefault="00950217" w:rsidP="00543D4F">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950217">
                    <w:rPr>
                      <w:rFonts w:ascii="Calibri" w:eastAsia="Times New Roman" w:hAnsi="Calibri" w:cs="Times New Roman"/>
                      <w:color w:val="000000"/>
                    </w:rPr>
                    <w:t>54.2%</w:t>
                  </w:r>
                </w:p>
              </w:tc>
              <w:tc>
                <w:tcPr>
                  <w:tcW w:w="960" w:type="dxa"/>
                  <w:noWrap/>
                  <w:hideMark/>
                </w:tcPr>
                <w:p w14:paraId="2BEAFEEC" w14:textId="4027E97D" w:rsidR="00950217" w:rsidRPr="00950217" w:rsidRDefault="00543D4F" w:rsidP="009502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40.6</w:t>
                  </w:r>
                  <w:r w:rsidR="00950217" w:rsidRPr="00950217">
                    <w:rPr>
                      <w:rFonts w:ascii="Calibri" w:eastAsia="Times New Roman" w:hAnsi="Calibri" w:cs="Times New Roman"/>
                      <w:color w:val="000000"/>
                    </w:rPr>
                    <w:t>%</w:t>
                  </w:r>
                </w:p>
              </w:tc>
              <w:tc>
                <w:tcPr>
                  <w:tcW w:w="960" w:type="dxa"/>
                  <w:noWrap/>
                  <w:hideMark/>
                </w:tcPr>
                <w:p w14:paraId="714268D1" w14:textId="43DC613D" w:rsidR="00950217" w:rsidRPr="00950217" w:rsidRDefault="00543D4F" w:rsidP="0095021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35.7</w:t>
                  </w:r>
                  <w:r w:rsidR="00950217" w:rsidRPr="00950217">
                    <w:rPr>
                      <w:rFonts w:ascii="Calibri" w:eastAsia="Times New Roman" w:hAnsi="Calibri" w:cs="Times New Roman"/>
                      <w:color w:val="000000"/>
                    </w:rPr>
                    <w:t>%</w:t>
                  </w:r>
                </w:p>
              </w:tc>
            </w:tr>
          </w:tbl>
          <w:p w14:paraId="106E58E2" w14:textId="3E851E9F" w:rsidR="00500EA7" w:rsidRDefault="00500EA7" w:rsidP="00781834">
            <w:pPr>
              <w:ind w:right="157"/>
              <w:jc w:val="both"/>
              <w:rPr>
                <w:rStyle w:val="e24kjd"/>
                <w:rFonts w:asciiTheme="majorHAnsi" w:hAnsiTheme="majorHAnsi" w:cstheme="majorHAnsi"/>
                <w:b/>
                <w:sz w:val="20"/>
              </w:rPr>
            </w:pPr>
            <w:r w:rsidRPr="00E4545E">
              <w:rPr>
                <w:rFonts w:cs="Arial"/>
                <w:sz w:val="18"/>
              </w:rPr>
              <w:t xml:space="preserve">Source: </w:t>
            </w:r>
            <w:r w:rsidRPr="00B629D0">
              <w:rPr>
                <w:rFonts w:cs="Arial"/>
                <w:sz w:val="18"/>
              </w:rPr>
              <w:t>National Coor</w:t>
            </w:r>
            <w:r w:rsidR="00713B46">
              <w:rPr>
                <w:rFonts w:cs="Arial"/>
                <w:sz w:val="18"/>
              </w:rPr>
              <w:t>dination Unit, National Program</w:t>
            </w:r>
            <w:r w:rsidRPr="00B629D0">
              <w:rPr>
                <w:rFonts w:cs="Arial"/>
                <w:sz w:val="18"/>
              </w:rPr>
              <w:t xml:space="preserve"> on Prevention and Control of HIV/AIDS and STI</w:t>
            </w:r>
            <w:r>
              <w:rPr>
                <w:rFonts w:cs="Arial"/>
                <w:sz w:val="18"/>
              </w:rPr>
              <w:t xml:space="preserve"> data</w:t>
            </w:r>
            <w:r w:rsidRPr="003112FF">
              <w:rPr>
                <w:rStyle w:val="e24kjd"/>
                <w:rFonts w:asciiTheme="majorHAnsi" w:hAnsiTheme="majorHAnsi" w:cstheme="majorHAnsi"/>
                <w:b/>
                <w:sz w:val="20"/>
              </w:rPr>
              <w:t xml:space="preserve"> </w:t>
            </w:r>
          </w:p>
          <w:p w14:paraId="51A07B8B" w14:textId="665538AB" w:rsidR="0071110F" w:rsidRDefault="0071110F" w:rsidP="00781834">
            <w:pPr>
              <w:ind w:right="157"/>
              <w:jc w:val="both"/>
              <w:rPr>
                <w:rStyle w:val="e24kjd"/>
                <w:rFonts w:cs="Arial"/>
                <w:sz w:val="20"/>
                <w:szCs w:val="20"/>
              </w:rPr>
            </w:pPr>
            <w:r w:rsidRPr="003112FF">
              <w:rPr>
                <w:rStyle w:val="e24kjd"/>
                <w:rFonts w:asciiTheme="majorHAnsi" w:hAnsiTheme="majorHAnsi" w:cstheme="majorHAnsi"/>
                <w:b/>
                <w:sz w:val="20"/>
              </w:rPr>
              <w:t>Management of comorbidities: progress, Integrated approach to management of co-morbidities:</w:t>
            </w:r>
            <w:r w:rsidRPr="003112FF">
              <w:rPr>
                <w:rStyle w:val="e24kjd"/>
                <w:rFonts w:asciiTheme="majorHAnsi" w:hAnsiTheme="majorHAnsi" w:cstheme="majorHAnsi"/>
                <w:sz w:val="20"/>
              </w:rPr>
              <w:t xml:space="preserve"> 3,000 PLHIV received Hepatitis C treatment. Main barriers include lack of: </w:t>
            </w:r>
            <w:r>
              <w:rPr>
                <w:rStyle w:val="e24kjd"/>
                <w:rFonts w:asciiTheme="majorHAnsi" w:hAnsiTheme="majorHAnsi" w:cstheme="majorHAnsi"/>
                <w:sz w:val="20"/>
              </w:rPr>
              <w:t xml:space="preserve">(1) </w:t>
            </w:r>
            <w:r w:rsidRPr="003112FF">
              <w:rPr>
                <w:rStyle w:val="e24kjd"/>
                <w:rFonts w:asciiTheme="majorHAnsi" w:hAnsiTheme="majorHAnsi" w:cstheme="majorHAnsi"/>
                <w:sz w:val="20"/>
              </w:rPr>
              <w:t>capacity to refer between specialists, as the current referral mechanism is through primary physician primary care and disclosing HIV status is to primary care is still a large barrier</w:t>
            </w:r>
            <w:r>
              <w:rPr>
                <w:rStyle w:val="e24kjd"/>
                <w:rFonts w:asciiTheme="majorHAnsi" w:hAnsiTheme="majorHAnsi" w:cstheme="majorHAnsi"/>
                <w:sz w:val="20"/>
              </w:rPr>
              <w:t xml:space="preserve"> and (2) lack on information exchange. </w:t>
            </w:r>
            <w:r w:rsidRPr="003D49A3">
              <w:rPr>
                <w:rStyle w:val="e24kjd"/>
                <w:rFonts w:cs="Arial"/>
                <w:sz w:val="20"/>
                <w:szCs w:val="20"/>
              </w:rPr>
              <w:t xml:space="preserve">Main barriers include lack of: (1) capacity to refer between specialists, as the current referral mechanism is through primary physician primary care and disclosing HIV status is to primary care is still a large barrier, (2) lack on information </w:t>
            </w:r>
            <w:r w:rsidRPr="00F251C1">
              <w:rPr>
                <w:rStyle w:val="e24kjd"/>
                <w:rFonts w:cs="Arial"/>
                <w:sz w:val="20"/>
                <w:szCs w:val="20"/>
              </w:rPr>
              <w:t xml:space="preserve">exchange, (3) lack of medical insurance, (4) lack of experience in the treatment of HCV in people with HIV in the country and reluctance of infection doctors, (5) lack of a clinical protocol for the treatment of HCV in people with HIV, (6) poor information of people with HIV and their fear of side effects. </w:t>
            </w:r>
          </w:p>
          <w:p w14:paraId="3C8BE45A" w14:textId="77777777" w:rsidR="000F2330" w:rsidRDefault="000F2330" w:rsidP="000F2330">
            <w:pPr>
              <w:shd w:val="clear" w:color="auto" w:fill="FFFFFF"/>
              <w:spacing w:before="100" w:beforeAutospacing="1" w:after="100" w:afterAutospacing="1" w:line="240" w:lineRule="auto"/>
              <w:jc w:val="both"/>
              <w:rPr>
                <w:rStyle w:val="e24kjd"/>
                <w:rFonts w:asciiTheme="majorHAnsi" w:hAnsiTheme="majorHAnsi" w:cstheme="majorHAnsi"/>
                <w:sz w:val="20"/>
              </w:rPr>
            </w:pPr>
            <w:r>
              <w:rPr>
                <w:rStyle w:val="e24kjd"/>
                <w:rFonts w:asciiTheme="majorHAnsi" w:hAnsiTheme="majorHAnsi" w:cstheme="majorHAnsi"/>
                <w:b/>
                <w:sz w:val="20"/>
              </w:rPr>
              <w:t xml:space="preserve">HIV laboratory network: </w:t>
            </w:r>
            <w:r w:rsidRPr="002D3CA0">
              <w:rPr>
                <w:rStyle w:val="e24kjd"/>
                <w:rFonts w:asciiTheme="majorHAnsi" w:hAnsiTheme="majorHAnsi" w:cstheme="majorHAnsi"/>
                <w:sz w:val="20"/>
              </w:rPr>
              <w:t xml:space="preserve">at the national level, SDMC’s lab centralizes the national capacity to conduct HIV testing, diagnosis, and follow-up for patients in ARV treatment, additionally, the SDMC lab performs PCR tests for the detection of the HLA B*5701 Real-TM as a screening test for the prevention of abacavir hypersensitivity reactions. Currently, the lab received the tests for the detection of HIV Avidity (HIV recency). </w:t>
            </w:r>
            <w:r>
              <w:rPr>
                <w:rStyle w:val="e24kjd"/>
                <w:rFonts w:asciiTheme="majorHAnsi" w:hAnsiTheme="majorHAnsi" w:cstheme="majorHAnsi"/>
                <w:sz w:val="20"/>
              </w:rPr>
              <w:t xml:space="preserve">Six labs </w:t>
            </w:r>
            <w:r w:rsidRPr="002D3CA0">
              <w:rPr>
                <w:rStyle w:val="e24kjd"/>
                <w:rFonts w:asciiTheme="majorHAnsi" w:hAnsiTheme="majorHAnsi" w:cstheme="majorHAnsi"/>
                <w:sz w:val="20"/>
              </w:rPr>
              <w:t>are able to conduct HIV diagnosis</w:t>
            </w:r>
            <w:r>
              <w:rPr>
                <w:rStyle w:val="e24kjd"/>
                <w:rFonts w:asciiTheme="majorHAnsi" w:hAnsiTheme="majorHAnsi" w:cstheme="majorHAnsi"/>
                <w:sz w:val="20"/>
              </w:rPr>
              <w:t>. F</w:t>
            </w:r>
            <w:r w:rsidRPr="002D3CA0">
              <w:rPr>
                <w:rStyle w:val="e24kjd"/>
                <w:rFonts w:asciiTheme="majorHAnsi" w:hAnsiTheme="majorHAnsi" w:cstheme="majorHAnsi"/>
                <w:sz w:val="20"/>
              </w:rPr>
              <w:t xml:space="preserve">or HIV </w:t>
            </w:r>
            <w:r>
              <w:rPr>
                <w:rStyle w:val="e24kjd"/>
                <w:rFonts w:asciiTheme="majorHAnsi" w:hAnsiTheme="majorHAnsi" w:cstheme="majorHAnsi"/>
                <w:sz w:val="20"/>
              </w:rPr>
              <w:t>VL</w:t>
            </w:r>
            <w:r w:rsidRPr="002D3CA0">
              <w:rPr>
                <w:rStyle w:val="e24kjd"/>
                <w:rFonts w:asciiTheme="majorHAnsi" w:hAnsiTheme="majorHAnsi" w:cstheme="majorHAnsi"/>
                <w:sz w:val="20"/>
              </w:rPr>
              <w:t xml:space="preserve"> testing</w:t>
            </w:r>
            <w:r>
              <w:rPr>
                <w:rStyle w:val="e24kjd"/>
                <w:rFonts w:asciiTheme="majorHAnsi" w:hAnsiTheme="majorHAnsi" w:cstheme="majorHAnsi"/>
                <w:sz w:val="20"/>
              </w:rPr>
              <w:t xml:space="preserve"> and</w:t>
            </w:r>
            <w:r w:rsidRPr="002D3CA0">
              <w:rPr>
                <w:rStyle w:val="e24kjd"/>
                <w:rFonts w:asciiTheme="majorHAnsi" w:hAnsiTheme="majorHAnsi" w:cstheme="majorHAnsi"/>
                <w:sz w:val="20"/>
              </w:rPr>
              <w:t xml:space="preserve"> </w:t>
            </w:r>
            <w:r>
              <w:rPr>
                <w:rStyle w:val="e24kjd"/>
                <w:rFonts w:asciiTheme="majorHAnsi" w:hAnsiTheme="majorHAnsi" w:cstheme="majorHAnsi"/>
                <w:sz w:val="20"/>
              </w:rPr>
              <w:t>e</w:t>
            </w:r>
            <w:r w:rsidRPr="002D3CA0">
              <w:rPr>
                <w:rStyle w:val="e24kjd"/>
                <w:rFonts w:asciiTheme="majorHAnsi" w:hAnsiTheme="majorHAnsi" w:cstheme="majorHAnsi"/>
                <w:sz w:val="20"/>
              </w:rPr>
              <w:t>arly infant diagnosis via PCR (Xpert HIV-1 Qual), the Re</w:t>
            </w:r>
            <w:r>
              <w:rPr>
                <w:rStyle w:val="e24kjd"/>
                <w:rFonts w:asciiTheme="majorHAnsi" w:hAnsiTheme="majorHAnsi" w:cstheme="majorHAnsi"/>
                <w:sz w:val="20"/>
              </w:rPr>
              <w:t xml:space="preserve">public of Moldova uses the Gene </w:t>
            </w:r>
            <w:r w:rsidRPr="002D3CA0">
              <w:rPr>
                <w:rStyle w:val="e24kjd"/>
                <w:rFonts w:asciiTheme="majorHAnsi" w:hAnsiTheme="majorHAnsi" w:cstheme="majorHAnsi"/>
                <w:sz w:val="20"/>
              </w:rPr>
              <w:t>Xpert platform</w:t>
            </w:r>
            <w:r>
              <w:rPr>
                <w:rStyle w:val="e24kjd"/>
                <w:rFonts w:asciiTheme="majorHAnsi" w:hAnsiTheme="majorHAnsi" w:cstheme="majorHAnsi"/>
                <w:sz w:val="20"/>
              </w:rPr>
              <w:t>s, which are located in 6 sites</w:t>
            </w:r>
            <w:r w:rsidRPr="002D3CA0">
              <w:rPr>
                <w:rStyle w:val="e24kjd"/>
                <w:rFonts w:asciiTheme="majorHAnsi" w:hAnsiTheme="majorHAnsi" w:cstheme="majorHAnsi"/>
                <w:sz w:val="20"/>
              </w:rPr>
              <w:t xml:space="preserve"> (4 </w:t>
            </w:r>
            <w:r>
              <w:rPr>
                <w:rStyle w:val="e24kjd"/>
                <w:rFonts w:asciiTheme="majorHAnsi" w:hAnsiTheme="majorHAnsi" w:cstheme="majorHAnsi"/>
                <w:sz w:val="20"/>
              </w:rPr>
              <w:t>on</w:t>
            </w:r>
            <w:r w:rsidRPr="002D3CA0">
              <w:rPr>
                <w:rStyle w:val="e24kjd"/>
                <w:rFonts w:asciiTheme="majorHAnsi" w:hAnsiTheme="majorHAnsi" w:cstheme="majorHAnsi"/>
                <w:sz w:val="20"/>
              </w:rPr>
              <w:t xml:space="preserve"> the right bank (one in the pen</w:t>
            </w:r>
            <w:r>
              <w:rPr>
                <w:rStyle w:val="e24kjd"/>
                <w:rFonts w:asciiTheme="majorHAnsi" w:hAnsiTheme="majorHAnsi" w:cstheme="majorHAnsi"/>
                <w:sz w:val="20"/>
              </w:rPr>
              <w:t>itentiary system) and 2 in the L</w:t>
            </w:r>
            <w:r w:rsidRPr="002D3CA0">
              <w:rPr>
                <w:rStyle w:val="e24kjd"/>
                <w:rFonts w:asciiTheme="majorHAnsi" w:hAnsiTheme="majorHAnsi" w:cstheme="majorHAnsi"/>
                <w:sz w:val="20"/>
              </w:rPr>
              <w:t xml:space="preserve">eft </w:t>
            </w:r>
            <w:r>
              <w:rPr>
                <w:rStyle w:val="e24kjd"/>
                <w:rFonts w:asciiTheme="majorHAnsi" w:hAnsiTheme="majorHAnsi" w:cstheme="majorHAnsi"/>
                <w:sz w:val="20"/>
              </w:rPr>
              <w:t>B</w:t>
            </w:r>
            <w:r w:rsidRPr="002D3CA0">
              <w:rPr>
                <w:rStyle w:val="e24kjd"/>
                <w:rFonts w:asciiTheme="majorHAnsi" w:hAnsiTheme="majorHAnsi" w:cstheme="majorHAnsi"/>
                <w:sz w:val="20"/>
              </w:rPr>
              <w:t>ank). CD4 count m</w:t>
            </w:r>
            <w:r>
              <w:rPr>
                <w:rStyle w:val="e24kjd"/>
                <w:rFonts w:asciiTheme="majorHAnsi" w:hAnsiTheme="majorHAnsi" w:cstheme="majorHAnsi"/>
                <w:sz w:val="20"/>
              </w:rPr>
              <w:t xml:space="preserve">achines are located in 5 sites, </w:t>
            </w:r>
            <w:r w:rsidRPr="002D3CA0">
              <w:rPr>
                <w:rStyle w:val="e24kjd"/>
                <w:rFonts w:asciiTheme="majorHAnsi" w:hAnsiTheme="majorHAnsi" w:cstheme="majorHAnsi"/>
                <w:sz w:val="20"/>
              </w:rPr>
              <w:t xml:space="preserve">3 machines </w:t>
            </w:r>
            <w:r>
              <w:rPr>
                <w:rStyle w:val="e24kjd"/>
                <w:rFonts w:asciiTheme="majorHAnsi" w:hAnsiTheme="majorHAnsi" w:cstheme="majorHAnsi"/>
                <w:sz w:val="20"/>
              </w:rPr>
              <w:t>on the Right B</w:t>
            </w:r>
            <w:r w:rsidRPr="002D3CA0">
              <w:rPr>
                <w:rStyle w:val="e24kjd"/>
                <w:rFonts w:asciiTheme="majorHAnsi" w:hAnsiTheme="majorHAnsi" w:cstheme="majorHAnsi"/>
                <w:sz w:val="20"/>
              </w:rPr>
              <w:t>ank an</w:t>
            </w:r>
            <w:r>
              <w:rPr>
                <w:rStyle w:val="e24kjd"/>
                <w:rFonts w:asciiTheme="majorHAnsi" w:hAnsiTheme="majorHAnsi" w:cstheme="majorHAnsi"/>
                <w:sz w:val="20"/>
              </w:rPr>
              <w:t xml:space="preserve">d 2 on the Left Bank </w:t>
            </w:r>
            <w:r w:rsidRPr="002D3CA0">
              <w:rPr>
                <w:rStyle w:val="e24kjd"/>
                <w:rFonts w:asciiTheme="majorHAnsi" w:hAnsiTheme="majorHAnsi" w:cstheme="majorHAnsi"/>
                <w:sz w:val="20"/>
              </w:rPr>
              <w:t>and are used according to updated protocols</w:t>
            </w:r>
            <w:r>
              <w:rPr>
                <w:rStyle w:val="e24kjd"/>
                <w:rFonts w:asciiTheme="majorHAnsi" w:hAnsiTheme="majorHAnsi" w:cstheme="majorHAnsi"/>
                <w:sz w:val="20"/>
              </w:rPr>
              <w:t xml:space="preserve">. </w:t>
            </w:r>
            <w:r w:rsidRPr="002D3CA0">
              <w:rPr>
                <w:rStyle w:val="e24kjd"/>
                <w:rFonts w:asciiTheme="majorHAnsi" w:hAnsiTheme="majorHAnsi" w:cstheme="majorHAnsi"/>
                <w:sz w:val="20"/>
              </w:rPr>
              <w:t xml:space="preserve"> Moldova comprises a network</w:t>
            </w:r>
            <w:r>
              <w:rPr>
                <w:rStyle w:val="e24kjd"/>
                <w:rFonts w:asciiTheme="majorHAnsi" w:hAnsiTheme="majorHAnsi" w:cstheme="majorHAnsi"/>
                <w:sz w:val="20"/>
              </w:rPr>
              <w:t xml:space="preserve"> of more than 300 laboratories </w:t>
            </w:r>
            <w:r w:rsidRPr="002D3CA0">
              <w:rPr>
                <w:rStyle w:val="e24kjd"/>
                <w:rFonts w:asciiTheme="majorHAnsi" w:hAnsiTheme="majorHAnsi" w:cstheme="majorHAnsi"/>
                <w:sz w:val="20"/>
              </w:rPr>
              <w:t xml:space="preserve">primary health care </w:t>
            </w:r>
            <w:r>
              <w:rPr>
                <w:rStyle w:val="e24kjd"/>
                <w:rFonts w:asciiTheme="majorHAnsi" w:hAnsiTheme="majorHAnsi" w:cstheme="majorHAnsi"/>
                <w:sz w:val="20"/>
              </w:rPr>
              <w:t>setting and in all hospitals</w:t>
            </w:r>
            <w:r w:rsidRPr="002D3CA0">
              <w:rPr>
                <w:rStyle w:val="e24kjd"/>
                <w:rFonts w:asciiTheme="majorHAnsi" w:hAnsiTheme="majorHAnsi" w:cstheme="majorHAnsi"/>
                <w:sz w:val="20"/>
              </w:rPr>
              <w:t xml:space="preserve"> that are able to conduct HIV testing and.</w:t>
            </w:r>
            <w:r>
              <w:rPr>
                <w:rStyle w:val="e24kjd"/>
                <w:rFonts w:asciiTheme="majorHAnsi" w:hAnsiTheme="majorHAnsi" w:cstheme="majorHAnsi"/>
                <w:sz w:val="20"/>
              </w:rPr>
              <w:t xml:space="preserve"> </w:t>
            </w:r>
            <w:r w:rsidRPr="002D3CA0">
              <w:rPr>
                <w:rStyle w:val="e24kjd"/>
                <w:rFonts w:asciiTheme="majorHAnsi" w:hAnsiTheme="majorHAnsi" w:cstheme="majorHAnsi"/>
                <w:sz w:val="20"/>
              </w:rPr>
              <w:t>Additional labs in testing are located in blood transfusion (ECLIA).   The national clinical protocol sets standards for lab monitoring for HIV aligned to WHO 2016 guidelines.  External validation of immune assays</w:t>
            </w:r>
            <w:r>
              <w:rPr>
                <w:rStyle w:val="e24kjd"/>
                <w:rFonts w:asciiTheme="majorHAnsi" w:hAnsiTheme="majorHAnsi" w:cstheme="majorHAnsi"/>
                <w:sz w:val="20"/>
              </w:rPr>
              <w:t>, viral load and EID testing is done by</w:t>
            </w:r>
            <w:r w:rsidRPr="002D3CA0">
              <w:rPr>
                <w:rStyle w:val="e24kjd"/>
                <w:rFonts w:asciiTheme="majorHAnsi" w:hAnsiTheme="majorHAnsi" w:cstheme="majorHAnsi"/>
                <w:sz w:val="20"/>
              </w:rPr>
              <w:t xml:space="preserve"> German institution INSTAND. The SDMC lab has started EQA for HIV since 2019.</w:t>
            </w:r>
            <w:r>
              <w:rPr>
                <w:rStyle w:val="e24kjd"/>
                <w:rFonts w:asciiTheme="majorHAnsi" w:hAnsiTheme="majorHAnsi" w:cstheme="majorHAnsi"/>
                <w:sz w:val="20"/>
              </w:rPr>
              <w:t xml:space="preserve"> Major gaps include lack of LIS connecting HIV confirmatory labs and HIV screening sites (reports are excel-based), lack of unique identifier does not allow counting people tested, only tests used, and lack of reference system to linkage to care. </w:t>
            </w:r>
          </w:p>
          <w:p w14:paraId="32C80069" w14:textId="77777777" w:rsidR="000F2330" w:rsidRPr="00950B43" w:rsidRDefault="000F2330" w:rsidP="000F2330">
            <w:pPr>
              <w:spacing w:after="0" w:line="240" w:lineRule="auto"/>
              <w:jc w:val="both"/>
              <w:rPr>
                <w:rStyle w:val="e24kjd"/>
                <w:rFonts w:asciiTheme="majorHAnsi" w:hAnsiTheme="majorHAnsi" w:cstheme="majorHAnsi"/>
                <w:sz w:val="20"/>
              </w:rPr>
            </w:pPr>
            <w:r w:rsidRPr="00950B43">
              <w:rPr>
                <w:rStyle w:val="e24kjd"/>
                <w:rFonts w:asciiTheme="majorHAnsi" w:hAnsiTheme="majorHAnsi" w:cstheme="majorHAnsi"/>
                <w:b/>
                <w:sz w:val="20"/>
              </w:rPr>
              <w:t xml:space="preserve">HIV </w:t>
            </w:r>
            <w:r>
              <w:rPr>
                <w:rStyle w:val="e24kjd"/>
                <w:rFonts w:asciiTheme="majorHAnsi" w:hAnsiTheme="majorHAnsi" w:cstheme="majorHAnsi"/>
                <w:b/>
                <w:sz w:val="20"/>
              </w:rPr>
              <w:t>M&amp;E</w:t>
            </w:r>
            <w:r w:rsidRPr="00950B43">
              <w:rPr>
                <w:rStyle w:val="e24kjd"/>
                <w:rFonts w:asciiTheme="majorHAnsi" w:hAnsiTheme="majorHAnsi" w:cstheme="majorHAnsi"/>
                <w:b/>
                <w:sz w:val="20"/>
              </w:rPr>
              <w:t xml:space="preserve"> system: </w:t>
            </w:r>
            <w:r w:rsidRPr="00950B43">
              <w:rPr>
                <w:rStyle w:val="e24kjd"/>
                <w:rFonts w:asciiTheme="majorHAnsi" w:hAnsiTheme="majorHAnsi" w:cstheme="majorHAnsi"/>
                <w:sz w:val="20"/>
              </w:rPr>
              <w:t xml:space="preserve">The M&amp;E unit of the National HIV/AIDS Program Coordination unit (hosted in the Hospital of Dermatology and Communicable Diseases (HDCD)) is responsible for the overall monitoring and evaluation of prevention, diagnosis, treatment of PLHA, care and support. It does not have specific budget and depends on the donor funding HIV </w:t>
            </w:r>
            <w:r>
              <w:rPr>
                <w:rStyle w:val="e24kjd"/>
                <w:rFonts w:asciiTheme="majorHAnsi" w:hAnsiTheme="majorHAnsi" w:cstheme="majorHAnsi"/>
                <w:sz w:val="20"/>
              </w:rPr>
              <w:t xml:space="preserve">routine and and sentinel </w:t>
            </w:r>
            <w:r w:rsidRPr="00950B43">
              <w:rPr>
                <w:rStyle w:val="e24kjd"/>
                <w:rFonts w:asciiTheme="majorHAnsi" w:hAnsiTheme="majorHAnsi" w:cstheme="majorHAnsi"/>
                <w:sz w:val="20"/>
              </w:rPr>
              <w:t xml:space="preserve">surveillance </w:t>
            </w:r>
            <w:r>
              <w:rPr>
                <w:rStyle w:val="e24kjd"/>
                <w:rFonts w:asciiTheme="majorHAnsi" w:hAnsiTheme="majorHAnsi" w:cstheme="majorHAnsi"/>
                <w:sz w:val="20"/>
              </w:rPr>
              <w:t xml:space="preserve">responsibilities are with </w:t>
            </w:r>
            <w:r w:rsidRPr="00950B43">
              <w:rPr>
                <w:rStyle w:val="e24kjd"/>
                <w:rFonts w:asciiTheme="majorHAnsi" w:hAnsiTheme="majorHAnsi" w:cstheme="majorHAnsi"/>
                <w:sz w:val="20"/>
              </w:rPr>
              <w:t>National Agency for Public Health</w:t>
            </w:r>
            <w:r>
              <w:rPr>
                <w:rStyle w:val="e24kjd"/>
                <w:rFonts w:asciiTheme="majorHAnsi" w:hAnsiTheme="majorHAnsi" w:cstheme="majorHAnsi"/>
                <w:sz w:val="20"/>
              </w:rPr>
              <w:t xml:space="preserve"> who reports to </w:t>
            </w:r>
            <w:r w:rsidRPr="00950B43">
              <w:rPr>
                <w:rStyle w:val="e24kjd"/>
                <w:rFonts w:asciiTheme="majorHAnsi" w:hAnsiTheme="majorHAnsi" w:cstheme="majorHAnsi"/>
                <w:sz w:val="20"/>
              </w:rPr>
              <w:t>joint WHO/ECDC database (the European Surveillance System -TESSy) is provided by the</w:t>
            </w:r>
            <w:r>
              <w:rPr>
                <w:rStyle w:val="e24kjd"/>
                <w:rFonts w:asciiTheme="majorHAnsi" w:hAnsiTheme="majorHAnsi" w:cstheme="majorHAnsi"/>
                <w:sz w:val="20"/>
              </w:rPr>
              <w:t xml:space="preserve">. </w:t>
            </w:r>
            <w:r w:rsidRPr="00950B43">
              <w:rPr>
                <w:rStyle w:val="e24kjd"/>
                <w:rFonts w:asciiTheme="majorHAnsi" w:hAnsiTheme="majorHAnsi" w:cstheme="majorHAnsi"/>
                <w:sz w:val="20"/>
              </w:rPr>
              <w:t>Although relevant strategic information has been regularly provided to inform the decision</w:t>
            </w:r>
            <w:r w:rsidRPr="00950B43">
              <w:rPr>
                <w:rStyle w:val="e24kjd"/>
                <w:rFonts w:ascii="Cambria Math" w:hAnsi="Cambria Math" w:cs="Cambria Math"/>
                <w:sz w:val="20"/>
              </w:rPr>
              <w:t>‐</w:t>
            </w:r>
            <w:r w:rsidRPr="00950B43">
              <w:rPr>
                <w:rStyle w:val="e24kjd"/>
                <w:rFonts w:asciiTheme="majorHAnsi" w:hAnsiTheme="majorHAnsi" w:cstheme="majorHAnsi"/>
                <w:sz w:val="20"/>
              </w:rPr>
              <w:t xml:space="preserve">making process in the national response to HIV and to international data collections, and over the years, this system passed through a series of reforms and modifications, but it is yet premature to state that the system is fully functional and satisfies all the key information needs. </w:t>
            </w:r>
            <w:r>
              <w:rPr>
                <w:rStyle w:val="e24kjd"/>
                <w:rFonts w:asciiTheme="majorHAnsi" w:hAnsiTheme="majorHAnsi" w:cstheme="majorHAnsi"/>
                <w:sz w:val="20"/>
              </w:rPr>
              <w:t>T</w:t>
            </w:r>
            <w:r w:rsidRPr="00B554EB">
              <w:rPr>
                <w:rStyle w:val="e24kjd"/>
                <w:rFonts w:asciiTheme="majorHAnsi" w:hAnsiTheme="majorHAnsi" w:cstheme="majorHAnsi"/>
                <w:sz w:val="20"/>
              </w:rPr>
              <w:t>he HIV monitoring systems are different modules with no linkages between them that have been developed over time through a piecemeal ap</w:t>
            </w:r>
            <w:r>
              <w:rPr>
                <w:rStyle w:val="e24kjd"/>
                <w:rFonts w:asciiTheme="majorHAnsi" w:hAnsiTheme="majorHAnsi" w:cstheme="majorHAnsi"/>
                <w:sz w:val="20"/>
              </w:rPr>
              <w:t>proach:</w:t>
            </w:r>
          </w:p>
          <w:p w14:paraId="3DC492C3" w14:textId="6DFE3A37" w:rsidR="000F2330" w:rsidRPr="00950B43" w:rsidRDefault="000F2330" w:rsidP="00326A6B">
            <w:pPr>
              <w:pStyle w:val="ListParagraph"/>
              <w:numPr>
                <w:ilvl w:val="0"/>
                <w:numId w:val="62"/>
              </w:numPr>
              <w:spacing w:after="0" w:line="240" w:lineRule="auto"/>
              <w:jc w:val="both"/>
              <w:rPr>
                <w:rStyle w:val="e24kjd"/>
                <w:rFonts w:asciiTheme="majorHAnsi" w:hAnsiTheme="majorHAnsi" w:cstheme="majorHAnsi"/>
                <w:sz w:val="20"/>
              </w:rPr>
            </w:pPr>
            <w:r w:rsidRPr="00950B43">
              <w:rPr>
                <w:rStyle w:val="e24kjd"/>
                <w:rFonts w:asciiTheme="majorHAnsi" w:hAnsiTheme="majorHAnsi" w:cstheme="majorHAnsi"/>
                <w:sz w:val="20"/>
              </w:rPr>
              <w:lastRenderedPageBreak/>
              <w:t>SI</w:t>
            </w:r>
            <w:r w:rsidR="00F35F01">
              <w:rPr>
                <w:rStyle w:val="e24kjd"/>
                <w:rFonts w:asciiTheme="majorHAnsi" w:hAnsiTheme="majorHAnsi" w:cstheme="majorHAnsi"/>
                <w:sz w:val="20"/>
              </w:rPr>
              <w:t>ME</w:t>
            </w:r>
            <w:r w:rsidRPr="00950B43">
              <w:rPr>
                <w:rStyle w:val="e24kjd"/>
                <w:rFonts w:asciiTheme="majorHAnsi" w:hAnsiTheme="majorHAnsi" w:cstheme="majorHAnsi"/>
                <w:sz w:val="20"/>
              </w:rPr>
              <w:t>-HIV – collects ARV treatment data, which is only partially updated and non-operational at present. Data is currently recorded in a parallel system - Excel databases updated by all institutions providing ARV treatment to PLHIV;</w:t>
            </w:r>
          </w:p>
          <w:p w14:paraId="393F1BC8" w14:textId="77777777" w:rsidR="000F2330" w:rsidRPr="00950B43" w:rsidRDefault="000F2330" w:rsidP="00326A6B">
            <w:pPr>
              <w:pStyle w:val="ListParagraph"/>
              <w:numPr>
                <w:ilvl w:val="0"/>
                <w:numId w:val="62"/>
              </w:numPr>
              <w:spacing w:after="0" w:line="240" w:lineRule="auto"/>
              <w:jc w:val="both"/>
              <w:rPr>
                <w:rStyle w:val="e24kjd"/>
                <w:rFonts w:asciiTheme="majorHAnsi" w:hAnsiTheme="majorHAnsi" w:cstheme="majorHAnsi"/>
                <w:sz w:val="20"/>
              </w:rPr>
            </w:pPr>
            <w:r w:rsidRPr="00950B43">
              <w:rPr>
                <w:rStyle w:val="e24kjd"/>
                <w:rFonts w:asciiTheme="majorHAnsi" w:hAnsiTheme="majorHAnsi" w:cstheme="majorHAnsi"/>
                <w:sz w:val="20"/>
              </w:rPr>
              <w:t>D</w:t>
            </w:r>
            <w:r>
              <w:rPr>
                <w:rStyle w:val="e24kjd"/>
                <w:rFonts w:asciiTheme="majorHAnsi" w:hAnsiTheme="majorHAnsi" w:cstheme="majorHAnsi"/>
                <w:sz w:val="20"/>
              </w:rPr>
              <w:t xml:space="preserve">atabase for </w:t>
            </w:r>
            <w:r w:rsidRPr="00950B43">
              <w:rPr>
                <w:rStyle w:val="e24kjd"/>
                <w:rFonts w:asciiTheme="majorHAnsi" w:hAnsiTheme="majorHAnsi" w:cstheme="majorHAnsi"/>
                <w:sz w:val="20"/>
              </w:rPr>
              <w:t>clients of social support.</w:t>
            </w:r>
          </w:p>
          <w:p w14:paraId="4519926F" w14:textId="77777777" w:rsidR="000F2330" w:rsidRPr="00950B43" w:rsidRDefault="000F2330" w:rsidP="00326A6B">
            <w:pPr>
              <w:pStyle w:val="ListParagraph"/>
              <w:numPr>
                <w:ilvl w:val="0"/>
                <w:numId w:val="62"/>
              </w:numPr>
              <w:spacing w:after="0" w:line="240" w:lineRule="auto"/>
              <w:jc w:val="both"/>
              <w:rPr>
                <w:rStyle w:val="e24kjd"/>
                <w:rFonts w:asciiTheme="majorHAnsi" w:hAnsiTheme="majorHAnsi" w:cstheme="majorHAnsi"/>
                <w:sz w:val="20"/>
              </w:rPr>
            </w:pPr>
            <w:r w:rsidRPr="00950B43">
              <w:rPr>
                <w:rStyle w:val="e24kjd"/>
                <w:rFonts w:asciiTheme="majorHAnsi" w:hAnsiTheme="majorHAnsi" w:cstheme="majorHAnsi"/>
                <w:sz w:val="20"/>
              </w:rPr>
              <w:t xml:space="preserve">Voluntary counselling and testing (VCT) – used for registration of beneficiaries who received HIV testing and counselling (HTC) services; </w:t>
            </w:r>
          </w:p>
          <w:p w14:paraId="011390CF" w14:textId="77777777" w:rsidR="000F2330" w:rsidRPr="00950B43" w:rsidRDefault="000F2330" w:rsidP="00326A6B">
            <w:pPr>
              <w:pStyle w:val="ListParagraph"/>
              <w:numPr>
                <w:ilvl w:val="0"/>
                <w:numId w:val="62"/>
              </w:numPr>
              <w:spacing w:after="0" w:line="240" w:lineRule="auto"/>
              <w:jc w:val="both"/>
              <w:rPr>
                <w:rStyle w:val="e24kjd"/>
                <w:rFonts w:asciiTheme="majorHAnsi" w:hAnsiTheme="majorHAnsi" w:cstheme="majorHAnsi"/>
                <w:sz w:val="20"/>
              </w:rPr>
            </w:pPr>
            <w:r w:rsidRPr="00950B43">
              <w:rPr>
                <w:rStyle w:val="e24kjd"/>
                <w:rFonts w:asciiTheme="majorHAnsi" w:hAnsiTheme="majorHAnsi" w:cstheme="majorHAnsi"/>
                <w:sz w:val="20"/>
              </w:rPr>
              <w:t>HIV/Ident – for registration of beneficiaries of services provided in the sphere of care and support;</w:t>
            </w:r>
          </w:p>
          <w:p w14:paraId="66A6F890" w14:textId="77777777" w:rsidR="000F2330" w:rsidRDefault="000F2330" w:rsidP="00326A6B">
            <w:pPr>
              <w:pStyle w:val="ListParagraph"/>
              <w:numPr>
                <w:ilvl w:val="0"/>
                <w:numId w:val="62"/>
              </w:numPr>
              <w:spacing w:after="0" w:line="240" w:lineRule="auto"/>
              <w:jc w:val="both"/>
              <w:rPr>
                <w:rStyle w:val="e24kjd"/>
                <w:rFonts w:asciiTheme="majorHAnsi" w:hAnsiTheme="majorHAnsi" w:cstheme="majorHAnsi"/>
                <w:sz w:val="20"/>
              </w:rPr>
            </w:pPr>
            <w:r w:rsidRPr="00950B43">
              <w:rPr>
                <w:rStyle w:val="e24kjd"/>
                <w:rFonts w:asciiTheme="majorHAnsi" w:hAnsiTheme="majorHAnsi" w:cstheme="majorHAnsi"/>
                <w:sz w:val="20"/>
              </w:rPr>
              <w:t>IDU/Ident and MSM&amp;CSW/Ident - two separate information systems targeted at separate risk groups to capture services provided for key populations</w:t>
            </w:r>
            <w:r>
              <w:rPr>
                <w:rStyle w:val="e24kjd"/>
                <w:rFonts w:asciiTheme="majorHAnsi" w:hAnsiTheme="majorHAnsi" w:cstheme="majorHAnsi"/>
                <w:sz w:val="20"/>
              </w:rPr>
              <w:t>.</w:t>
            </w:r>
          </w:p>
          <w:p w14:paraId="398DBF37" w14:textId="77777777" w:rsidR="000F2330" w:rsidRDefault="000F2330" w:rsidP="00781834">
            <w:pPr>
              <w:spacing w:after="0" w:line="240" w:lineRule="auto"/>
              <w:rPr>
                <w:rStyle w:val="e24kjd"/>
                <w:rFonts w:asciiTheme="majorHAnsi" w:hAnsiTheme="majorHAnsi" w:cstheme="majorHAnsi"/>
                <w:b/>
                <w:sz w:val="20"/>
              </w:rPr>
            </w:pPr>
          </w:p>
          <w:p w14:paraId="14B065A8" w14:textId="6A3CCCE8" w:rsidR="0071110F" w:rsidRDefault="0071110F" w:rsidP="00781834">
            <w:pPr>
              <w:spacing w:after="0" w:line="240" w:lineRule="auto"/>
              <w:rPr>
                <w:rStyle w:val="e24kjd"/>
                <w:rFonts w:asciiTheme="majorHAnsi" w:hAnsiTheme="majorHAnsi" w:cstheme="majorHAnsi"/>
                <w:b/>
                <w:sz w:val="20"/>
              </w:rPr>
            </w:pPr>
            <w:r>
              <w:rPr>
                <w:rStyle w:val="e24kjd"/>
                <w:rFonts w:asciiTheme="majorHAnsi" w:hAnsiTheme="majorHAnsi" w:cstheme="majorHAnsi"/>
                <w:b/>
                <w:sz w:val="20"/>
              </w:rPr>
              <w:t>HIV care and treatment Cascade</w:t>
            </w:r>
          </w:p>
          <w:tbl>
            <w:tblPr>
              <w:tblStyle w:val="ListTable3-Accent4"/>
              <w:tblW w:w="0" w:type="auto"/>
              <w:tblLook w:val="04A0" w:firstRow="1" w:lastRow="0" w:firstColumn="1" w:lastColumn="0" w:noHBand="0" w:noVBand="1"/>
            </w:tblPr>
            <w:tblGrid>
              <w:gridCol w:w="4285"/>
              <w:gridCol w:w="5945"/>
            </w:tblGrid>
            <w:tr w:rsidR="0071110F" w14:paraId="3F5B7DF1" w14:textId="77777777" w:rsidTr="007E3A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85" w:type="dxa"/>
                </w:tcPr>
                <w:p w14:paraId="4E388F8F" w14:textId="77777777" w:rsidR="0071110F" w:rsidRPr="00B713C0" w:rsidRDefault="0071110F" w:rsidP="00781834">
                  <w:pPr>
                    <w:spacing w:after="0" w:line="240" w:lineRule="auto"/>
                    <w:jc w:val="center"/>
                    <w:rPr>
                      <w:rStyle w:val="e24kjd"/>
                      <w:rFonts w:asciiTheme="majorHAnsi" w:hAnsiTheme="majorHAnsi" w:cstheme="majorHAnsi"/>
                    </w:rPr>
                  </w:pPr>
                  <w:r w:rsidRPr="00B713C0">
                    <w:rPr>
                      <w:rStyle w:val="e24kjd"/>
                      <w:rFonts w:asciiTheme="majorHAnsi" w:hAnsiTheme="majorHAnsi" w:cstheme="majorHAnsi"/>
                    </w:rPr>
                    <w:t>Major gaps and barriers</w:t>
                  </w:r>
                </w:p>
              </w:tc>
              <w:tc>
                <w:tcPr>
                  <w:tcW w:w="5945" w:type="dxa"/>
                </w:tcPr>
                <w:p w14:paraId="6AE83D42" w14:textId="77777777" w:rsidR="0071110F" w:rsidRPr="00B713C0"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e24kjd"/>
                      <w:rFonts w:asciiTheme="majorHAnsi" w:hAnsiTheme="majorHAnsi" w:cstheme="majorHAnsi"/>
                    </w:rPr>
                  </w:pPr>
                  <w:r>
                    <w:rPr>
                      <w:rStyle w:val="e24kjd"/>
                      <w:rFonts w:asciiTheme="majorHAnsi" w:hAnsiTheme="majorHAnsi" w:cstheme="majorHAnsi"/>
                    </w:rPr>
                    <w:t>Key priorities</w:t>
                  </w:r>
                </w:p>
                <w:p w14:paraId="6A8304C9" w14:textId="77777777" w:rsidR="0071110F" w:rsidRPr="00B713C0" w:rsidRDefault="0071110F" w:rsidP="00781834">
                  <w:pPr>
                    <w:spacing w:after="0" w:line="240" w:lineRule="auto"/>
                    <w:jc w:val="center"/>
                    <w:cnfStyle w:val="100000000000" w:firstRow="1" w:lastRow="0" w:firstColumn="0" w:lastColumn="0" w:oddVBand="0" w:evenVBand="0" w:oddHBand="0" w:evenHBand="0" w:firstRowFirstColumn="0" w:firstRowLastColumn="0" w:lastRowFirstColumn="0" w:lastRowLastColumn="0"/>
                    <w:rPr>
                      <w:rStyle w:val="e24kjd"/>
                      <w:rFonts w:asciiTheme="majorHAnsi" w:hAnsiTheme="majorHAnsi" w:cstheme="majorHAnsi"/>
                    </w:rPr>
                  </w:pPr>
                </w:p>
              </w:tc>
            </w:tr>
            <w:tr w:rsidR="0071110F" w14:paraId="0E54E873" w14:textId="77777777" w:rsidTr="007E3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5" w:type="dxa"/>
                </w:tcPr>
                <w:p w14:paraId="33FB681C" w14:textId="77777777" w:rsidR="0071110F" w:rsidRPr="00B713C0" w:rsidRDefault="0071110F" w:rsidP="00326A6B">
                  <w:pPr>
                    <w:pStyle w:val="ListParagraph"/>
                    <w:numPr>
                      <w:ilvl w:val="0"/>
                      <w:numId w:val="54"/>
                    </w:numPr>
                    <w:spacing w:after="0" w:line="240" w:lineRule="auto"/>
                    <w:rPr>
                      <w:rStyle w:val="e24kjd"/>
                      <w:rFonts w:cs="Arial"/>
                      <w:b w:val="0"/>
                      <w:sz w:val="20"/>
                      <w:szCs w:val="20"/>
                    </w:rPr>
                  </w:pPr>
                  <w:r>
                    <w:rPr>
                      <w:rStyle w:val="e24kjd"/>
                      <w:rFonts w:cs="Arial"/>
                      <w:b w:val="0"/>
                      <w:sz w:val="20"/>
                      <w:szCs w:val="20"/>
                    </w:rPr>
                    <w:t xml:space="preserve">Transmission in </w:t>
                  </w:r>
                  <w:r w:rsidRPr="00B713C0">
                    <w:rPr>
                      <w:rStyle w:val="e24kjd"/>
                      <w:rFonts w:cs="Arial"/>
                      <w:b w:val="0"/>
                      <w:sz w:val="20"/>
                      <w:szCs w:val="20"/>
                    </w:rPr>
                    <w:t xml:space="preserve">MSM </w:t>
                  </w:r>
                  <w:r>
                    <w:rPr>
                      <w:rStyle w:val="e24kjd"/>
                      <w:rFonts w:cs="Arial"/>
                      <w:b w:val="0"/>
                      <w:sz w:val="20"/>
                      <w:szCs w:val="20"/>
                    </w:rPr>
                    <w:t>is highest, but low coverage. Optima shows SW 2</w:t>
                  </w:r>
                  <w:r w:rsidRPr="00534F3D">
                    <w:rPr>
                      <w:rStyle w:val="e24kjd"/>
                      <w:rFonts w:cs="Arial"/>
                      <w:b w:val="0"/>
                      <w:sz w:val="20"/>
                      <w:szCs w:val="20"/>
                      <w:vertAlign w:val="superscript"/>
                    </w:rPr>
                    <w:t>nd</w:t>
                  </w:r>
                  <w:r>
                    <w:rPr>
                      <w:rStyle w:val="e24kjd"/>
                      <w:rFonts w:cs="Arial"/>
                      <w:b w:val="0"/>
                      <w:sz w:val="20"/>
                      <w:szCs w:val="20"/>
                    </w:rPr>
                    <w:t xml:space="preserve"> group.</w:t>
                  </w:r>
                </w:p>
                <w:p w14:paraId="4ED5C0AE" w14:textId="77777777" w:rsidR="0071110F" w:rsidRPr="00B713C0" w:rsidRDefault="0071110F" w:rsidP="00326A6B">
                  <w:pPr>
                    <w:pStyle w:val="ListParagraph"/>
                    <w:numPr>
                      <w:ilvl w:val="0"/>
                      <w:numId w:val="54"/>
                    </w:numPr>
                    <w:spacing w:after="0" w:line="240" w:lineRule="auto"/>
                    <w:rPr>
                      <w:rStyle w:val="e24kjd"/>
                      <w:rFonts w:asciiTheme="majorHAnsi" w:hAnsiTheme="majorHAnsi" w:cstheme="majorHAnsi"/>
                      <w:b w:val="0"/>
                      <w:sz w:val="20"/>
                    </w:rPr>
                  </w:pPr>
                  <w:r w:rsidRPr="00B713C0">
                    <w:rPr>
                      <w:rStyle w:val="e24kjd"/>
                      <w:rFonts w:cs="Arial"/>
                      <w:b w:val="0"/>
                      <w:sz w:val="20"/>
                      <w:szCs w:val="20"/>
                    </w:rPr>
                    <w:t>Innovative combination approaches at low scale</w:t>
                  </w:r>
                </w:p>
                <w:p w14:paraId="794DAA20" w14:textId="3D49B26F" w:rsidR="0071110F" w:rsidRDefault="0071110F" w:rsidP="00326A6B">
                  <w:pPr>
                    <w:pStyle w:val="ListParagraph"/>
                    <w:numPr>
                      <w:ilvl w:val="0"/>
                      <w:numId w:val="54"/>
                    </w:numPr>
                    <w:spacing w:after="0" w:line="240" w:lineRule="auto"/>
                    <w:rPr>
                      <w:rStyle w:val="e24kjd"/>
                      <w:rFonts w:cs="Arial"/>
                      <w:b w:val="0"/>
                      <w:sz w:val="20"/>
                      <w:szCs w:val="20"/>
                    </w:rPr>
                  </w:pPr>
                  <w:r>
                    <w:rPr>
                      <w:rStyle w:val="e24kjd"/>
                      <w:rFonts w:cs="Arial"/>
                      <w:b w:val="0"/>
                      <w:sz w:val="20"/>
                      <w:szCs w:val="20"/>
                    </w:rPr>
                    <w:t>Reaching s</w:t>
                  </w:r>
                  <w:r w:rsidRPr="00B713C0">
                    <w:rPr>
                      <w:rStyle w:val="e24kjd"/>
                      <w:rFonts w:cs="Arial"/>
                      <w:b w:val="0"/>
                      <w:sz w:val="20"/>
                      <w:szCs w:val="20"/>
                    </w:rPr>
                    <w:t xml:space="preserve">aturation in PWID coverage, due to changing drug scene </w:t>
                  </w:r>
                  <w:r>
                    <w:rPr>
                      <w:rStyle w:val="e24kjd"/>
                      <w:rFonts w:cs="Arial"/>
                      <w:b w:val="0"/>
                      <w:sz w:val="20"/>
                      <w:szCs w:val="20"/>
                    </w:rPr>
                    <w:t>to non-</w:t>
                  </w:r>
                  <w:r w:rsidR="00875E9C">
                    <w:rPr>
                      <w:rStyle w:val="e24kjd"/>
                      <w:rFonts w:cs="Arial"/>
                      <w:b w:val="0"/>
                      <w:sz w:val="20"/>
                      <w:szCs w:val="20"/>
                    </w:rPr>
                    <w:t>injectable drugs</w:t>
                  </w:r>
                </w:p>
                <w:p w14:paraId="33848270" w14:textId="77777777" w:rsidR="0071110F" w:rsidRPr="00B713C0" w:rsidRDefault="0071110F" w:rsidP="00326A6B">
                  <w:pPr>
                    <w:pStyle w:val="ListParagraph"/>
                    <w:numPr>
                      <w:ilvl w:val="0"/>
                      <w:numId w:val="54"/>
                    </w:numPr>
                    <w:spacing w:after="0" w:line="240" w:lineRule="auto"/>
                    <w:rPr>
                      <w:rStyle w:val="e24kjd"/>
                      <w:rFonts w:cs="Arial"/>
                      <w:b w:val="0"/>
                      <w:sz w:val="20"/>
                      <w:szCs w:val="20"/>
                    </w:rPr>
                  </w:pPr>
                  <w:r w:rsidRPr="00B713C0">
                    <w:rPr>
                      <w:rStyle w:val="e24kjd"/>
                      <w:rFonts w:cs="Arial"/>
                      <w:b w:val="0"/>
                      <w:sz w:val="20"/>
                      <w:szCs w:val="20"/>
                    </w:rPr>
                    <w:t xml:space="preserve">Basic </w:t>
                  </w:r>
                  <w:r>
                    <w:rPr>
                      <w:rStyle w:val="e24kjd"/>
                      <w:rFonts w:cs="Arial"/>
                      <w:b w:val="0"/>
                      <w:sz w:val="20"/>
                      <w:szCs w:val="20"/>
                    </w:rPr>
                    <w:t xml:space="preserve">prevention </w:t>
                  </w:r>
                  <w:r w:rsidRPr="00B713C0">
                    <w:rPr>
                      <w:rStyle w:val="e24kjd"/>
                      <w:rFonts w:cs="Arial"/>
                      <w:b w:val="0"/>
                      <w:sz w:val="20"/>
                      <w:szCs w:val="20"/>
                    </w:rPr>
                    <w:t xml:space="preserve">service package </w:t>
                  </w:r>
                  <w:r>
                    <w:rPr>
                      <w:rStyle w:val="e24kjd"/>
                      <w:rFonts w:cs="Arial"/>
                      <w:b w:val="0"/>
                      <w:sz w:val="20"/>
                      <w:szCs w:val="20"/>
                    </w:rPr>
                    <w:t>unattractive,</w:t>
                  </w:r>
                  <w:r w:rsidRPr="00B713C0">
                    <w:rPr>
                      <w:rStyle w:val="e24kjd"/>
                      <w:rFonts w:cs="Arial"/>
                      <w:b w:val="0"/>
                      <w:sz w:val="20"/>
                      <w:szCs w:val="20"/>
                    </w:rPr>
                    <w:t xml:space="preserve"> decreased options for o</w:t>
                  </w:r>
                  <w:r>
                    <w:rPr>
                      <w:rStyle w:val="e24kjd"/>
                      <w:rFonts w:cs="Arial"/>
                      <w:b w:val="0"/>
                      <w:sz w:val="20"/>
                      <w:szCs w:val="20"/>
                    </w:rPr>
                    <w:t>utreach and navigation</w:t>
                  </w:r>
                  <w:r w:rsidRPr="00B713C0">
                    <w:rPr>
                      <w:rStyle w:val="e24kjd"/>
                      <w:rFonts w:cs="Arial"/>
                      <w:b w:val="0"/>
                      <w:sz w:val="20"/>
                      <w:szCs w:val="20"/>
                    </w:rPr>
                    <w:t xml:space="preserve"> </w:t>
                  </w:r>
                </w:p>
                <w:p w14:paraId="7D8CE36B" w14:textId="77777777" w:rsidR="0071110F" w:rsidRPr="00534F3D" w:rsidRDefault="0071110F" w:rsidP="00326A6B">
                  <w:pPr>
                    <w:pStyle w:val="ListParagraph"/>
                    <w:numPr>
                      <w:ilvl w:val="0"/>
                      <w:numId w:val="54"/>
                    </w:numPr>
                    <w:spacing w:after="0" w:line="240" w:lineRule="auto"/>
                    <w:rPr>
                      <w:rStyle w:val="e24kjd"/>
                      <w:rFonts w:cs="Arial"/>
                      <w:sz w:val="20"/>
                      <w:szCs w:val="20"/>
                    </w:rPr>
                  </w:pPr>
                  <w:r w:rsidRPr="00534F3D">
                    <w:rPr>
                      <w:rStyle w:val="e24kjd"/>
                      <w:rFonts w:cs="Arial"/>
                      <w:sz w:val="20"/>
                      <w:szCs w:val="20"/>
                    </w:rPr>
                    <w:t xml:space="preserve">OST: </w:t>
                  </w:r>
                  <w:r w:rsidRPr="00534F3D">
                    <w:rPr>
                      <w:rStyle w:val="e24kjd"/>
                      <w:rFonts w:cs="Arial"/>
                      <w:b w:val="0"/>
                      <w:sz w:val="20"/>
                      <w:szCs w:val="20"/>
                    </w:rPr>
                    <w:t>low uptake due to changing drug scene, compulsory medical registration and registration as a drug user, low level of psychosocial support for OST patients</w:t>
                  </w:r>
                </w:p>
                <w:p w14:paraId="35446BF6" w14:textId="5E6F13AF" w:rsidR="0071110F" w:rsidRPr="00534F3D" w:rsidRDefault="0071110F" w:rsidP="00326A6B">
                  <w:pPr>
                    <w:pStyle w:val="ListParagraph"/>
                    <w:numPr>
                      <w:ilvl w:val="0"/>
                      <w:numId w:val="54"/>
                    </w:numPr>
                    <w:spacing w:after="0" w:line="240" w:lineRule="auto"/>
                    <w:rPr>
                      <w:rStyle w:val="e24kjd"/>
                      <w:rFonts w:asciiTheme="majorHAnsi" w:hAnsiTheme="majorHAnsi" w:cstheme="majorHAnsi"/>
                      <w:b w:val="0"/>
                      <w:sz w:val="20"/>
                    </w:rPr>
                  </w:pPr>
                  <w:r w:rsidRPr="00B713C0">
                    <w:rPr>
                      <w:rStyle w:val="e24kjd"/>
                      <w:rFonts w:asciiTheme="majorHAnsi" w:hAnsiTheme="majorHAnsi" w:cstheme="majorHAnsi"/>
                      <w:b w:val="0"/>
                      <w:sz w:val="20"/>
                    </w:rPr>
                    <w:t>Drugs use continues to lead to imprisonment</w:t>
                  </w:r>
                  <w:r w:rsidRPr="00B713C0">
                    <w:rPr>
                      <w:rStyle w:val="e24kjd"/>
                      <w:rFonts w:cs="Arial"/>
                      <w:b w:val="0"/>
                      <w:sz w:val="20"/>
                      <w:szCs w:val="20"/>
                    </w:rPr>
                    <w:t xml:space="preserve"> </w:t>
                  </w:r>
                </w:p>
              </w:tc>
              <w:tc>
                <w:tcPr>
                  <w:tcW w:w="5945" w:type="dxa"/>
                </w:tcPr>
                <w:p w14:paraId="1CEE94A3" w14:textId="77777777" w:rsidR="0071110F" w:rsidRPr="00AC6A1F" w:rsidRDefault="0071110F" w:rsidP="00326A6B">
                  <w:pPr>
                    <w:pStyle w:val="ListParagraph"/>
                    <w:numPr>
                      <w:ilvl w:val="0"/>
                      <w:numId w:val="55"/>
                    </w:numPr>
                    <w:spacing w:after="0" w:line="240" w:lineRule="auto"/>
                    <w:cnfStyle w:val="000000100000" w:firstRow="0" w:lastRow="0" w:firstColumn="0" w:lastColumn="0" w:oddVBand="0" w:evenVBand="0" w:oddHBand="1" w:evenHBand="0" w:firstRowFirstColumn="0" w:firstRowLastColumn="0" w:lastRowFirstColumn="0" w:lastRowLastColumn="0"/>
                    <w:rPr>
                      <w:rStyle w:val="e24kjd"/>
                      <w:rFonts w:asciiTheme="majorHAnsi" w:hAnsiTheme="majorHAnsi" w:cstheme="majorHAnsi"/>
                      <w:sz w:val="20"/>
                    </w:rPr>
                  </w:pPr>
                  <w:r w:rsidRPr="00AC6A1F">
                    <w:rPr>
                      <w:rStyle w:val="e24kjd"/>
                      <w:rFonts w:asciiTheme="majorHAnsi" w:hAnsiTheme="majorHAnsi" w:cstheme="majorHAnsi"/>
                      <w:sz w:val="20"/>
                    </w:rPr>
                    <w:t xml:space="preserve">Prioritize </w:t>
                  </w:r>
                  <w:r>
                    <w:rPr>
                      <w:rStyle w:val="e24kjd"/>
                      <w:rFonts w:asciiTheme="majorHAnsi" w:hAnsiTheme="majorHAnsi" w:cstheme="majorHAnsi"/>
                      <w:sz w:val="20"/>
                    </w:rPr>
                    <w:t xml:space="preserve">prevention among MSM, </w:t>
                  </w:r>
                  <w:r w:rsidRPr="00AC6A1F">
                    <w:rPr>
                      <w:rStyle w:val="e24kjd"/>
                      <w:rFonts w:asciiTheme="majorHAnsi" w:hAnsiTheme="majorHAnsi" w:cstheme="majorHAnsi"/>
                      <w:sz w:val="20"/>
                    </w:rPr>
                    <w:t>tailor</w:t>
                  </w:r>
                  <w:r>
                    <w:rPr>
                      <w:rStyle w:val="e24kjd"/>
                      <w:rFonts w:asciiTheme="majorHAnsi" w:hAnsiTheme="majorHAnsi" w:cstheme="majorHAnsi"/>
                      <w:sz w:val="20"/>
                    </w:rPr>
                    <w:t>ed services to</w:t>
                  </w:r>
                  <w:r w:rsidRPr="00AC6A1F">
                    <w:rPr>
                      <w:rStyle w:val="e24kjd"/>
                      <w:rFonts w:asciiTheme="majorHAnsi" w:hAnsiTheme="majorHAnsi" w:cstheme="majorHAnsi"/>
                      <w:sz w:val="20"/>
                    </w:rPr>
                    <w:t xml:space="preserve"> TG needs) and SWs (tailoring to age groups and include MSWs)</w:t>
                  </w:r>
                </w:p>
                <w:p w14:paraId="07C8E3A5" w14:textId="77777777" w:rsidR="0071110F" w:rsidRDefault="0071110F" w:rsidP="00326A6B">
                  <w:pPr>
                    <w:pStyle w:val="ListParagraph"/>
                    <w:numPr>
                      <w:ilvl w:val="0"/>
                      <w:numId w:val="55"/>
                    </w:numPr>
                    <w:spacing w:after="0" w:line="240" w:lineRule="auto"/>
                    <w:cnfStyle w:val="000000100000" w:firstRow="0" w:lastRow="0" w:firstColumn="0" w:lastColumn="0" w:oddVBand="0" w:evenVBand="0" w:oddHBand="1" w:evenHBand="0" w:firstRowFirstColumn="0" w:firstRowLastColumn="0" w:lastRowFirstColumn="0" w:lastRowLastColumn="0"/>
                    <w:rPr>
                      <w:rStyle w:val="e24kjd"/>
                      <w:rFonts w:asciiTheme="majorHAnsi" w:hAnsiTheme="majorHAnsi" w:cstheme="majorHAnsi"/>
                      <w:sz w:val="20"/>
                    </w:rPr>
                  </w:pPr>
                  <w:r w:rsidRPr="00AC6A1F">
                    <w:rPr>
                      <w:rStyle w:val="e24kjd"/>
                      <w:rFonts w:asciiTheme="majorHAnsi" w:hAnsiTheme="majorHAnsi" w:cstheme="majorHAnsi"/>
                      <w:sz w:val="20"/>
                    </w:rPr>
                    <w:t>Scale-up PrEP</w:t>
                  </w:r>
                </w:p>
                <w:p w14:paraId="40D1EDC9" w14:textId="77777777" w:rsidR="0071110F" w:rsidRDefault="0071110F" w:rsidP="00781834">
                  <w:pPr>
                    <w:pStyle w:val="ListParagraph"/>
                    <w:spacing w:after="0" w:line="240" w:lineRule="auto"/>
                    <w:ind w:left="360"/>
                    <w:cnfStyle w:val="000000100000" w:firstRow="0" w:lastRow="0" w:firstColumn="0" w:lastColumn="0" w:oddVBand="0" w:evenVBand="0" w:oddHBand="1" w:evenHBand="0" w:firstRowFirstColumn="0" w:firstRowLastColumn="0" w:lastRowFirstColumn="0" w:lastRowLastColumn="0"/>
                    <w:rPr>
                      <w:rStyle w:val="e24kjd"/>
                      <w:rFonts w:asciiTheme="majorHAnsi" w:hAnsiTheme="majorHAnsi" w:cstheme="majorHAnsi"/>
                      <w:sz w:val="20"/>
                    </w:rPr>
                  </w:pPr>
                </w:p>
                <w:p w14:paraId="509BFE60" w14:textId="77777777" w:rsidR="0071110F" w:rsidRPr="00AC6A1F" w:rsidRDefault="0071110F" w:rsidP="00326A6B">
                  <w:pPr>
                    <w:pStyle w:val="ListParagraph"/>
                    <w:numPr>
                      <w:ilvl w:val="0"/>
                      <w:numId w:val="55"/>
                    </w:numPr>
                    <w:spacing w:after="0" w:line="240" w:lineRule="auto"/>
                    <w:cnfStyle w:val="000000100000" w:firstRow="0" w:lastRow="0" w:firstColumn="0" w:lastColumn="0" w:oddVBand="0" w:evenVBand="0" w:oddHBand="1" w:evenHBand="0" w:firstRowFirstColumn="0" w:firstRowLastColumn="0" w:lastRowFirstColumn="0" w:lastRowLastColumn="0"/>
                    <w:rPr>
                      <w:rStyle w:val="e24kjd"/>
                      <w:rFonts w:asciiTheme="majorHAnsi" w:hAnsiTheme="majorHAnsi" w:cstheme="majorHAnsi"/>
                      <w:sz w:val="20"/>
                    </w:rPr>
                  </w:pPr>
                  <w:r w:rsidRPr="00AC6A1F">
                    <w:rPr>
                      <w:rStyle w:val="e24kjd"/>
                      <w:rFonts w:asciiTheme="majorHAnsi" w:hAnsiTheme="majorHAnsi" w:cstheme="majorHAnsi"/>
                      <w:sz w:val="20"/>
                    </w:rPr>
                    <w:t xml:space="preserve">Document risks of young KPs </w:t>
                  </w:r>
                  <w:r>
                    <w:rPr>
                      <w:rStyle w:val="e24kjd"/>
                      <w:rFonts w:asciiTheme="majorHAnsi" w:hAnsiTheme="majorHAnsi" w:cstheme="majorHAnsi"/>
                      <w:sz w:val="20"/>
                    </w:rPr>
                    <w:t xml:space="preserve">and </w:t>
                  </w:r>
                  <w:r w:rsidRPr="00AC6A1F">
                    <w:rPr>
                      <w:rStyle w:val="e24kjd"/>
                      <w:rFonts w:asciiTheme="majorHAnsi" w:hAnsiTheme="majorHAnsi" w:cstheme="majorHAnsi"/>
                      <w:sz w:val="20"/>
                    </w:rPr>
                    <w:t>users of recreational drugs</w:t>
                  </w:r>
                  <w:r>
                    <w:rPr>
                      <w:rStyle w:val="e24kjd"/>
                      <w:rFonts w:asciiTheme="majorHAnsi" w:hAnsiTheme="majorHAnsi" w:cstheme="majorHAnsi"/>
                      <w:sz w:val="20"/>
                    </w:rPr>
                    <w:t>, start small scale interventions;</w:t>
                  </w:r>
                  <w:r w:rsidRPr="00AC6A1F">
                    <w:rPr>
                      <w:rStyle w:val="e24kjd"/>
                      <w:rFonts w:asciiTheme="majorHAnsi" w:hAnsiTheme="majorHAnsi" w:cstheme="majorHAnsi"/>
                      <w:sz w:val="20"/>
                    </w:rPr>
                    <w:t xml:space="preserve"> </w:t>
                  </w:r>
                  <w:r>
                    <w:rPr>
                      <w:rStyle w:val="e24kjd"/>
                      <w:rFonts w:asciiTheme="majorHAnsi" w:hAnsiTheme="majorHAnsi" w:cstheme="majorHAnsi"/>
                      <w:sz w:val="20"/>
                    </w:rPr>
                    <w:t>Innovative interventions for emerging KPs and PWUD</w:t>
                  </w:r>
                </w:p>
                <w:p w14:paraId="0B7A9839" w14:textId="77777777" w:rsidR="0071110F" w:rsidRPr="00534F3D" w:rsidRDefault="0071110F" w:rsidP="00326A6B">
                  <w:pPr>
                    <w:pStyle w:val="ListParagraph"/>
                    <w:numPr>
                      <w:ilvl w:val="0"/>
                      <w:numId w:val="55"/>
                    </w:numPr>
                    <w:spacing w:after="0" w:line="240" w:lineRule="auto"/>
                    <w:cnfStyle w:val="000000100000" w:firstRow="0" w:lastRow="0" w:firstColumn="0" w:lastColumn="0" w:oddVBand="0" w:evenVBand="0" w:oddHBand="1" w:evenHBand="0" w:firstRowFirstColumn="0" w:firstRowLastColumn="0" w:lastRowFirstColumn="0" w:lastRowLastColumn="0"/>
                    <w:rPr>
                      <w:rStyle w:val="e24kjd"/>
                      <w:rFonts w:asciiTheme="majorHAnsi" w:hAnsiTheme="majorHAnsi" w:cstheme="majorHAnsi"/>
                      <w:sz w:val="20"/>
                    </w:rPr>
                  </w:pPr>
                  <w:r w:rsidRPr="00AC6A1F">
                    <w:rPr>
                      <w:rStyle w:val="e24kjd"/>
                      <w:rFonts w:asciiTheme="majorHAnsi" w:hAnsiTheme="majorHAnsi" w:cstheme="majorHAnsi"/>
                      <w:sz w:val="20"/>
                    </w:rPr>
                    <w:t>Improve quality of prevention service package</w:t>
                  </w:r>
                  <w:r>
                    <w:rPr>
                      <w:rStyle w:val="e24kjd"/>
                      <w:rFonts w:asciiTheme="majorHAnsi" w:hAnsiTheme="majorHAnsi" w:cstheme="majorHAnsi"/>
                      <w:sz w:val="20"/>
                    </w:rPr>
                    <w:t xml:space="preserve">: </w:t>
                  </w:r>
                  <w:r w:rsidRPr="00AC6A1F">
                    <w:rPr>
                      <w:rStyle w:val="e24kjd"/>
                      <w:rFonts w:asciiTheme="majorHAnsi" w:hAnsiTheme="majorHAnsi" w:cstheme="majorHAnsi"/>
                      <w:sz w:val="20"/>
                    </w:rPr>
                    <w:t xml:space="preserve"> basic package, </w:t>
                  </w:r>
                  <w:r>
                    <w:rPr>
                      <w:rStyle w:val="e24kjd"/>
                      <w:rFonts w:asciiTheme="majorHAnsi" w:hAnsiTheme="majorHAnsi" w:cstheme="majorHAnsi"/>
                      <w:sz w:val="20"/>
                    </w:rPr>
                    <w:t>extended</w:t>
                  </w:r>
                  <w:r w:rsidRPr="00AC6A1F">
                    <w:rPr>
                      <w:rStyle w:val="e24kjd"/>
                      <w:rFonts w:asciiTheme="majorHAnsi" w:hAnsiTheme="majorHAnsi" w:cstheme="majorHAnsi"/>
                      <w:sz w:val="20"/>
                    </w:rPr>
                    <w:t xml:space="preserve"> package</w:t>
                  </w:r>
                  <w:r>
                    <w:rPr>
                      <w:rStyle w:val="e24kjd"/>
                      <w:rFonts w:asciiTheme="majorHAnsi" w:hAnsiTheme="majorHAnsi" w:cstheme="majorHAnsi"/>
                      <w:sz w:val="20"/>
                    </w:rPr>
                    <w:t>, m</w:t>
                  </w:r>
                  <w:r>
                    <w:rPr>
                      <w:rStyle w:val="e24kjd"/>
                      <w:rFonts w:cs="Arial"/>
                      <w:sz w:val="20"/>
                      <w:szCs w:val="20"/>
                    </w:rPr>
                    <w:t>obile clinics, more outreach</w:t>
                  </w:r>
                </w:p>
                <w:p w14:paraId="792E7308" w14:textId="77777777" w:rsidR="0071110F" w:rsidRPr="00AC6A1F" w:rsidRDefault="0071110F" w:rsidP="00781834">
                  <w:pPr>
                    <w:pStyle w:val="ListParagraph"/>
                    <w:spacing w:after="0" w:line="240" w:lineRule="auto"/>
                    <w:ind w:left="360"/>
                    <w:cnfStyle w:val="000000100000" w:firstRow="0" w:lastRow="0" w:firstColumn="0" w:lastColumn="0" w:oddVBand="0" w:evenVBand="0" w:oddHBand="1" w:evenHBand="0" w:firstRowFirstColumn="0" w:firstRowLastColumn="0" w:lastRowFirstColumn="0" w:lastRowLastColumn="0"/>
                    <w:rPr>
                      <w:rStyle w:val="e24kjd"/>
                      <w:rFonts w:asciiTheme="majorHAnsi" w:hAnsiTheme="majorHAnsi" w:cstheme="majorHAnsi"/>
                      <w:sz w:val="20"/>
                    </w:rPr>
                  </w:pPr>
                </w:p>
                <w:p w14:paraId="0600002E" w14:textId="77777777" w:rsidR="0071110F" w:rsidRPr="00AC6A1F" w:rsidRDefault="0071110F" w:rsidP="00326A6B">
                  <w:pPr>
                    <w:pStyle w:val="ListParagraph"/>
                    <w:numPr>
                      <w:ilvl w:val="0"/>
                      <w:numId w:val="55"/>
                    </w:numPr>
                    <w:spacing w:after="0" w:line="240" w:lineRule="auto"/>
                    <w:cnfStyle w:val="000000100000" w:firstRow="0" w:lastRow="0" w:firstColumn="0" w:lastColumn="0" w:oddVBand="0" w:evenVBand="0" w:oddHBand="1" w:evenHBand="0" w:firstRowFirstColumn="0" w:firstRowLastColumn="0" w:lastRowFirstColumn="0" w:lastRowLastColumn="0"/>
                    <w:rPr>
                      <w:rStyle w:val="e24kjd"/>
                      <w:rFonts w:asciiTheme="majorHAnsi" w:hAnsiTheme="majorHAnsi" w:cstheme="majorHAnsi"/>
                      <w:sz w:val="20"/>
                    </w:rPr>
                  </w:pPr>
                  <w:r>
                    <w:rPr>
                      <w:rStyle w:val="e24kjd"/>
                      <w:rFonts w:asciiTheme="majorHAnsi" w:hAnsiTheme="majorHAnsi" w:cstheme="majorHAnsi"/>
                      <w:sz w:val="20"/>
                    </w:rPr>
                    <w:t>Remove barriers to e</w:t>
                  </w:r>
                  <w:r w:rsidRPr="00AC6A1F">
                    <w:rPr>
                      <w:rStyle w:val="e24kjd"/>
                      <w:rFonts w:asciiTheme="majorHAnsi" w:hAnsiTheme="majorHAnsi" w:cstheme="majorHAnsi"/>
                      <w:sz w:val="20"/>
                    </w:rPr>
                    <w:t>xtend on Right bank, introduce OST to Left Bank</w:t>
                  </w:r>
                </w:p>
                <w:p w14:paraId="4913AB5E" w14:textId="77777777" w:rsidR="0071110F" w:rsidRPr="00AC6A1F" w:rsidRDefault="0071110F" w:rsidP="00781834">
                  <w:pPr>
                    <w:pStyle w:val="ListParagraph"/>
                    <w:spacing w:after="0" w:line="240" w:lineRule="auto"/>
                    <w:ind w:left="360"/>
                    <w:cnfStyle w:val="000000100000" w:firstRow="0" w:lastRow="0" w:firstColumn="0" w:lastColumn="0" w:oddVBand="0" w:evenVBand="0" w:oddHBand="1" w:evenHBand="0" w:firstRowFirstColumn="0" w:firstRowLastColumn="0" w:lastRowFirstColumn="0" w:lastRowLastColumn="0"/>
                    <w:rPr>
                      <w:rStyle w:val="e24kjd"/>
                      <w:rFonts w:asciiTheme="majorHAnsi" w:hAnsiTheme="majorHAnsi" w:cstheme="majorHAnsi"/>
                      <w:sz w:val="20"/>
                    </w:rPr>
                  </w:pPr>
                </w:p>
                <w:p w14:paraId="12A21A01" w14:textId="77777777" w:rsidR="0071110F" w:rsidRPr="00323C2D" w:rsidRDefault="0071110F" w:rsidP="00326A6B">
                  <w:pPr>
                    <w:pStyle w:val="ListParagraph"/>
                    <w:numPr>
                      <w:ilvl w:val="0"/>
                      <w:numId w:val="55"/>
                    </w:numPr>
                    <w:spacing w:after="0" w:line="240" w:lineRule="auto"/>
                    <w:cnfStyle w:val="000000100000" w:firstRow="0" w:lastRow="0" w:firstColumn="0" w:lastColumn="0" w:oddVBand="0" w:evenVBand="0" w:oddHBand="1" w:evenHBand="0" w:firstRowFirstColumn="0" w:firstRowLastColumn="0" w:lastRowFirstColumn="0" w:lastRowLastColumn="0"/>
                    <w:rPr>
                      <w:rStyle w:val="e24kjd"/>
                      <w:rFonts w:asciiTheme="majorHAnsi" w:hAnsiTheme="majorHAnsi" w:cstheme="majorHAnsi"/>
                      <w:sz w:val="20"/>
                    </w:rPr>
                  </w:pPr>
                  <w:r w:rsidRPr="00AC6A1F">
                    <w:rPr>
                      <w:rStyle w:val="e24kjd"/>
                      <w:rFonts w:cs="Arial"/>
                      <w:sz w:val="20"/>
                      <w:szCs w:val="20"/>
                    </w:rPr>
                    <w:t>Alterna</w:t>
                  </w:r>
                  <w:r>
                    <w:rPr>
                      <w:rStyle w:val="e24kjd"/>
                      <w:rFonts w:cs="Arial"/>
                      <w:sz w:val="20"/>
                      <w:szCs w:val="20"/>
                    </w:rPr>
                    <w:t>ti</w:t>
                  </w:r>
                  <w:r w:rsidRPr="00AC6A1F">
                    <w:rPr>
                      <w:rStyle w:val="e24kjd"/>
                      <w:rFonts w:cs="Arial"/>
                      <w:sz w:val="20"/>
                      <w:szCs w:val="20"/>
                    </w:rPr>
                    <w:t>ves to imprisonment for PWI</w:t>
                  </w:r>
                  <w:r>
                    <w:rPr>
                      <w:rStyle w:val="e24kjd"/>
                      <w:rFonts w:cs="Arial"/>
                      <w:sz w:val="20"/>
                      <w:szCs w:val="20"/>
                    </w:rPr>
                    <w:t>D</w:t>
                  </w:r>
                </w:p>
                <w:p w14:paraId="6FCC5E92" w14:textId="77777777" w:rsidR="0071110F" w:rsidRPr="00AC6A1F" w:rsidRDefault="0071110F" w:rsidP="00781834">
                  <w:pPr>
                    <w:pStyle w:val="ListParagraph"/>
                    <w:spacing w:after="0" w:line="240" w:lineRule="auto"/>
                    <w:ind w:left="360"/>
                    <w:cnfStyle w:val="000000100000" w:firstRow="0" w:lastRow="0" w:firstColumn="0" w:lastColumn="0" w:oddVBand="0" w:evenVBand="0" w:oddHBand="1" w:evenHBand="0" w:firstRowFirstColumn="0" w:firstRowLastColumn="0" w:lastRowFirstColumn="0" w:lastRowLastColumn="0"/>
                    <w:rPr>
                      <w:rStyle w:val="e24kjd"/>
                      <w:rFonts w:asciiTheme="majorHAnsi" w:hAnsiTheme="majorHAnsi" w:cstheme="majorHAnsi"/>
                      <w:sz w:val="20"/>
                    </w:rPr>
                  </w:pPr>
                </w:p>
              </w:tc>
            </w:tr>
            <w:tr w:rsidR="0071110F" w14:paraId="4B2EC51B" w14:textId="77777777" w:rsidTr="007E3A64">
              <w:tc>
                <w:tcPr>
                  <w:cnfStyle w:val="001000000000" w:firstRow="0" w:lastRow="0" w:firstColumn="1" w:lastColumn="0" w:oddVBand="0" w:evenVBand="0" w:oddHBand="0" w:evenHBand="0" w:firstRowFirstColumn="0" w:firstRowLastColumn="0" w:lastRowFirstColumn="0" w:lastRowLastColumn="0"/>
                  <w:tcW w:w="4285" w:type="dxa"/>
                </w:tcPr>
                <w:p w14:paraId="6A663C59" w14:textId="77777777" w:rsidR="0071110F" w:rsidRPr="00261588" w:rsidRDefault="0071110F" w:rsidP="00781834">
                  <w:pPr>
                    <w:spacing w:after="0" w:line="240" w:lineRule="auto"/>
                    <w:rPr>
                      <w:rStyle w:val="e24kjd"/>
                      <w:rFonts w:asciiTheme="majorHAnsi" w:hAnsiTheme="majorHAnsi" w:cstheme="majorHAnsi"/>
                      <w:sz w:val="20"/>
                    </w:rPr>
                  </w:pPr>
                  <w:r w:rsidRPr="00261588">
                    <w:rPr>
                      <w:rStyle w:val="e24kjd"/>
                      <w:rFonts w:asciiTheme="majorHAnsi" w:hAnsiTheme="majorHAnsi" w:cstheme="majorHAnsi"/>
                      <w:sz w:val="20"/>
                    </w:rPr>
                    <w:t>1</w:t>
                  </w:r>
                  <w:r w:rsidRPr="00261588">
                    <w:rPr>
                      <w:rStyle w:val="e24kjd"/>
                      <w:rFonts w:asciiTheme="majorHAnsi" w:hAnsiTheme="majorHAnsi" w:cstheme="majorHAnsi"/>
                      <w:sz w:val="20"/>
                      <w:vertAlign w:val="superscript"/>
                    </w:rPr>
                    <w:t xml:space="preserve">st </w:t>
                  </w:r>
                  <w:r w:rsidRPr="00261588">
                    <w:rPr>
                      <w:rStyle w:val="e24kjd"/>
                      <w:rFonts w:asciiTheme="majorHAnsi" w:hAnsiTheme="majorHAnsi" w:cstheme="majorHAnsi"/>
                      <w:sz w:val="20"/>
                    </w:rPr>
                    <w:t>90</w:t>
                  </w:r>
                </w:p>
                <w:p w14:paraId="6F26017D" w14:textId="77777777" w:rsidR="0071110F" w:rsidRPr="00875E9C" w:rsidRDefault="0071110F" w:rsidP="00326A6B">
                  <w:pPr>
                    <w:pStyle w:val="ListParagraph"/>
                    <w:numPr>
                      <w:ilvl w:val="0"/>
                      <w:numId w:val="69"/>
                    </w:numPr>
                    <w:spacing w:after="0" w:line="240" w:lineRule="auto"/>
                    <w:ind w:left="360"/>
                    <w:rPr>
                      <w:rStyle w:val="e24kjd"/>
                      <w:rFonts w:asciiTheme="majorHAnsi" w:hAnsiTheme="majorHAnsi" w:cstheme="majorHAnsi"/>
                      <w:b w:val="0"/>
                      <w:sz w:val="20"/>
                    </w:rPr>
                  </w:pPr>
                  <w:r w:rsidRPr="00875E9C">
                    <w:rPr>
                      <w:rStyle w:val="e24kjd"/>
                      <w:rFonts w:asciiTheme="majorHAnsi" w:hAnsiTheme="majorHAnsi" w:cstheme="majorHAnsi"/>
                      <w:b w:val="0"/>
                      <w:sz w:val="20"/>
                    </w:rPr>
                    <w:t>High number of tests, low case finding in testing in KPs and PITC</w:t>
                  </w:r>
                </w:p>
                <w:p w14:paraId="20140C7A" w14:textId="77777777" w:rsidR="0071110F" w:rsidRPr="00875E9C" w:rsidRDefault="0071110F" w:rsidP="00875E9C">
                  <w:pPr>
                    <w:spacing w:after="0" w:line="240" w:lineRule="auto"/>
                    <w:rPr>
                      <w:rStyle w:val="e24kjd"/>
                      <w:rFonts w:asciiTheme="majorHAnsi" w:hAnsiTheme="majorHAnsi" w:cstheme="majorHAnsi"/>
                      <w:b w:val="0"/>
                      <w:sz w:val="20"/>
                    </w:rPr>
                  </w:pPr>
                </w:p>
                <w:p w14:paraId="3C2F65BC" w14:textId="1682186F" w:rsidR="0071110F" w:rsidRDefault="0071110F" w:rsidP="00781834">
                  <w:pPr>
                    <w:spacing w:after="0" w:line="240" w:lineRule="auto"/>
                    <w:rPr>
                      <w:rStyle w:val="e24kjd"/>
                      <w:rFonts w:asciiTheme="majorHAnsi" w:hAnsiTheme="majorHAnsi" w:cstheme="majorHAnsi"/>
                      <w:sz w:val="20"/>
                    </w:rPr>
                  </w:pPr>
                </w:p>
                <w:p w14:paraId="17F024BB" w14:textId="77777777" w:rsidR="00875E9C" w:rsidRDefault="00875E9C" w:rsidP="00781834">
                  <w:pPr>
                    <w:spacing w:after="0" w:line="240" w:lineRule="auto"/>
                    <w:rPr>
                      <w:rStyle w:val="e24kjd"/>
                      <w:rFonts w:asciiTheme="majorHAnsi" w:hAnsiTheme="majorHAnsi" w:cstheme="majorHAnsi"/>
                      <w:sz w:val="20"/>
                    </w:rPr>
                  </w:pPr>
                </w:p>
                <w:p w14:paraId="015EA6BB" w14:textId="4325AE0E" w:rsidR="0071110F" w:rsidRDefault="0071110F" w:rsidP="00781834">
                  <w:pPr>
                    <w:spacing w:after="0" w:line="240" w:lineRule="auto"/>
                    <w:rPr>
                      <w:rStyle w:val="e24kjd"/>
                      <w:rFonts w:asciiTheme="majorHAnsi" w:hAnsiTheme="majorHAnsi" w:cstheme="majorHAnsi"/>
                      <w:sz w:val="20"/>
                    </w:rPr>
                  </w:pPr>
                </w:p>
                <w:p w14:paraId="17932721" w14:textId="77777777" w:rsidR="003221F0" w:rsidRDefault="003221F0" w:rsidP="00781834">
                  <w:pPr>
                    <w:spacing w:after="0" w:line="240" w:lineRule="auto"/>
                    <w:rPr>
                      <w:rStyle w:val="e24kjd"/>
                      <w:rFonts w:asciiTheme="majorHAnsi" w:hAnsiTheme="majorHAnsi" w:cstheme="majorHAnsi"/>
                      <w:sz w:val="20"/>
                    </w:rPr>
                  </w:pPr>
                </w:p>
                <w:p w14:paraId="272F07B6" w14:textId="77777777" w:rsidR="0071110F" w:rsidRPr="00261588" w:rsidRDefault="0071110F" w:rsidP="00781834">
                  <w:pPr>
                    <w:spacing w:after="0" w:line="240" w:lineRule="auto"/>
                    <w:rPr>
                      <w:rStyle w:val="e24kjd"/>
                      <w:rFonts w:asciiTheme="majorHAnsi" w:hAnsiTheme="majorHAnsi" w:cstheme="majorHAnsi"/>
                      <w:sz w:val="20"/>
                    </w:rPr>
                  </w:pPr>
                  <w:r w:rsidRPr="00261588">
                    <w:rPr>
                      <w:rStyle w:val="e24kjd"/>
                      <w:rFonts w:asciiTheme="majorHAnsi" w:hAnsiTheme="majorHAnsi" w:cstheme="majorHAnsi"/>
                      <w:sz w:val="20"/>
                    </w:rPr>
                    <w:t>2</w:t>
                  </w:r>
                  <w:r w:rsidRPr="00261588">
                    <w:rPr>
                      <w:rStyle w:val="e24kjd"/>
                      <w:rFonts w:asciiTheme="majorHAnsi" w:hAnsiTheme="majorHAnsi" w:cstheme="majorHAnsi"/>
                      <w:sz w:val="20"/>
                      <w:vertAlign w:val="superscript"/>
                    </w:rPr>
                    <w:t>nd</w:t>
                  </w:r>
                  <w:r w:rsidRPr="00261588">
                    <w:rPr>
                      <w:rStyle w:val="e24kjd"/>
                      <w:rFonts w:asciiTheme="majorHAnsi" w:hAnsiTheme="majorHAnsi" w:cstheme="majorHAnsi"/>
                      <w:sz w:val="20"/>
                    </w:rPr>
                    <w:t xml:space="preserve"> 90</w:t>
                  </w:r>
                </w:p>
                <w:p w14:paraId="5247984D" w14:textId="77777777" w:rsidR="0071110F" w:rsidRPr="00875E9C" w:rsidRDefault="0071110F" w:rsidP="00326A6B">
                  <w:pPr>
                    <w:pStyle w:val="ListParagraph"/>
                    <w:numPr>
                      <w:ilvl w:val="0"/>
                      <w:numId w:val="68"/>
                    </w:numPr>
                    <w:spacing w:after="0" w:line="240" w:lineRule="auto"/>
                    <w:rPr>
                      <w:rStyle w:val="e24kjd"/>
                      <w:rFonts w:asciiTheme="majorHAnsi" w:hAnsiTheme="majorHAnsi" w:cstheme="majorHAnsi"/>
                      <w:b w:val="0"/>
                      <w:sz w:val="20"/>
                    </w:rPr>
                  </w:pPr>
                  <w:r w:rsidRPr="00875E9C">
                    <w:rPr>
                      <w:rStyle w:val="e24kjd"/>
                      <w:rFonts w:asciiTheme="majorHAnsi" w:hAnsiTheme="majorHAnsi" w:cstheme="majorHAnsi"/>
                      <w:b w:val="0"/>
                      <w:sz w:val="20"/>
                    </w:rPr>
                    <w:t>Late diagnosis and treatment enrolment Treatment coverage suboptimal: model of care still centralized, undefined service package for testing, care and treatment for health</w:t>
                  </w:r>
                </w:p>
                <w:p w14:paraId="1FAA9662" w14:textId="7171955C" w:rsidR="0071110F" w:rsidRPr="00875E9C" w:rsidRDefault="0071110F" w:rsidP="00326A6B">
                  <w:pPr>
                    <w:pStyle w:val="ListParagraph"/>
                    <w:numPr>
                      <w:ilvl w:val="0"/>
                      <w:numId w:val="68"/>
                    </w:numPr>
                    <w:spacing w:after="0" w:line="240" w:lineRule="auto"/>
                    <w:rPr>
                      <w:rStyle w:val="e24kjd"/>
                      <w:rFonts w:asciiTheme="majorHAnsi" w:hAnsiTheme="majorHAnsi" w:cstheme="majorHAnsi"/>
                      <w:b w:val="0"/>
                      <w:sz w:val="20"/>
                    </w:rPr>
                  </w:pPr>
                  <w:r w:rsidRPr="00875E9C">
                    <w:rPr>
                      <w:rStyle w:val="e24kjd"/>
                      <w:rFonts w:asciiTheme="majorHAnsi" w:hAnsiTheme="majorHAnsi" w:cstheme="majorHAnsi"/>
                      <w:b w:val="0"/>
                      <w:sz w:val="20"/>
                    </w:rPr>
                    <w:t>Low capacity to find those lost to follow up in the past between HIV testing and treatment initiation</w:t>
                  </w:r>
                </w:p>
                <w:p w14:paraId="0DD0DDBF" w14:textId="77777777" w:rsidR="0009442E" w:rsidRPr="00875E9C" w:rsidRDefault="0009442E" w:rsidP="00326A6B">
                  <w:pPr>
                    <w:pStyle w:val="Default"/>
                    <w:numPr>
                      <w:ilvl w:val="0"/>
                      <w:numId w:val="68"/>
                    </w:numPr>
                    <w:jc w:val="both"/>
                    <w:rPr>
                      <w:rStyle w:val="e24kjd"/>
                      <w:b w:val="0"/>
                      <w:sz w:val="20"/>
                      <w:szCs w:val="20"/>
                    </w:rPr>
                  </w:pPr>
                  <w:r w:rsidRPr="00875E9C">
                    <w:rPr>
                      <w:rStyle w:val="e24kjd"/>
                      <w:b w:val="0"/>
                      <w:sz w:val="20"/>
                      <w:szCs w:val="20"/>
                    </w:rPr>
                    <w:t xml:space="preserve">CSOs lack formalized case-management and client navigation roles. </w:t>
                  </w:r>
                </w:p>
                <w:p w14:paraId="20D794BF" w14:textId="6CEB2EAF" w:rsidR="0009442E" w:rsidRDefault="0009442E" w:rsidP="0009442E">
                  <w:pPr>
                    <w:pStyle w:val="Default"/>
                    <w:rPr>
                      <w:rStyle w:val="e24kjd"/>
                      <w:sz w:val="20"/>
                      <w:szCs w:val="20"/>
                    </w:rPr>
                  </w:pPr>
                </w:p>
                <w:p w14:paraId="3D11E60D" w14:textId="77777777" w:rsidR="0071110F" w:rsidRDefault="0071110F" w:rsidP="00781834">
                  <w:pPr>
                    <w:spacing w:after="0" w:line="240" w:lineRule="auto"/>
                    <w:rPr>
                      <w:rStyle w:val="e24kjd"/>
                      <w:rFonts w:asciiTheme="majorHAnsi" w:hAnsiTheme="majorHAnsi" w:cstheme="majorHAnsi"/>
                      <w:sz w:val="20"/>
                    </w:rPr>
                  </w:pPr>
                  <w:r w:rsidRPr="00261588">
                    <w:rPr>
                      <w:rStyle w:val="e24kjd"/>
                      <w:rFonts w:asciiTheme="majorHAnsi" w:hAnsiTheme="majorHAnsi" w:cstheme="majorHAnsi"/>
                      <w:sz w:val="20"/>
                    </w:rPr>
                    <w:t>3</w:t>
                  </w:r>
                  <w:r w:rsidRPr="00261588">
                    <w:rPr>
                      <w:rStyle w:val="e24kjd"/>
                      <w:rFonts w:asciiTheme="majorHAnsi" w:hAnsiTheme="majorHAnsi" w:cstheme="majorHAnsi"/>
                      <w:sz w:val="20"/>
                      <w:vertAlign w:val="superscript"/>
                    </w:rPr>
                    <w:t xml:space="preserve">rd </w:t>
                  </w:r>
                  <w:r w:rsidRPr="00261588">
                    <w:rPr>
                      <w:rStyle w:val="e24kjd"/>
                      <w:rFonts w:asciiTheme="majorHAnsi" w:hAnsiTheme="majorHAnsi" w:cstheme="majorHAnsi"/>
                      <w:sz w:val="20"/>
                    </w:rPr>
                    <w:t>90</w:t>
                  </w:r>
                </w:p>
                <w:p w14:paraId="62339CC1" w14:textId="345BBF40" w:rsidR="00875E9C" w:rsidRPr="00875E9C" w:rsidRDefault="00875E9C" w:rsidP="00326A6B">
                  <w:pPr>
                    <w:pStyle w:val="ListParagraph"/>
                    <w:numPr>
                      <w:ilvl w:val="0"/>
                      <w:numId w:val="67"/>
                    </w:numPr>
                    <w:spacing w:after="0" w:line="240" w:lineRule="auto"/>
                    <w:rPr>
                      <w:rStyle w:val="e24kjd"/>
                      <w:rFonts w:asciiTheme="majorHAnsi" w:hAnsiTheme="majorHAnsi" w:cstheme="majorHAnsi"/>
                      <w:b w:val="0"/>
                      <w:sz w:val="20"/>
                    </w:rPr>
                  </w:pPr>
                  <w:r w:rsidRPr="00875E9C">
                    <w:rPr>
                      <w:rStyle w:val="e24kjd"/>
                      <w:rFonts w:asciiTheme="majorHAnsi" w:hAnsiTheme="majorHAnsi" w:cstheme="majorHAnsi"/>
                      <w:b w:val="0"/>
                      <w:sz w:val="20"/>
                    </w:rPr>
                    <w:t xml:space="preserve">Suboptimal adherence </w:t>
                  </w:r>
                </w:p>
                <w:p w14:paraId="20BBD794" w14:textId="6E84B547" w:rsidR="0071110F" w:rsidRPr="00875E9C" w:rsidRDefault="00875E9C" w:rsidP="00326A6B">
                  <w:pPr>
                    <w:pStyle w:val="ListParagraph"/>
                    <w:numPr>
                      <w:ilvl w:val="0"/>
                      <w:numId w:val="67"/>
                    </w:numPr>
                    <w:spacing w:after="0" w:line="240" w:lineRule="auto"/>
                    <w:rPr>
                      <w:rStyle w:val="e24kjd"/>
                      <w:rFonts w:asciiTheme="majorHAnsi" w:hAnsiTheme="majorHAnsi" w:cstheme="majorHAnsi"/>
                      <w:sz w:val="20"/>
                    </w:rPr>
                  </w:pPr>
                  <w:r w:rsidRPr="00875E9C">
                    <w:rPr>
                      <w:rStyle w:val="e24kjd"/>
                      <w:rFonts w:asciiTheme="majorHAnsi" w:hAnsiTheme="majorHAnsi" w:cstheme="majorHAnsi"/>
                      <w:b w:val="0"/>
                      <w:sz w:val="20"/>
                    </w:rPr>
                    <w:t>Treatment continuity between prisons, health facilities and NGOs is still weak and fragmented and poor information exchange</w:t>
                  </w:r>
                </w:p>
              </w:tc>
              <w:tc>
                <w:tcPr>
                  <w:tcW w:w="5945" w:type="dxa"/>
                </w:tcPr>
                <w:p w14:paraId="58308CDC" w14:textId="77777777" w:rsidR="003221F0" w:rsidRDefault="0071110F" w:rsidP="00781834">
                  <w:pPr>
                    <w:tabs>
                      <w:tab w:val="num" w:pos="720"/>
                    </w:tabs>
                    <w:spacing w:after="0"/>
                    <w:cnfStyle w:val="000000000000" w:firstRow="0" w:lastRow="0" w:firstColumn="0" w:lastColumn="0" w:oddVBand="0" w:evenVBand="0" w:oddHBand="0" w:evenHBand="0" w:firstRowFirstColumn="0" w:firstRowLastColumn="0" w:lastRowFirstColumn="0" w:lastRowLastColumn="0"/>
                    <w:rPr>
                      <w:rStyle w:val="e24kjd"/>
                      <w:rFonts w:asciiTheme="majorHAnsi" w:hAnsiTheme="majorHAnsi" w:cstheme="majorHAnsi"/>
                      <w:sz w:val="20"/>
                    </w:rPr>
                  </w:pPr>
                  <w:r>
                    <w:rPr>
                      <w:rStyle w:val="e24kjd"/>
                      <w:rFonts w:asciiTheme="majorHAnsi" w:hAnsiTheme="majorHAnsi" w:cstheme="majorHAnsi"/>
                      <w:b/>
                      <w:sz w:val="20"/>
                    </w:rPr>
                    <w:t>1</w:t>
                  </w:r>
                  <w:r w:rsidRPr="00261588">
                    <w:rPr>
                      <w:rStyle w:val="e24kjd"/>
                      <w:rFonts w:asciiTheme="majorHAnsi" w:hAnsiTheme="majorHAnsi" w:cstheme="majorHAnsi"/>
                      <w:b/>
                      <w:sz w:val="20"/>
                      <w:vertAlign w:val="superscript"/>
                    </w:rPr>
                    <w:t>st</w:t>
                  </w:r>
                  <w:r>
                    <w:rPr>
                      <w:rStyle w:val="e24kjd"/>
                      <w:rFonts w:asciiTheme="majorHAnsi" w:hAnsiTheme="majorHAnsi" w:cstheme="majorHAnsi"/>
                      <w:b/>
                      <w:sz w:val="20"/>
                    </w:rPr>
                    <w:t xml:space="preserve"> 90</w:t>
                  </w:r>
                  <w:r>
                    <w:rPr>
                      <w:rStyle w:val="e24kjd"/>
                      <w:rFonts w:asciiTheme="majorHAnsi" w:hAnsiTheme="majorHAnsi" w:cstheme="majorHAnsi"/>
                      <w:sz w:val="20"/>
                    </w:rPr>
                    <w:t xml:space="preserve">: </w:t>
                  </w:r>
                </w:p>
                <w:p w14:paraId="614A05C1" w14:textId="0FCA471D" w:rsidR="0071110F" w:rsidRPr="003221F0" w:rsidRDefault="0071110F" w:rsidP="00326A6B">
                  <w:pPr>
                    <w:pStyle w:val="ListParagraph"/>
                    <w:numPr>
                      <w:ilvl w:val="0"/>
                      <w:numId w:val="71"/>
                    </w:numPr>
                    <w:tabs>
                      <w:tab w:val="num" w:pos="720"/>
                    </w:tabs>
                    <w:spacing w:after="0"/>
                    <w:cnfStyle w:val="000000000000" w:firstRow="0" w:lastRow="0" w:firstColumn="0" w:lastColumn="0" w:oddVBand="0" w:evenVBand="0" w:oddHBand="0" w:evenHBand="0" w:firstRowFirstColumn="0" w:firstRowLastColumn="0" w:lastRowFirstColumn="0" w:lastRowLastColumn="0"/>
                    <w:rPr>
                      <w:rStyle w:val="e24kjd"/>
                      <w:rFonts w:asciiTheme="majorHAnsi" w:hAnsiTheme="majorHAnsi" w:cstheme="majorHAnsi"/>
                      <w:sz w:val="20"/>
                    </w:rPr>
                  </w:pPr>
                  <w:r w:rsidRPr="003221F0">
                    <w:rPr>
                      <w:rStyle w:val="e24kjd"/>
                      <w:rFonts w:asciiTheme="majorHAnsi" w:hAnsiTheme="majorHAnsi" w:cstheme="majorHAnsi"/>
                      <w:sz w:val="20"/>
                    </w:rPr>
                    <w:t>Develop a quality approach to differentiated testing strategies for each key populations using a strategic mix of tailored strategies</w:t>
                  </w:r>
                  <w:r w:rsidR="003221F0">
                    <w:rPr>
                      <w:rStyle w:val="e24kjd"/>
                      <w:rFonts w:asciiTheme="majorHAnsi" w:hAnsiTheme="majorHAnsi" w:cstheme="majorHAnsi"/>
                      <w:sz w:val="20"/>
                    </w:rPr>
                    <w:t xml:space="preserve"> of PITC and CBT platforms, including</w:t>
                  </w:r>
                  <w:r w:rsidRPr="003221F0">
                    <w:rPr>
                      <w:rStyle w:val="e24kjd"/>
                      <w:rFonts w:asciiTheme="majorHAnsi" w:hAnsiTheme="majorHAnsi" w:cstheme="majorHAnsi"/>
                      <w:sz w:val="20"/>
                    </w:rPr>
                    <w:t xml:space="preserve"> </w:t>
                  </w:r>
                  <w:r w:rsidR="003221F0" w:rsidRPr="003221F0">
                    <w:rPr>
                      <w:rStyle w:val="e24kjd"/>
                      <w:rFonts w:asciiTheme="majorHAnsi" w:hAnsiTheme="majorHAnsi" w:cstheme="majorHAnsi"/>
                      <w:sz w:val="20"/>
                    </w:rPr>
                    <w:t>index testing, network testing, lay provider</w:t>
                  </w:r>
                  <w:r w:rsidR="003221F0">
                    <w:rPr>
                      <w:rStyle w:val="e24kjd"/>
                      <w:rFonts w:asciiTheme="majorHAnsi" w:hAnsiTheme="majorHAnsi" w:cstheme="majorHAnsi"/>
                      <w:sz w:val="20"/>
                    </w:rPr>
                    <w:t xml:space="preserve"> testing.</w:t>
                  </w:r>
                </w:p>
                <w:p w14:paraId="6FCBB7C5" w14:textId="77777777" w:rsidR="0071110F" w:rsidRPr="003221F0" w:rsidRDefault="0071110F" w:rsidP="00326A6B">
                  <w:pPr>
                    <w:pStyle w:val="ListParagraph"/>
                    <w:numPr>
                      <w:ilvl w:val="0"/>
                      <w:numId w:val="71"/>
                    </w:numPr>
                    <w:tabs>
                      <w:tab w:val="num" w:pos="720"/>
                    </w:tabs>
                    <w:spacing w:after="0"/>
                    <w:cnfStyle w:val="000000000000" w:firstRow="0" w:lastRow="0" w:firstColumn="0" w:lastColumn="0" w:oddVBand="0" w:evenVBand="0" w:oddHBand="0" w:evenHBand="0" w:firstRowFirstColumn="0" w:firstRowLastColumn="0" w:lastRowFirstColumn="0" w:lastRowLastColumn="0"/>
                    <w:rPr>
                      <w:rStyle w:val="e24kjd"/>
                      <w:rFonts w:asciiTheme="majorHAnsi" w:hAnsiTheme="majorHAnsi" w:cstheme="majorHAnsi"/>
                      <w:sz w:val="20"/>
                    </w:rPr>
                  </w:pPr>
                  <w:r w:rsidRPr="003221F0">
                    <w:rPr>
                      <w:rStyle w:val="e24kjd"/>
                      <w:rFonts w:asciiTheme="majorHAnsi" w:hAnsiTheme="majorHAnsi" w:cstheme="majorHAnsi"/>
                      <w:sz w:val="20"/>
                    </w:rPr>
                    <w:t xml:space="preserve">Incentives to CSOs and primary care staff for case finding </w:t>
                  </w:r>
                </w:p>
                <w:p w14:paraId="7BA5628F" w14:textId="4F35441A" w:rsidR="0071110F" w:rsidRPr="003221F0" w:rsidRDefault="003221F0" w:rsidP="00326A6B">
                  <w:pPr>
                    <w:pStyle w:val="ListParagraph"/>
                    <w:numPr>
                      <w:ilvl w:val="0"/>
                      <w:numId w:val="71"/>
                    </w:numPr>
                    <w:tabs>
                      <w:tab w:val="num" w:pos="720"/>
                    </w:tabs>
                    <w:spacing w:after="0"/>
                    <w:cnfStyle w:val="000000000000" w:firstRow="0" w:lastRow="0" w:firstColumn="0" w:lastColumn="0" w:oddVBand="0" w:evenVBand="0" w:oddHBand="0" w:evenHBand="0" w:firstRowFirstColumn="0" w:firstRowLastColumn="0" w:lastRowFirstColumn="0" w:lastRowLastColumn="0"/>
                    <w:rPr>
                      <w:rStyle w:val="e24kjd"/>
                      <w:rFonts w:asciiTheme="majorHAnsi" w:hAnsiTheme="majorHAnsi" w:cstheme="majorHAnsi"/>
                      <w:sz w:val="20"/>
                    </w:rPr>
                  </w:pPr>
                  <w:r>
                    <w:rPr>
                      <w:rStyle w:val="e24kjd"/>
                      <w:rFonts w:asciiTheme="majorHAnsi" w:hAnsiTheme="majorHAnsi" w:cstheme="majorHAnsi"/>
                      <w:sz w:val="20"/>
                    </w:rPr>
                    <w:t>I</w:t>
                  </w:r>
                  <w:r w:rsidR="0071110F" w:rsidRPr="003221F0">
                    <w:rPr>
                      <w:rStyle w:val="e24kjd"/>
                      <w:rFonts w:asciiTheme="majorHAnsi" w:hAnsiTheme="majorHAnsi" w:cstheme="majorHAnsi"/>
                      <w:sz w:val="20"/>
                    </w:rPr>
                    <w:t xml:space="preserve">mprove quality of HTS delivery and quality assurance. </w:t>
                  </w:r>
                </w:p>
                <w:p w14:paraId="11E3A3E8" w14:textId="77777777" w:rsidR="00875E9C" w:rsidRDefault="00875E9C" w:rsidP="00781834">
                  <w:pPr>
                    <w:spacing w:after="0"/>
                    <w:ind w:right="157"/>
                    <w:cnfStyle w:val="000000000000" w:firstRow="0" w:lastRow="0" w:firstColumn="0" w:lastColumn="0" w:oddVBand="0" w:evenVBand="0" w:oddHBand="0" w:evenHBand="0" w:firstRowFirstColumn="0" w:firstRowLastColumn="0" w:lastRowFirstColumn="0" w:lastRowLastColumn="0"/>
                    <w:rPr>
                      <w:rStyle w:val="e24kjd"/>
                      <w:rFonts w:asciiTheme="majorHAnsi" w:hAnsiTheme="majorHAnsi" w:cstheme="majorHAnsi"/>
                      <w:b/>
                      <w:sz w:val="20"/>
                    </w:rPr>
                  </w:pPr>
                </w:p>
                <w:p w14:paraId="525DBA78" w14:textId="77777777" w:rsidR="00875E9C" w:rsidRDefault="0071110F" w:rsidP="00781834">
                  <w:pPr>
                    <w:spacing w:after="0"/>
                    <w:ind w:right="157"/>
                    <w:cnfStyle w:val="000000000000" w:firstRow="0" w:lastRow="0" w:firstColumn="0" w:lastColumn="0" w:oddVBand="0" w:evenVBand="0" w:oddHBand="0" w:evenHBand="0" w:firstRowFirstColumn="0" w:firstRowLastColumn="0" w:lastRowFirstColumn="0" w:lastRowLastColumn="0"/>
                    <w:rPr>
                      <w:rStyle w:val="e24kjd"/>
                      <w:rFonts w:asciiTheme="majorHAnsi" w:hAnsiTheme="majorHAnsi" w:cstheme="majorHAnsi"/>
                      <w:sz w:val="20"/>
                    </w:rPr>
                  </w:pPr>
                  <w:r>
                    <w:rPr>
                      <w:rStyle w:val="e24kjd"/>
                      <w:rFonts w:asciiTheme="majorHAnsi" w:hAnsiTheme="majorHAnsi" w:cstheme="majorHAnsi"/>
                      <w:b/>
                      <w:sz w:val="20"/>
                    </w:rPr>
                    <w:t>2</w:t>
                  </w:r>
                  <w:r w:rsidRPr="003D7D09">
                    <w:rPr>
                      <w:rStyle w:val="e24kjd"/>
                      <w:rFonts w:asciiTheme="majorHAnsi" w:hAnsiTheme="majorHAnsi" w:cstheme="majorHAnsi"/>
                      <w:b/>
                      <w:sz w:val="20"/>
                      <w:vertAlign w:val="superscript"/>
                    </w:rPr>
                    <w:t>nd</w:t>
                  </w:r>
                  <w:r>
                    <w:rPr>
                      <w:rStyle w:val="e24kjd"/>
                      <w:rFonts w:asciiTheme="majorHAnsi" w:hAnsiTheme="majorHAnsi" w:cstheme="majorHAnsi"/>
                      <w:b/>
                      <w:sz w:val="20"/>
                    </w:rPr>
                    <w:t xml:space="preserve"> 90</w:t>
                  </w:r>
                  <w:r w:rsidRPr="00F269D7">
                    <w:rPr>
                      <w:rStyle w:val="e24kjd"/>
                      <w:rFonts w:asciiTheme="majorHAnsi" w:hAnsiTheme="majorHAnsi" w:cstheme="majorHAnsi"/>
                      <w:sz w:val="20"/>
                    </w:rPr>
                    <w:t xml:space="preserve">: </w:t>
                  </w:r>
                </w:p>
                <w:p w14:paraId="0EFBA6BB" w14:textId="09EB4697" w:rsidR="00875E9C" w:rsidRDefault="00875E9C" w:rsidP="00326A6B">
                  <w:pPr>
                    <w:pStyle w:val="ListParagraph"/>
                    <w:numPr>
                      <w:ilvl w:val="0"/>
                      <w:numId w:val="70"/>
                    </w:numPr>
                    <w:spacing w:after="0"/>
                    <w:ind w:right="157"/>
                    <w:cnfStyle w:val="000000000000" w:firstRow="0" w:lastRow="0" w:firstColumn="0" w:lastColumn="0" w:oddVBand="0" w:evenVBand="0" w:oddHBand="0" w:evenHBand="0" w:firstRowFirstColumn="0" w:firstRowLastColumn="0" w:lastRowFirstColumn="0" w:lastRowLastColumn="0"/>
                    <w:rPr>
                      <w:rStyle w:val="e24kjd"/>
                      <w:rFonts w:asciiTheme="majorHAnsi" w:hAnsiTheme="majorHAnsi" w:cstheme="majorHAnsi"/>
                      <w:sz w:val="20"/>
                    </w:rPr>
                  </w:pPr>
                  <w:r>
                    <w:rPr>
                      <w:rStyle w:val="e24kjd"/>
                      <w:rFonts w:asciiTheme="majorHAnsi" w:hAnsiTheme="majorHAnsi" w:cstheme="majorHAnsi"/>
                      <w:sz w:val="20"/>
                    </w:rPr>
                    <w:t>D</w:t>
                  </w:r>
                  <w:r w:rsidR="0071110F" w:rsidRPr="00875E9C">
                    <w:rPr>
                      <w:rStyle w:val="e24kjd"/>
                      <w:rFonts w:asciiTheme="majorHAnsi" w:hAnsiTheme="majorHAnsi" w:cstheme="majorHAnsi"/>
                      <w:sz w:val="20"/>
                    </w:rPr>
                    <w:t xml:space="preserve">esign differentiated service delivery model for HIV care and treatment in health </w:t>
                  </w:r>
                  <w:r>
                    <w:rPr>
                      <w:rStyle w:val="e24kjd"/>
                      <w:rFonts w:asciiTheme="majorHAnsi" w:hAnsiTheme="majorHAnsi" w:cstheme="majorHAnsi"/>
                      <w:sz w:val="20"/>
                    </w:rPr>
                    <w:t>systems and community settings,</w:t>
                  </w:r>
                </w:p>
                <w:p w14:paraId="12C30741" w14:textId="7D6F52AC" w:rsidR="0071110F" w:rsidRPr="00875E9C" w:rsidRDefault="00875E9C" w:rsidP="00326A6B">
                  <w:pPr>
                    <w:pStyle w:val="ListParagraph"/>
                    <w:numPr>
                      <w:ilvl w:val="0"/>
                      <w:numId w:val="70"/>
                    </w:numPr>
                    <w:spacing w:after="0"/>
                    <w:ind w:right="157"/>
                    <w:cnfStyle w:val="000000000000" w:firstRow="0" w:lastRow="0" w:firstColumn="0" w:lastColumn="0" w:oddVBand="0" w:evenVBand="0" w:oddHBand="0" w:evenHBand="0" w:firstRowFirstColumn="0" w:firstRowLastColumn="0" w:lastRowFirstColumn="0" w:lastRowLastColumn="0"/>
                    <w:rPr>
                      <w:rStyle w:val="e24kjd"/>
                      <w:rFonts w:asciiTheme="majorHAnsi" w:hAnsiTheme="majorHAnsi" w:cstheme="majorHAnsi"/>
                      <w:sz w:val="20"/>
                    </w:rPr>
                  </w:pPr>
                  <w:r>
                    <w:rPr>
                      <w:rStyle w:val="e24kjd"/>
                      <w:rFonts w:asciiTheme="majorHAnsi" w:hAnsiTheme="majorHAnsi" w:cstheme="majorHAnsi"/>
                      <w:sz w:val="20"/>
                    </w:rPr>
                    <w:t>D</w:t>
                  </w:r>
                  <w:r w:rsidR="0071110F" w:rsidRPr="00875E9C">
                    <w:rPr>
                      <w:rStyle w:val="e24kjd"/>
                      <w:rFonts w:asciiTheme="majorHAnsi" w:hAnsiTheme="majorHAnsi" w:cstheme="majorHAnsi"/>
                      <w:sz w:val="20"/>
                    </w:rPr>
                    <w:t xml:space="preserve">efine and cost </w:t>
                  </w:r>
                  <w:r>
                    <w:rPr>
                      <w:rStyle w:val="e24kjd"/>
                      <w:rFonts w:asciiTheme="majorHAnsi" w:hAnsiTheme="majorHAnsi" w:cstheme="majorHAnsi"/>
                      <w:sz w:val="20"/>
                    </w:rPr>
                    <w:t xml:space="preserve">HIV </w:t>
                  </w:r>
                  <w:r w:rsidR="0071110F" w:rsidRPr="00875E9C">
                    <w:rPr>
                      <w:rStyle w:val="e24kjd"/>
                      <w:rFonts w:asciiTheme="majorHAnsi" w:hAnsiTheme="majorHAnsi" w:cstheme="majorHAnsi"/>
                      <w:sz w:val="20"/>
                    </w:rPr>
                    <w:t>service packages</w:t>
                  </w:r>
                  <w:r>
                    <w:rPr>
                      <w:rStyle w:val="e24kjd"/>
                      <w:rFonts w:asciiTheme="majorHAnsi" w:hAnsiTheme="majorHAnsi" w:cstheme="majorHAnsi"/>
                      <w:sz w:val="20"/>
                    </w:rPr>
                    <w:t xml:space="preserve"> across conitnuum</w:t>
                  </w:r>
                </w:p>
                <w:p w14:paraId="46E6E61C" w14:textId="77777777" w:rsidR="00875E9C" w:rsidRDefault="00875E9C" w:rsidP="00326A6B">
                  <w:pPr>
                    <w:pStyle w:val="ListParagraph"/>
                    <w:numPr>
                      <w:ilvl w:val="0"/>
                      <w:numId w:val="70"/>
                    </w:numPr>
                    <w:spacing w:after="0"/>
                    <w:ind w:right="157"/>
                    <w:cnfStyle w:val="000000000000" w:firstRow="0" w:lastRow="0" w:firstColumn="0" w:lastColumn="0" w:oddVBand="0" w:evenVBand="0" w:oddHBand="0" w:evenHBand="0" w:firstRowFirstColumn="0" w:firstRowLastColumn="0" w:lastRowFirstColumn="0" w:lastRowLastColumn="0"/>
                    <w:rPr>
                      <w:rStyle w:val="e24kjd"/>
                      <w:rFonts w:asciiTheme="majorHAnsi" w:hAnsiTheme="majorHAnsi" w:cstheme="majorHAnsi"/>
                      <w:sz w:val="20"/>
                    </w:rPr>
                  </w:pPr>
                  <w:r>
                    <w:rPr>
                      <w:rStyle w:val="e24kjd"/>
                      <w:rFonts w:asciiTheme="majorHAnsi" w:hAnsiTheme="majorHAnsi" w:cstheme="majorHAnsi"/>
                      <w:sz w:val="20"/>
                    </w:rPr>
                    <w:t>D</w:t>
                  </w:r>
                  <w:r w:rsidR="0071110F" w:rsidRPr="00875E9C">
                    <w:rPr>
                      <w:rStyle w:val="e24kjd"/>
                      <w:rFonts w:asciiTheme="majorHAnsi" w:hAnsiTheme="majorHAnsi" w:cstheme="majorHAnsi"/>
                      <w:sz w:val="20"/>
                    </w:rPr>
                    <w:t>ecentralize and differen</w:t>
                  </w:r>
                  <w:r>
                    <w:rPr>
                      <w:rStyle w:val="e24kjd"/>
                      <w:rFonts w:asciiTheme="majorHAnsi" w:hAnsiTheme="majorHAnsi" w:cstheme="majorHAnsi"/>
                      <w:sz w:val="20"/>
                    </w:rPr>
                    <w:t>tiate service delivery models,</w:t>
                  </w:r>
                </w:p>
                <w:p w14:paraId="4B35101F" w14:textId="77777777" w:rsidR="003221F0" w:rsidRDefault="00875E9C" w:rsidP="00326A6B">
                  <w:pPr>
                    <w:pStyle w:val="ListParagraph"/>
                    <w:numPr>
                      <w:ilvl w:val="0"/>
                      <w:numId w:val="70"/>
                    </w:numPr>
                    <w:spacing w:after="0"/>
                    <w:ind w:right="157"/>
                    <w:cnfStyle w:val="000000000000" w:firstRow="0" w:lastRow="0" w:firstColumn="0" w:lastColumn="0" w:oddVBand="0" w:evenVBand="0" w:oddHBand="0" w:evenHBand="0" w:firstRowFirstColumn="0" w:firstRowLastColumn="0" w:lastRowFirstColumn="0" w:lastRowLastColumn="0"/>
                    <w:rPr>
                      <w:rStyle w:val="e24kjd"/>
                      <w:rFonts w:asciiTheme="majorHAnsi" w:hAnsiTheme="majorHAnsi" w:cstheme="majorHAnsi"/>
                      <w:sz w:val="20"/>
                    </w:rPr>
                  </w:pPr>
                  <w:r>
                    <w:rPr>
                      <w:rStyle w:val="e24kjd"/>
                      <w:rFonts w:asciiTheme="majorHAnsi" w:hAnsiTheme="majorHAnsi" w:cstheme="majorHAnsi"/>
                      <w:sz w:val="20"/>
                    </w:rPr>
                    <w:t>D</w:t>
                  </w:r>
                  <w:r w:rsidR="0071110F" w:rsidRPr="00875E9C">
                    <w:rPr>
                      <w:rStyle w:val="e24kjd"/>
                      <w:rFonts w:asciiTheme="majorHAnsi" w:hAnsiTheme="majorHAnsi" w:cstheme="majorHAnsi"/>
                      <w:sz w:val="20"/>
                    </w:rPr>
                    <w:t xml:space="preserve">ecentralized ART prescription at infectious disease specialist level in 10 new ART sites, </w:t>
                  </w:r>
                </w:p>
                <w:p w14:paraId="3AC9A7AE" w14:textId="08A208B7" w:rsidR="0071110F" w:rsidRPr="003221F0" w:rsidRDefault="0071110F" w:rsidP="00326A6B">
                  <w:pPr>
                    <w:pStyle w:val="ListParagraph"/>
                    <w:numPr>
                      <w:ilvl w:val="0"/>
                      <w:numId w:val="70"/>
                    </w:numPr>
                    <w:spacing w:after="0"/>
                    <w:ind w:right="157"/>
                    <w:cnfStyle w:val="000000000000" w:firstRow="0" w:lastRow="0" w:firstColumn="0" w:lastColumn="0" w:oddVBand="0" w:evenVBand="0" w:oddHBand="0" w:evenHBand="0" w:firstRowFirstColumn="0" w:firstRowLastColumn="0" w:lastRowFirstColumn="0" w:lastRowLastColumn="0"/>
                    <w:rPr>
                      <w:rStyle w:val="e24kjd"/>
                      <w:rFonts w:asciiTheme="majorHAnsi" w:hAnsiTheme="majorHAnsi" w:cstheme="majorHAnsi"/>
                      <w:sz w:val="20"/>
                    </w:rPr>
                  </w:pPr>
                  <w:r w:rsidRPr="003221F0">
                    <w:rPr>
                      <w:rStyle w:val="e24kjd"/>
                      <w:rFonts w:asciiTheme="majorHAnsi" w:hAnsiTheme="majorHAnsi" w:cstheme="majorHAnsi"/>
                      <w:sz w:val="20"/>
                    </w:rPr>
                    <w:t xml:space="preserve">Improve positive case tracking and re improving treatment coverage is finding people lost to follow up and bringing them back into care.  </w:t>
                  </w:r>
                </w:p>
                <w:p w14:paraId="113A3B6E" w14:textId="77777777" w:rsidR="00875E9C" w:rsidRDefault="00875E9C" w:rsidP="00781834">
                  <w:pPr>
                    <w:spacing w:after="0"/>
                    <w:ind w:right="157"/>
                    <w:cnfStyle w:val="000000000000" w:firstRow="0" w:lastRow="0" w:firstColumn="0" w:lastColumn="0" w:oddVBand="0" w:evenVBand="0" w:oddHBand="0" w:evenHBand="0" w:firstRowFirstColumn="0" w:firstRowLastColumn="0" w:lastRowFirstColumn="0" w:lastRowLastColumn="0"/>
                    <w:rPr>
                      <w:rStyle w:val="e24kjd"/>
                      <w:rFonts w:asciiTheme="majorHAnsi" w:hAnsiTheme="majorHAnsi" w:cstheme="majorHAnsi"/>
                      <w:b/>
                      <w:sz w:val="20"/>
                    </w:rPr>
                  </w:pPr>
                </w:p>
                <w:p w14:paraId="1B3A0D3B" w14:textId="77777777" w:rsidR="00875E9C" w:rsidRDefault="0071110F" w:rsidP="00781834">
                  <w:pPr>
                    <w:spacing w:after="0"/>
                    <w:ind w:right="157"/>
                    <w:cnfStyle w:val="000000000000" w:firstRow="0" w:lastRow="0" w:firstColumn="0" w:lastColumn="0" w:oddVBand="0" w:evenVBand="0" w:oddHBand="0" w:evenHBand="0" w:firstRowFirstColumn="0" w:firstRowLastColumn="0" w:lastRowFirstColumn="0" w:lastRowLastColumn="0"/>
                    <w:rPr>
                      <w:rStyle w:val="e24kjd"/>
                      <w:rFonts w:asciiTheme="majorHAnsi" w:hAnsiTheme="majorHAnsi" w:cstheme="majorHAnsi"/>
                      <w:sz w:val="20"/>
                    </w:rPr>
                  </w:pPr>
                  <w:r w:rsidRPr="003D7D09">
                    <w:rPr>
                      <w:rStyle w:val="e24kjd"/>
                      <w:rFonts w:asciiTheme="majorHAnsi" w:hAnsiTheme="majorHAnsi" w:cstheme="majorHAnsi"/>
                      <w:b/>
                      <w:sz w:val="20"/>
                    </w:rPr>
                    <w:t>3</w:t>
                  </w:r>
                  <w:r w:rsidRPr="003D7D09">
                    <w:rPr>
                      <w:rStyle w:val="e24kjd"/>
                      <w:rFonts w:asciiTheme="majorHAnsi" w:hAnsiTheme="majorHAnsi" w:cstheme="majorHAnsi"/>
                      <w:b/>
                      <w:sz w:val="20"/>
                      <w:vertAlign w:val="superscript"/>
                    </w:rPr>
                    <w:t>rd</w:t>
                  </w:r>
                  <w:r w:rsidRPr="003D7D09">
                    <w:rPr>
                      <w:rStyle w:val="e24kjd"/>
                      <w:rFonts w:asciiTheme="majorHAnsi" w:hAnsiTheme="majorHAnsi" w:cstheme="majorHAnsi"/>
                      <w:b/>
                      <w:sz w:val="20"/>
                    </w:rPr>
                    <w:t xml:space="preserve"> 90</w:t>
                  </w:r>
                  <w:r>
                    <w:rPr>
                      <w:rStyle w:val="e24kjd"/>
                      <w:rFonts w:asciiTheme="majorHAnsi" w:hAnsiTheme="majorHAnsi" w:cstheme="majorHAnsi"/>
                      <w:sz w:val="20"/>
                    </w:rPr>
                    <w:t xml:space="preserve">: </w:t>
                  </w:r>
                </w:p>
                <w:p w14:paraId="224A19A2" w14:textId="56D49F03" w:rsidR="003221F0" w:rsidRDefault="00875E9C" w:rsidP="00326A6B">
                  <w:pPr>
                    <w:pStyle w:val="ListParagraph"/>
                    <w:numPr>
                      <w:ilvl w:val="0"/>
                      <w:numId w:val="66"/>
                    </w:numPr>
                    <w:spacing w:after="0"/>
                    <w:ind w:right="157"/>
                    <w:cnfStyle w:val="000000000000" w:firstRow="0" w:lastRow="0" w:firstColumn="0" w:lastColumn="0" w:oddVBand="0" w:evenVBand="0" w:oddHBand="0" w:evenHBand="0" w:firstRowFirstColumn="0" w:firstRowLastColumn="0" w:lastRowFirstColumn="0" w:lastRowLastColumn="0"/>
                    <w:rPr>
                      <w:rStyle w:val="e24kjd"/>
                      <w:rFonts w:asciiTheme="majorHAnsi" w:hAnsiTheme="majorHAnsi" w:cstheme="majorHAnsi"/>
                      <w:sz w:val="20"/>
                    </w:rPr>
                  </w:pPr>
                  <w:r w:rsidRPr="00875E9C">
                    <w:rPr>
                      <w:rStyle w:val="e24kjd"/>
                      <w:rFonts w:asciiTheme="majorHAnsi" w:hAnsiTheme="majorHAnsi" w:cstheme="majorHAnsi"/>
                      <w:sz w:val="20"/>
                    </w:rPr>
                    <w:t>Improve strategy for ensuring treatment adherence</w:t>
                  </w:r>
                  <w:r w:rsidR="003221F0">
                    <w:rPr>
                      <w:rStyle w:val="e24kjd"/>
                      <w:rFonts w:asciiTheme="majorHAnsi" w:hAnsiTheme="majorHAnsi" w:cstheme="majorHAnsi"/>
                      <w:sz w:val="20"/>
                    </w:rPr>
                    <w:t xml:space="preserve"> and</w:t>
                  </w:r>
                  <w:r w:rsidR="003221F0" w:rsidRPr="00875E9C">
                    <w:rPr>
                      <w:rStyle w:val="e24kjd"/>
                      <w:rFonts w:asciiTheme="majorHAnsi" w:hAnsiTheme="majorHAnsi" w:cstheme="majorHAnsi"/>
                      <w:sz w:val="20"/>
                    </w:rPr>
                    <w:t xml:space="preserve"> stronger psychosocial support</w:t>
                  </w:r>
                </w:p>
                <w:p w14:paraId="79F93620" w14:textId="583B7CC2" w:rsidR="003221F0" w:rsidRDefault="00875E9C" w:rsidP="00326A6B">
                  <w:pPr>
                    <w:pStyle w:val="ListParagraph"/>
                    <w:numPr>
                      <w:ilvl w:val="0"/>
                      <w:numId w:val="66"/>
                    </w:numPr>
                    <w:spacing w:after="0"/>
                    <w:ind w:right="157"/>
                    <w:cnfStyle w:val="000000000000" w:firstRow="0" w:lastRow="0" w:firstColumn="0" w:lastColumn="0" w:oddVBand="0" w:evenVBand="0" w:oddHBand="0" w:evenHBand="0" w:firstRowFirstColumn="0" w:firstRowLastColumn="0" w:lastRowFirstColumn="0" w:lastRowLastColumn="0"/>
                    <w:rPr>
                      <w:rStyle w:val="e24kjd"/>
                      <w:rFonts w:asciiTheme="majorHAnsi" w:hAnsiTheme="majorHAnsi" w:cstheme="majorHAnsi"/>
                      <w:sz w:val="20"/>
                    </w:rPr>
                  </w:pPr>
                  <w:r w:rsidRPr="00875E9C">
                    <w:rPr>
                      <w:rStyle w:val="e24kjd"/>
                      <w:rFonts w:asciiTheme="majorHAnsi" w:hAnsiTheme="majorHAnsi" w:cstheme="majorHAnsi"/>
                      <w:sz w:val="20"/>
                    </w:rPr>
                    <w:t xml:space="preserve">Improve continuity of care </w:t>
                  </w:r>
                  <w:r>
                    <w:rPr>
                      <w:rStyle w:val="e24kjd"/>
                      <w:rFonts w:asciiTheme="majorHAnsi" w:hAnsiTheme="majorHAnsi" w:cstheme="majorHAnsi"/>
                      <w:sz w:val="20"/>
                    </w:rPr>
                    <w:t>and linkages (</w:t>
                  </w:r>
                  <w:r w:rsidR="003221F0">
                    <w:rPr>
                      <w:rStyle w:val="e24kjd"/>
                      <w:rFonts w:asciiTheme="majorHAnsi" w:hAnsiTheme="majorHAnsi" w:cstheme="majorHAnsi"/>
                      <w:sz w:val="20"/>
                    </w:rPr>
                    <w:t xml:space="preserve">cross referrals, </w:t>
                  </w:r>
                  <w:r w:rsidR="0071110F" w:rsidRPr="00875E9C">
                    <w:rPr>
                      <w:rStyle w:val="e24kjd"/>
                      <w:rFonts w:asciiTheme="majorHAnsi" w:hAnsiTheme="majorHAnsi" w:cstheme="majorHAnsi"/>
                      <w:sz w:val="20"/>
                    </w:rPr>
                    <w:t>case holding and case management</w:t>
                  </w:r>
                  <w:r>
                    <w:rPr>
                      <w:rStyle w:val="e24kjd"/>
                      <w:rFonts w:asciiTheme="majorHAnsi" w:hAnsiTheme="majorHAnsi" w:cstheme="majorHAnsi"/>
                      <w:sz w:val="20"/>
                    </w:rPr>
                    <w:t>)</w:t>
                  </w:r>
                </w:p>
                <w:p w14:paraId="0BF3E0ED" w14:textId="77777777" w:rsidR="00875E9C" w:rsidRDefault="00875E9C" w:rsidP="00326A6B">
                  <w:pPr>
                    <w:pStyle w:val="ListParagraph"/>
                    <w:numPr>
                      <w:ilvl w:val="0"/>
                      <w:numId w:val="66"/>
                    </w:numPr>
                    <w:spacing w:after="0"/>
                    <w:ind w:right="157"/>
                    <w:cnfStyle w:val="000000000000" w:firstRow="0" w:lastRow="0" w:firstColumn="0" w:lastColumn="0" w:oddVBand="0" w:evenVBand="0" w:oddHBand="0" w:evenHBand="0" w:firstRowFirstColumn="0" w:firstRowLastColumn="0" w:lastRowFirstColumn="0" w:lastRowLastColumn="0"/>
                    <w:rPr>
                      <w:rStyle w:val="e24kjd"/>
                      <w:rFonts w:asciiTheme="majorHAnsi" w:hAnsiTheme="majorHAnsi" w:cstheme="majorHAnsi"/>
                      <w:sz w:val="20"/>
                    </w:rPr>
                  </w:pPr>
                  <w:r>
                    <w:rPr>
                      <w:rStyle w:val="e24kjd"/>
                      <w:rFonts w:asciiTheme="majorHAnsi" w:hAnsiTheme="majorHAnsi" w:cstheme="majorHAnsi"/>
                      <w:sz w:val="20"/>
                    </w:rPr>
                    <w:t>I</w:t>
                  </w:r>
                  <w:r w:rsidR="0071110F" w:rsidRPr="00875E9C">
                    <w:rPr>
                      <w:rStyle w:val="e24kjd"/>
                      <w:rFonts w:asciiTheme="majorHAnsi" w:hAnsiTheme="majorHAnsi" w:cstheme="majorHAnsi"/>
                      <w:sz w:val="20"/>
                    </w:rPr>
                    <w:t>nteg</w:t>
                  </w:r>
                  <w:r w:rsidRPr="00875E9C">
                    <w:rPr>
                      <w:rStyle w:val="e24kjd"/>
                      <w:rFonts w:asciiTheme="majorHAnsi" w:hAnsiTheme="majorHAnsi" w:cstheme="majorHAnsi"/>
                      <w:sz w:val="20"/>
                    </w:rPr>
                    <w:t>rate services at district level (TB, HIV, Hepatitis, OST)</w:t>
                  </w:r>
                </w:p>
                <w:p w14:paraId="30988F7E" w14:textId="61E0E667" w:rsidR="00875E9C" w:rsidRPr="00875E9C" w:rsidRDefault="00875E9C" w:rsidP="00326A6B">
                  <w:pPr>
                    <w:pStyle w:val="ListParagraph"/>
                    <w:numPr>
                      <w:ilvl w:val="0"/>
                      <w:numId w:val="66"/>
                    </w:numPr>
                    <w:spacing w:after="0"/>
                    <w:ind w:right="157"/>
                    <w:cnfStyle w:val="000000000000" w:firstRow="0" w:lastRow="0" w:firstColumn="0" w:lastColumn="0" w:oddVBand="0" w:evenVBand="0" w:oddHBand="0" w:evenHBand="0" w:firstRowFirstColumn="0" w:firstRowLastColumn="0" w:lastRowFirstColumn="0" w:lastRowLastColumn="0"/>
                    <w:rPr>
                      <w:rStyle w:val="e24kjd"/>
                      <w:rFonts w:asciiTheme="majorHAnsi" w:hAnsiTheme="majorHAnsi" w:cstheme="majorHAnsi"/>
                      <w:sz w:val="20"/>
                    </w:rPr>
                  </w:pPr>
                  <w:r w:rsidRPr="00875E9C">
                    <w:rPr>
                      <w:rStyle w:val="e24kjd"/>
                      <w:rFonts w:asciiTheme="majorHAnsi" w:hAnsiTheme="majorHAnsi" w:cstheme="majorHAnsi"/>
                      <w:sz w:val="20"/>
                    </w:rPr>
                    <w:t xml:space="preserve">Improve quality of care </w:t>
                  </w:r>
                </w:p>
                <w:p w14:paraId="093ED99B" w14:textId="09576974" w:rsidR="00875E9C" w:rsidRPr="00875E9C" w:rsidRDefault="00875E9C" w:rsidP="00326A6B">
                  <w:pPr>
                    <w:pStyle w:val="ListParagraph"/>
                    <w:numPr>
                      <w:ilvl w:val="0"/>
                      <w:numId w:val="66"/>
                    </w:numPr>
                    <w:spacing w:after="0"/>
                    <w:ind w:right="157"/>
                    <w:cnfStyle w:val="000000000000" w:firstRow="0" w:lastRow="0" w:firstColumn="0" w:lastColumn="0" w:oddVBand="0" w:evenVBand="0" w:oddHBand="0" w:evenHBand="0" w:firstRowFirstColumn="0" w:firstRowLastColumn="0" w:lastRowFirstColumn="0" w:lastRowLastColumn="0"/>
                    <w:rPr>
                      <w:rStyle w:val="e24kjd"/>
                      <w:rFonts w:asciiTheme="majorHAnsi" w:hAnsiTheme="majorHAnsi" w:cstheme="majorHAnsi"/>
                      <w:b/>
                      <w:sz w:val="20"/>
                    </w:rPr>
                  </w:pPr>
                  <w:r>
                    <w:rPr>
                      <w:rStyle w:val="e24kjd"/>
                      <w:rFonts w:asciiTheme="majorHAnsi" w:hAnsiTheme="majorHAnsi" w:cstheme="majorHAnsi"/>
                      <w:sz w:val="20"/>
                    </w:rPr>
                    <w:t xml:space="preserve">Operationalize HIV HMIS and EMR to ensure interoperability with other systems and </w:t>
                  </w:r>
                  <w:r w:rsidRPr="00875E9C">
                    <w:rPr>
                      <w:rStyle w:val="e24kjd"/>
                      <w:rFonts w:asciiTheme="majorHAnsi" w:hAnsiTheme="majorHAnsi" w:cstheme="majorHAnsi"/>
                      <w:sz w:val="20"/>
                    </w:rPr>
                    <w:t>timely information exchange between all these actors.</w:t>
                  </w:r>
                </w:p>
              </w:tc>
            </w:tr>
          </w:tbl>
          <w:p w14:paraId="020BC3D8" w14:textId="76CA1E0F" w:rsidR="00E01C09" w:rsidRDefault="00E01C09" w:rsidP="00781834">
            <w:pPr>
              <w:rPr>
                <w:rStyle w:val="e24kjd"/>
                <w:rFonts w:asciiTheme="majorHAnsi" w:hAnsiTheme="majorHAnsi" w:cstheme="majorHAnsi"/>
                <w:b/>
                <w:sz w:val="20"/>
              </w:rPr>
            </w:pPr>
          </w:p>
          <w:p w14:paraId="42F02A99" w14:textId="4C696FAC" w:rsidR="0083536E" w:rsidRDefault="0083536E" w:rsidP="00781834">
            <w:pPr>
              <w:rPr>
                <w:rStyle w:val="e24kjd"/>
                <w:rFonts w:asciiTheme="majorHAnsi" w:hAnsiTheme="majorHAnsi" w:cstheme="majorHAnsi"/>
                <w:b/>
                <w:sz w:val="20"/>
              </w:rPr>
            </w:pPr>
          </w:p>
          <w:p w14:paraId="03EDFFB1" w14:textId="77777777" w:rsidR="0083536E" w:rsidRDefault="0083536E" w:rsidP="00781834">
            <w:pPr>
              <w:rPr>
                <w:rStyle w:val="e24kjd"/>
                <w:rFonts w:asciiTheme="majorHAnsi" w:hAnsiTheme="majorHAnsi" w:cstheme="majorHAnsi"/>
                <w:b/>
                <w:sz w:val="20"/>
              </w:rPr>
            </w:pPr>
          </w:p>
          <w:p w14:paraId="338E9367" w14:textId="3986C3A1" w:rsidR="0071110F" w:rsidRPr="009A528A" w:rsidRDefault="0071110F" w:rsidP="00781834">
            <w:pPr>
              <w:rPr>
                <w:rStyle w:val="e24kjd"/>
                <w:rFonts w:asciiTheme="majorHAnsi" w:hAnsiTheme="majorHAnsi" w:cstheme="majorHAnsi"/>
                <w:b/>
                <w:sz w:val="20"/>
              </w:rPr>
            </w:pPr>
            <w:r w:rsidRPr="009A528A">
              <w:rPr>
                <w:rStyle w:val="e24kjd"/>
                <w:rFonts w:asciiTheme="majorHAnsi" w:hAnsiTheme="majorHAnsi" w:cstheme="majorHAnsi"/>
                <w:b/>
                <w:sz w:val="20"/>
              </w:rPr>
              <w:lastRenderedPageBreak/>
              <w:t xml:space="preserve">Health system context: </w:t>
            </w:r>
          </w:p>
          <w:p w14:paraId="739C2B52" w14:textId="77777777" w:rsidR="00032FF7" w:rsidRDefault="0071110F" w:rsidP="003D67DA">
            <w:pPr>
              <w:spacing w:after="0"/>
              <w:jc w:val="both"/>
            </w:pPr>
            <w:r w:rsidRPr="006F4B1C">
              <w:rPr>
                <w:rStyle w:val="e24kjd"/>
                <w:rFonts w:asciiTheme="majorHAnsi" w:hAnsiTheme="majorHAnsi" w:cstheme="majorHAnsi"/>
                <w:sz w:val="20"/>
                <w:szCs w:val="20"/>
              </w:rPr>
              <w:t xml:space="preserve">The health care system of the Republic of Moldova is organized in </w:t>
            </w:r>
            <w:r w:rsidR="00032FF7">
              <w:rPr>
                <w:rStyle w:val="e24kjd"/>
                <w:rFonts w:asciiTheme="majorHAnsi" w:hAnsiTheme="majorHAnsi" w:cstheme="majorHAnsi"/>
                <w:sz w:val="20"/>
                <w:szCs w:val="20"/>
              </w:rPr>
              <w:t>lin</w:t>
            </w:r>
            <w:r w:rsidRPr="006F4B1C">
              <w:rPr>
                <w:rStyle w:val="e24kjd"/>
                <w:rFonts w:asciiTheme="majorHAnsi" w:hAnsiTheme="majorHAnsi" w:cstheme="majorHAnsi"/>
                <w:sz w:val="20"/>
                <w:szCs w:val="20"/>
              </w:rPr>
              <w:t xml:space="preserve">e with the principles of </w:t>
            </w:r>
            <w:r w:rsidR="00032FF7">
              <w:rPr>
                <w:rStyle w:val="e24kjd"/>
                <w:rFonts w:asciiTheme="majorHAnsi" w:hAnsiTheme="majorHAnsi" w:cstheme="majorHAnsi"/>
                <w:sz w:val="20"/>
                <w:szCs w:val="20"/>
              </w:rPr>
              <w:t xml:space="preserve">universal health coverage </w:t>
            </w:r>
            <w:r w:rsidRPr="006F4B1C">
              <w:rPr>
                <w:rStyle w:val="e24kjd"/>
                <w:rFonts w:asciiTheme="majorHAnsi" w:hAnsiTheme="majorHAnsi" w:cstheme="majorHAnsi"/>
                <w:sz w:val="20"/>
                <w:szCs w:val="20"/>
              </w:rPr>
              <w:t xml:space="preserve">universal access to basic health services and equity in accordance with the 1994 Constitution ensuring  the right to health for all citizens as well as solidarity </w:t>
            </w:r>
            <w:r w:rsidRPr="006F4B1C">
              <w:rPr>
                <w:sz w:val="20"/>
                <w:szCs w:val="20"/>
              </w:rPr>
              <w:t>in financing of health care, either by the state subsidy or each person through compulsory health insurance,</w:t>
            </w:r>
            <w:r w:rsidRPr="006F4B1C">
              <w:rPr>
                <w:rStyle w:val="FootnoteReference"/>
                <w:sz w:val="20"/>
                <w:szCs w:val="20"/>
              </w:rPr>
              <w:footnoteReference w:id="34"/>
            </w:r>
            <w:r w:rsidRPr="006F4B1C">
              <w:rPr>
                <w:sz w:val="20"/>
                <w:szCs w:val="20"/>
              </w:rPr>
              <w:t xml:space="preserve"> in line with </w:t>
            </w:r>
            <w:r>
              <w:rPr>
                <w:sz w:val="20"/>
                <w:szCs w:val="20"/>
              </w:rPr>
              <w:t xml:space="preserve">National Healthcare Development Strategy </w:t>
            </w:r>
            <w:r w:rsidRPr="006F4B1C">
              <w:rPr>
                <w:sz w:val="20"/>
                <w:szCs w:val="20"/>
              </w:rPr>
              <w:t>the National Public Health Strategy 2014-2020,</w:t>
            </w:r>
            <w:r w:rsidRPr="006F4B1C">
              <w:rPr>
                <w:rStyle w:val="FootnoteReference"/>
                <w:bCs/>
                <w:sz w:val="20"/>
                <w:szCs w:val="20"/>
              </w:rPr>
              <w:footnoteReference w:id="35"/>
            </w:r>
            <w:r w:rsidRPr="006F4B1C">
              <w:rPr>
                <w:sz w:val="20"/>
                <w:szCs w:val="20"/>
              </w:rPr>
              <w:t xml:space="preserve"> as well as the draft the National Development Strategy “Moldova 2030”.</w:t>
            </w:r>
            <w:r>
              <w:rPr>
                <w:rStyle w:val="FootnoteReference"/>
                <w:bCs/>
              </w:rPr>
              <w:footnoteReference w:id="36"/>
            </w:r>
            <w:r>
              <w:t xml:space="preserve"> </w:t>
            </w:r>
          </w:p>
          <w:p w14:paraId="41498786" w14:textId="77777777" w:rsidR="00032FF7" w:rsidRDefault="00032FF7" w:rsidP="003D67DA">
            <w:pPr>
              <w:spacing w:after="0"/>
              <w:jc w:val="both"/>
            </w:pPr>
          </w:p>
          <w:p w14:paraId="499ED08C" w14:textId="3A71B54E" w:rsidR="003D67DA" w:rsidRDefault="004344C5" w:rsidP="003D67DA">
            <w:pPr>
              <w:spacing w:after="0"/>
              <w:jc w:val="both"/>
              <w:rPr>
                <w:rFonts w:asciiTheme="majorHAnsi" w:hAnsiTheme="majorHAnsi" w:cstheme="majorHAnsi"/>
                <w:sz w:val="20"/>
                <w:szCs w:val="20"/>
              </w:rPr>
            </w:pPr>
            <w:r w:rsidRPr="004344C5">
              <w:rPr>
                <w:rStyle w:val="e24kjd"/>
                <w:rFonts w:asciiTheme="majorHAnsi" w:hAnsiTheme="majorHAnsi" w:cstheme="majorHAnsi"/>
                <w:b/>
                <w:sz w:val="20"/>
              </w:rPr>
              <w:t>Service organization</w:t>
            </w:r>
            <w:r>
              <w:rPr>
                <w:rStyle w:val="e24kjd"/>
                <w:rFonts w:asciiTheme="majorHAnsi" w:hAnsiTheme="majorHAnsi" w:cstheme="majorHAnsi"/>
                <w:sz w:val="20"/>
              </w:rPr>
              <w:t>:</w:t>
            </w:r>
            <w:r w:rsidRPr="003121B8">
              <w:rPr>
                <w:rStyle w:val="e24kjd"/>
                <w:rFonts w:asciiTheme="majorHAnsi" w:hAnsiTheme="majorHAnsi" w:cstheme="majorHAnsi"/>
                <w:sz w:val="20"/>
              </w:rPr>
              <w:t xml:space="preserve"> </w:t>
            </w:r>
            <w:r w:rsidR="0071110F" w:rsidRPr="003121B8">
              <w:rPr>
                <w:rStyle w:val="e24kjd"/>
                <w:rFonts w:asciiTheme="majorHAnsi" w:hAnsiTheme="majorHAnsi" w:cstheme="majorHAnsi"/>
                <w:sz w:val="20"/>
              </w:rPr>
              <w:t xml:space="preserve">Moldova’s health system has significantly evolved from the model inherited from the Soviet Union, which in 1990s has </w:t>
            </w:r>
            <w:r w:rsidR="00032FF7">
              <w:rPr>
                <w:rStyle w:val="e24kjd"/>
                <w:rFonts w:asciiTheme="majorHAnsi" w:hAnsiTheme="majorHAnsi" w:cstheme="majorHAnsi"/>
                <w:sz w:val="20"/>
              </w:rPr>
              <w:t xml:space="preserve">become unaffordable and inefficient in during </w:t>
            </w:r>
            <w:r w:rsidR="0071110F" w:rsidRPr="003121B8">
              <w:rPr>
                <w:rStyle w:val="e24kjd"/>
                <w:rFonts w:asciiTheme="majorHAnsi" w:hAnsiTheme="majorHAnsi" w:cstheme="majorHAnsi"/>
                <w:sz w:val="20"/>
              </w:rPr>
              <w:t>severe economic downturn faced by the country. The years 2000 have brought economy recovery, creating conditions for rebuilding the health system. There were notable improvements in the health system’s performance over the recent years</w:t>
            </w:r>
            <w:r w:rsidR="0071110F">
              <w:rPr>
                <w:rStyle w:val="e24kjd"/>
                <w:rFonts w:asciiTheme="majorHAnsi" w:hAnsiTheme="majorHAnsi" w:cstheme="majorHAnsi"/>
                <w:sz w:val="20"/>
              </w:rPr>
              <w:t xml:space="preserve"> and major structural included introduction of primary care based on family medicine i</w:t>
            </w:r>
            <w:r w:rsidR="0071110F" w:rsidRPr="003121B8">
              <w:rPr>
                <w:rStyle w:val="e24kjd"/>
                <w:rFonts w:asciiTheme="majorHAnsi" w:hAnsiTheme="majorHAnsi" w:cstheme="majorHAnsi"/>
                <w:sz w:val="20"/>
              </w:rPr>
              <w:t xml:space="preserve">n early </w:t>
            </w:r>
            <w:r w:rsidR="00032FF7">
              <w:rPr>
                <w:rStyle w:val="e24kjd"/>
                <w:rFonts w:asciiTheme="majorHAnsi" w:hAnsiTheme="majorHAnsi" w:cstheme="majorHAnsi"/>
                <w:sz w:val="20"/>
              </w:rPr>
              <w:t>1997</w:t>
            </w:r>
            <w:r w:rsidR="00F63041">
              <w:rPr>
                <w:rStyle w:val="e24kjd"/>
                <w:rFonts w:asciiTheme="majorHAnsi" w:hAnsiTheme="majorHAnsi" w:cstheme="majorHAnsi"/>
                <w:sz w:val="20"/>
              </w:rPr>
              <w:t xml:space="preserve">, </w:t>
            </w:r>
            <w:r w:rsidR="00032FF7">
              <w:rPr>
                <w:rStyle w:val="e24kjd"/>
                <w:rFonts w:asciiTheme="majorHAnsi" w:hAnsiTheme="majorHAnsi" w:cstheme="majorHAnsi"/>
                <w:sz w:val="20"/>
              </w:rPr>
              <w:t>nationwide mandatory</w:t>
            </w:r>
            <w:r w:rsidR="0071110F" w:rsidRPr="003121B8">
              <w:rPr>
                <w:rStyle w:val="e24kjd"/>
                <w:rFonts w:asciiTheme="majorHAnsi" w:hAnsiTheme="majorHAnsi" w:cstheme="majorHAnsi"/>
                <w:sz w:val="20"/>
              </w:rPr>
              <w:t xml:space="preserve"> national health insurance </w:t>
            </w:r>
            <w:r w:rsidR="00F63041">
              <w:rPr>
                <w:rStyle w:val="e24kjd"/>
                <w:rFonts w:asciiTheme="majorHAnsi" w:hAnsiTheme="majorHAnsi" w:cstheme="majorHAnsi"/>
                <w:sz w:val="20"/>
              </w:rPr>
              <w:t>became operational</w:t>
            </w:r>
            <w:r w:rsidR="0071110F" w:rsidRPr="003121B8">
              <w:rPr>
                <w:rStyle w:val="e24kjd"/>
                <w:rFonts w:asciiTheme="majorHAnsi" w:hAnsiTheme="majorHAnsi" w:cstheme="majorHAnsi"/>
                <w:sz w:val="20"/>
              </w:rPr>
              <w:t xml:space="preserve"> in 2005, and investments in priority health programs, such as reproductive, mother and child and adolescent health, non-communicable diseases, TB</w:t>
            </w:r>
            <w:r w:rsidR="00032FF7">
              <w:rPr>
                <w:rStyle w:val="e24kjd"/>
                <w:rFonts w:asciiTheme="majorHAnsi" w:hAnsiTheme="majorHAnsi" w:cstheme="majorHAnsi"/>
                <w:sz w:val="20"/>
              </w:rPr>
              <w:t>,</w:t>
            </w:r>
            <w:r w:rsidR="0071110F" w:rsidRPr="003121B8">
              <w:rPr>
                <w:rStyle w:val="e24kjd"/>
                <w:rFonts w:asciiTheme="majorHAnsi" w:hAnsiTheme="majorHAnsi" w:cstheme="majorHAnsi"/>
                <w:sz w:val="20"/>
              </w:rPr>
              <w:t xml:space="preserve"> HIV and Hepatitis. </w:t>
            </w:r>
            <w:r w:rsidR="003D67DA">
              <w:rPr>
                <w:rStyle w:val="e24kjd"/>
                <w:rFonts w:asciiTheme="majorHAnsi" w:hAnsiTheme="majorHAnsi" w:cstheme="majorHAnsi"/>
                <w:sz w:val="20"/>
              </w:rPr>
              <w:t xml:space="preserve"> </w:t>
            </w:r>
            <w:r w:rsidR="003D67DA" w:rsidRPr="003D67DA">
              <w:rPr>
                <w:rFonts w:asciiTheme="majorHAnsi" w:hAnsiTheme="majorHAnsi" w:cstheme="majorHAnsi"/>
                <w:sz w:val="20"/>
                <w:szCs w:val="20"/>
              </w:rPr>
              <w:t xml:space="preserve">Tuberculosis and HIV/AIDS </w:t>
            </w:r>
            <w:r w:rsidR="003D67DA">
              <w:rPr>
                <w:rFonts w:asciiTheme="majorHAnsi" w:hAnsiTheme="majorHAnsi" w:cstheme="majorHAnsi"/>
                <w:sz w:val="20"/>
                <w:szCs w:val="20"/>
              </w:rPr>
              <w:t>are</w:t>
            </w:r>
            <w:r w:rsidR="003D67DA" w:rsidRPr="003D67DA">
              <w:rPr>
                <w:rFonts w:asciiTheme="majorHAnsi" w:hAnsiTheme="majorHAnsi" w:cstheme="majorHAnsi"/>
                <w:sz w:val="20"/>
                <w:szCs w:val="20"/>
              </w:rPr>
              <w:t xml:space="preserve"> priority</w:t>
            </w:r>
            <w:r w:rsidR="003D67DA">
              <w:rPr>
                <w:rFonts w:asciiTheme="majorHAnsi" w:hAnsiTheme="majorHAnsi" w:cstheme="majorHAnsi"/>
                <w:sz w:val="20"/>
                <w:szCs w:val="20"/>
              </w:rPr>
              <w:t xml:space="preserve"> for</w:t>
            </w:r>
            <w:r w:rsidR="003D67DA" w:rsidRPr="003D67DA">
              <w:rPr>
                <w:rFonts w:asciiTheme="majorHAnsi" w:hAnsiTheme="majorHAnsi" w:cstheme="majorHAnsi"/>
                <w:sz w:val="20"/>
                <w:szCs w:val="20"/>
              </w:rPr>
              <w:t xml:space="preserve"> </w:t>
            </w:r>
            <w:r w:rsidR="003D67DA">
              <w:rPr>
                <w:rFonts w:asciiTheme="majorHAnsi" w:hAnsiTheme="majorHAnsi" w:cstheme="majorHAnsi"/>
                <w:sz w:val="20"/>
                <w:szCs w:val="20"/>
              </w:rPr>
              <w:t>p</w:t>
            </w:r>
            <w:r w:rsidR="003D67DA" w:rsidRPr="003D67DA">
              <w:rPr>
                <w:rFonts w:asciiTheme="majorHAnsi" w:hAnsiTheme="majorHAnsi" w:cstheme="majorHAnsi"/>
                <w:sz w:val="20"/>
                <w:szCs w:val="20"/>
              </w:rPr>
              <w:t>ublic health</w:t>
            </w:r>
            <w:r w:rsidR="00032FF7">
              <w:rPr>
                <w:rFonts w:asciiTheme="majorHAnsi" w:hAnsiTheme="majorHAnsi" w:cstheme="majorHAnsi"/>
                <w:sz w:val="20"/>
                <w:szCs w:val="20"/>
              </w:rPr>
              <w:t xml:space="preserve"> as</w:t>
            </w:r>
            <w:r w:rsidR="003D67DA" w:rsidRPr="003D67DA">
              <w:rPr>
                <w:rFonts w:asciiTheme="majorHAnsi" w:hAnsiTheme="majorHAnsi" w:cstheme="majorHAnsi"/>
                <w:sz w:val="20"/>
                <w:szCs w:val="20"/>
              </w:rPr>
              <w:t xml:space="preserve"> reflected in the National Public Health Strategy 2014-2020. One of the objectives is to reduce the burden of communicable diseases by reducing the risk factors and ensuring equitable access of population to primary, secondary, and tertiary prevention services; to improve the cross-sector collaboration mechanisms with clear definition of responsibilities among the health sector and other sectors in implementing the essential public health operations.</w:t>
            </w:r>
          </w:p>
          <w:p w14:paraId="070CCAA8" w14:textId="77777777" w:rsidR="00032FF7" w:rsidRPr="003D67DA" w:rsidRDefault="00032FF7" w:rsidP="003D67DA">
            <w:pPr>
              <w:spacing w:after="0"/>
              <w:jc w:val="both"/>
              <w:rPr>
                <w:szCs w:val="20"/>
              </w:rPr>
            </w:pPr>
          </w:p>
          <w:p w14:paraId="0E6FCAE6" w14:textId="3954141B" w:rsidR="0071110F" w:rsidRDefault="0071110F" w:rsidP="00781834">
            <w:pPr>
              <w:jc w:val="both"/>
              <w:rPr>
                <w:rStyle w:val="e24kjd"/>
                <w:rFonts w:asciiTheme="majorHAnsi" w:hAnsiTheme="majorHAnsi" w:cstheme="majorHAnsi"/>
                <w:sz w:val="20"/>
              </w:rPr>
            </w:pPr>
            <w:r>
              <w:rPr>
                <w:rStyle w:val="e24kjd"/>
                <w:rFonts w:asciiTheme="majorHAnsi" w:hAnsiTheme="majorHAnsi" w:cstheme="majorHAnsi"/>
                <w:sz w:val="20"/>
              </w:rPr>
              <w:t xml:space="preserve">After almost three decades of ongoing transition from Semashko model of heath care, the health system is still struggling to overcome vertical, </w:t>
            </w:r>
            <w:r w:rsidR="00032FF7">
              <w:rPr>
                <w:rStyle w:val="e24kjd"/>
                <w:rFonts w:asciiTheme="majorHAnsi" w:hAnsiTheme="majorHAnsi" w:cstheme="majorHAnsi"/>
                <w:sz w:val="20"/>
              </w:rPr>
              <w:t>fragmented</w:t>
            </w:r>
            <w:r>
              <w:rPr>
                <w:rStyle w:val="e24kjd"/>
                <w:rFonts w:asciiTheme="majorHAnsi" w:hAnsiTheme="majorHAnsi" w:cstheme="majorHAnsi"/>
                <w:sz w:val="20"/>
              </w:rPr>
              <w:t xml:space="preserve"> design.</w:t>
            </w:r>
            <w:r w:rsidR="00032FF7">
              <w:rPr>
                <w:rStyle w:val="e24kjd"/>
                <w:rFonts w:asciiTheme="majorHAnsi" w:hAnsiTheme="majorHAnsi" w:cstheme="majorHAnsi"/>
                <w:sz w:val="20"/>
              </w:rPr>
              <w:t xml:space="preserve"> Out roughly 80 hospitals in</w:t>
            </w:r>
            <w:r>
              <w:rPr>
                <w:rStyle w:val="e24kjd"/>
                <w:rFonts w:asciiTheme="majorHAnsi" w:hAnsiTheme="majorHAnsi" w:cstheme="majorHAnsi"/>
                <w:sz w:val="20"/>
              </w:rPr>
              <w:t xml:space="preserve"> </w:t>
            </w:r>
            <w:r w:rsidR="00032FF7">
              <w:rPr>
                <w:rStyle w:val="e24kjd"/>
                <w:rFonts w:asciiTheme="majorHAnsi" w:hAnsiTheme="majorHAnsi" w:cstheme="majorHAnsi"/>
                <w:sz w:val="20"/>
              </w:rPr>
              <w:t>the country, around 40 are in Chisinau, the capital city. S</w:t>
            </w:r>
            <w:r>
              <w:rPr>
                <w:rStyle w:val="e24kjd"/>
                <w:rFonts w:asciiTheme="majorHAnsi" w:hAnsiTheme="majorHAnsi" w:cstheme="majorHAnsi"/>
                <w:sz w:val="20"/>
              </w:rPr>
              <w:t xml:space="preserve">takeholders acknowledge it perpetuates inefficient use of limited resources, fragmentation poor coordination and continuity of care and a medicalized approach. Purchasing mechanisms predominantly cover hospital services and underfund outpatient services. There is a curative focus and investments into procurement of equipment, medicines and technologies and health-facility based investments over more challenging transformation of processes, quality, coordination, integration and continuity of services. The public health reform was conceptualized and reorganization has taken place a number of times, and </w:t>
            </w:r>
            <w:r w:rsidR="002E7B41">
              <w:rPr>
                <w:rStyle w:val="e24kjd"/>
                <w:rFonts w:asciiTheme="majorHAnsi" w:hAnsiTheme="majorHAnsi" w:cstheme="majorHAnsi"/>
                <w:sz w:val="20"/>
              </w:rPr>
              <w:t>intent is</w:t>
            </w:r>
            <w:r>
              <w:rPr>
                <w:rStyle w:val="e24kjd"/>
                <w:rFonts w:asciiTheme="majorHAnsi" w:hAnsiTheme="majorHAnsi" w:cstheme="majorHAnsi"/>
                <w:sz w:val="20"/>
              </w:rPr>
              <w:t xml:space="preserve"> to bring coordination of national programs under one umbrella, but process has been stalling. The very much needed transformation of service delivery </w:t>
            </w:r>
            <w:r w:rsidR="002E7B41">
              <w:rPr>
                <w:rStyle w:val="e24kjd"/>
                <w:rFonts w:asciiTheme="majorHAnsi" w:hAnsiTheme="majorHAnsi" w:cstheme="majorHAnsi"/>
                <w:sz w:val="20"/>
              </w:rPr>
              <w:t>to people centered models</w:t>
            </w:r>
            <w:r>
              <w:rPr>
                <w:rStyle w:val="e24kjd"/>
                <w:rFonts w:asciiTheme="majorHAnsi" w:hAnsiTheme="majorHAnsi" w:cstheme="majorHAnsi"/>
                <w:sz w:val="20"/>
              </w:rPr>
              <w:t xml:space="preserve"> to and hospital modernization process is hampered by political instability (</w:t>
            </w:r>
            <w:r w:rsidR="0049222A">
              <w:rPr>
                <w:rStyle w:val="e24kjd"/>
                <w:rFonts w:asciiTheme="majorHAnsi" w:hAnsiTheme="majorHAnsi" w:cstheme="majorHAnsi"/>
                <w:sz w:val="20"/>
              </w:rPr>
              <w:t>since 2015</w:t>
            </w:r>
            <w:r w:rsidR="00032FF7">
              <w:rPr>
                <w:rStyle w:val="e24kjd"/>
                <w:rFonts w:asciiTheme="majorHAnsi" w:hAnsiTheme="majorHAnsi" w:cstheme="majorHAnsi"/>
                <w:sz w:val="20"/>
              </w:rPr>
              <w:t xml:space="preserve"> there were </w:t>
            </w:r>
            <w:r>
              <w:rPr>
                <w:rStyle w:val="e24kjd"/>
                <w:rFonts w:asciiTheme="majorHAnsi" w:hAnsiTheme="majorHAnsi" w:cstheme="majorHAnsi"/>
                <w:sz w:val="20"/>
              </w:rPr>
              <w:t>seven ministers of health and four directors of National H</w:t>
            </w:r>
            <w:r w:rsidR="0000017F">
              <w:rPr>
                <w:rStyle w:val="e24kjd"/>
                <w:rFonts w:asciiTheme="majorHAnsi" w:hAnsiTheme="majorHAnsi" w:cstheme="majorHAnsi"/>
                <w:sz w:val="20"/>
              </w:rPr>
              <w:t xml:space="preserve">ealth Insurance Company (NHIC) </w:t>
            </w:r>
            <w:r>
              <w:rPr>
                <w:rStyle w:val="e24kjd"/>
                <w:rFonts w:asciiTheme="majorHAnsi" w:hAnsiTheme="majorHAnsi" w:cstheme="majorHAnsi"/>
                <w:sz w:val="20"/>
              </w:rPr>
              <w:t>related to frequent change in governments).</w:t>
            </w:r>
          </w:p>
          <w:p w14:paraId="71C78A55" w14:textId="1BC17652" w:rsidR="0071110F" w:rsidRDefault="004344C5" w:rsidP="00781834">
            <w:pPr>
              <w:jc w:val="both"/>
              <w:rPr>
                <w:rStyle w:val="e24kjd"/>
                <w:rFonts w:asciiTheme="majorHAnsi" w:hAnsiTheme="majorHAnsi" w:cstheme="majorHAnsi"/>
                <w:sz w:val="20"/>
              </w:rPr>
            </w:pPr>
            <w:r w:rsidRPr="004344C5">
              <w:rPr>
                <w:rStyle w:val="e24kjd"/>
                <w:rFonts w:asciiTheme="majorHAnsi" w:hAnsiTheme="majorHAnsi" w:cstheme="majorHAnsi"/>
                <w:b/>
                <w:sz w:val="20"/>
              </w:rPr>
              <w:t>Health finance</w:t>
            </w:r>
            <w:r>
              <w:rPr>
                <w:rStyle w:val="e24kjd"/>
                <w:rFonts w:asciiTheme="majorHAnsi" w:hAnsiTheme="majorHAnsi" w:cstheme="majorHAnsi"/>
                <w:sz w:val="20"/>
              </w:rPr>
              <w:t xml:space="preserve">: </w:t>
            </w:r>
            <w:r w:rsidR="00F63041">
              <w:rPr>
                <w:rStyle w:val="e24kjd"/>
                <w:rFonts w:asciiTheme="majorHAnsi" w:hAnsiTheme="majorHAnsi" w:cstheme="majorHAnsi"/>
                <w:sz w:val="20"/>
              </w:rPr>
              <w:t xml:space="preserve">Moldova spends </w:t>
            </w:r>
            <w:r w:rsidR="00E57907">
              <w:rPr>
                <w:rStyle w:val="e24kjd"/>
                <w:rFonts w:asciiTheme="majorHAnsi" w:hAnsiTheme="majorHAnsi" w:cstheme="majorHAnsi"/>
                <w:sz w:val="20"/>
              </w:rPr>
              <w:t>12</w:t>
            </w:r>
            <w:r w:rsidR="0049222A">
              <w:rPr>
                <w:rStyle w:val="e24kjd"/>
                <w:rFonts w:asciiTheme="majorHAnsi" w:hAnsiTheme="majorHAnsi" w:cstheme="majorHAnsi"/>
                <w:sz w:val="20"/>
              </w:rPr>
              <w:t>.9</w:t>
            </w:r>
            <w:r w:rsidR="00F63041">
              <w:rPr>
                <w:rStyle w:val="e24kjd"/>
                <w:rFonts w:asciiTheme="majorHAnsi" w:hAnsiTheme="majorHAnsi" w:cstheme="majorHAnsi"/>
                <w:sz w:val="20"/>
              </w:rPr>
              <w:t xml:space="preserve"> </w:t>
            </w:r>
            <w:r w:rsidR="00F63041" w:rsidRPr="00101B07">
              <w:rPr>
                <w:rStyle w:val="e24kjd"/>
                <w:rFonts w:asciiTheme="majorHAnsi" w:hAnsiTheme="majorHAnsi" w:cstheme="majorHAnsi"/>
                <w:sz w:val="20"/>
              </w:rPr>
              <w:t xml:space="preserve">percent of total public expenditures </w:t>
            </w:r>
            <w:r w:rsidR="00F63041" w:rsidRPr="0049222A">
              <w:rPr>
                <w:rStyle w:val="e24kjd"/>
                <w:rFonts w:cs="Arial"/>
                <w:sz w:val="20"/>
                <w:szCs w:val="20"/>
              </w:rPr>
              <w:t xml:space="preserve">and at </w:t>
            </w:r>
            <w:r w:rsidR="0049222A" w:rsidRPr="0049222A">
              <w:rPr>
                <w:rStyle w:val="e24kjd"/>
                <w:rFonts w:cs="Arial"/>
                <w:sz w:val="20"/>
                <w:szCs w:val="20"/>
              </w:rPr>
              <w:t>5</w:t>
            </w:r>
            <w:r w:rsidR="00F63041" w:rsidRPr="0049222A">
              <w:rPr>
                <w:rStyle w:val="e24kjd"/>
                <w:rFonts w:cs="Arial"/>
                <w:sz w:val="20"/>
                <w:szCs w:val="20"/>
              </w:rPr>
              <w:t xml:space="preserve"> percent of GDP</w:t>
            </w:r>
            <w:r w:rsidR="002E7B41">
              <w:rPr>
                <w:rStyle w:val="e24kjd"/>
                <w:rFonts w:cs="Arial"/>
                <w:sz w:val="20"/>
                <w:szCs w:val="20"/>
              </w:rPr>
              <w:t xml:space="preserve"> on health (2018)</w:t>
            </w:r>
            <w:r w:rsidR="002E7B41">
              <w:rPr>
                <w:rStyle w:val="FootnoteReference"/>
                <w:rFonts w:cs="Arial"/>
                <w:sz w:val="20"/>
                <w:szCs w:val="20"/>
              </w:rPr>
              <w:footnoteReference w:id="37"/>
            </w:r>
            <w:r w:rsidR="00F63041" w:rsidRPr="0049222A">
              <w:rPr>
                <w:rStyle w:val="e24kjd"/>
                <w:rFonts w:cs="Arial"/>
                <w:sz w:val="20"/>
                <w:szCs w:val="20"/>
              </w:rPr>
              <w:t xml:space="preserve"> being on higher end i</w:t>
            </w:r>
            <w:r w:rsidR="002E7B41">
              <w:rPr>
                <w:rStyle w:val="e24kjd"/>
                <w:rFonts w:cs="Arial"/>
                <w:sz w:val="20"/>
                <w:szCs w:val="20"/>
              </w:rPr>
              <w:t>n the region. In absolute terms though</w:t>
            </w:r>
            <w:r w:rsidR="00F63041" w:rsidRPr="0049222A">
              <w:rPr>
                <w:rStyle w:val="e24kjd"/>
                <w:rFonts w:cs="Arial"/>
                <w:sz w:val="20"/>
                <w:szCs w:val="20"/>
              </w:rPr>
              <w:t xml:space="preserve"> t</w:t>
            </w:r>
            <w:r w:rsidR="0071110F" w:rsidRPr="0049222A">
              <w:rPr>
                <w:rStyle w:val="e24kjd"/>
                <w:rFonts w:cs="Arial"/>
                <w:sz w:val="20"/>
                <w:szCs w:val="20"/>
              </w:rPr>
              <w:t xml:space="preserve">otal health expenditure is </w:t>
            </w:r>
            <w:r w:rsidR="00F63041" w:rsidRPr="0049222A">
              <w:rPr>
                <w:rStyle w:val="e24kjd"/>
                <w:rFonts w:cs="Arial"/>
                <w:sz w:val="20"/>
                <w:szCs w:val="20"/>
              </w:rPr>
              <w:t xml:space="preserve">at PPP$ </w:t>
            </w:r>
            <w:r w:rsidR="0049222A" w:rsidRPr="0049222A">
              <w:rPr>
                <w:rStyle w:val="e24kjd"/>
                <w:rFonts w:cs="Arial"/>
                <w:sz w:val="20"/>
                <w:szCs w:val="20"/>
              </w:rPr>
              <w:t>514</w:t>
            </w:r>
            <w:r w:rsidR="00F63041" w:rsidRPr="0049222A">
              <w:rPr>
                <w:rStyle w:val="e24kjd"/>
                <w:rFonts w:cs="Arial"/>
                <w:sz w:val="20"/>
                <w:szCs w:val="20"/>
              </w:rPr>
              <w:t xml:space="preserve"> per capita</w:t>
            </w:r>
            <w:r w:rsidR="00E57907" w:rsidRPr="0049222A">
              <w:rPr>
                <w:rStyle w:val="e24kjd"/>
                <w:rFonts w:cs="Arial"/>
                <w:sz w:val="20"/>
                <w:szCs w:val="20"/>
              </w:rPr>
              <w:t xml:space="preserve"> (201</w:t>
            </w:r>
            <w:r w:rsidR="0049222A" w:rsidRPr="0049222A">
              <w:rPr>
                <w:rStyle w:val="e24kjd"/>
                <w:rFonts w:cs="Arial"/>
                <w:sz w:val="20"/>
                <w:szCs w:val="20"/>
              </w:rPr>
              <w:t>4</w:t>
            </w:r>
            <w:r w:rsidR="00E57907" w:rsidRPr="0049222A">
              <w:rPr>
                <w:rStyle w:val="e24kjd"/>
                <w:rFonts w:cs="Arial"/>
                <w:sz w:val="20"/>
                <w:szCs w:val="20"/>
              </w:rPr>
              <w:t>)</w:t>
            </w:r>
            <w:r w:rsidR="00F63041" w:rsidRPr="0049222A">
              <w:rPr>
                <w:rStyle w:val="e24kjd"/>
                <w:rFonts w:cs="Arial"/>
                <w:sz w:val="20"/>
                <w:szCs w:val="20"/>
              </w:rPr>
              <w:t xml:space="preserve">, </w:t>
            </w:r>
            <w:r w:rsidR="0071110F" w:rsidRPr="0049222A">
              <w:rPr>
                <w:rStyle w:val="e24kjd"/>
                <w:rFonts w:cs="Arial"/>
                <w:sz w:val="20"/>
                <w:szCs w:val="20"/>
              </w:rPr>
              <w:t>much lower compared to countries in the European Union</w:t>
            </w:r>
            <w:r w:rsidR="0049222A" w:rsidRPr="0049222A">
              <w:rPr>
                <w:rStyle w:val="e24kjd"/>
                <w:rFonts w:cs="Arial"/>
                <w:sz w:val="20"/>
                <w:szCs w:val="20"/>
              </w:rPr>
              <w:t>, and twice less than neighboring Romania PPP$ 1079 per capita (2014</w:t>
            </w:r>
            <w:r w:rsidR="0049222A" w:rsidRPr="0049222A">
              <w:rPr>
                <w:rStyle w:val="e24kjd"/>
                <w:rFonts w:cs="Arial"/>
              </w:rPr>
              <w:t>)</w:t>
            </w:r>
            <w:r w:rsidR="0049222A" w:rsidRPr="0049222A">
              <w:rPr>
                <w:rStyle w:val="FootnoteReference"/>
                <w:rFonts w:asciiTheme="majorHAnsi" w:hAnsiTheme="majorHAnsi" w:cstheme="majorHAnsi"/>
                <w:sz w:val="20"/>
              </w:rPr>
              <w:footnoteReference w:id="38"/>
            </w:r>
            <w:r w:rsidR="0049222A" w:rsidRPr="0049222A">
              <w:rPr>
                <w:rStyle w:val="FootnoteReference"/>
                <w:rFonts w:asciiTheme="majorHAnsi" w:hAnsiTheme="majorHAnsi" w:cstheme="majorHAnsi"/>
              </w:rPr>
              <w:t>,</w:t>
            </w:r>
            <w:r w:rsidR="00F63041" w:rsidRPr="0049222A">
              <w:rPr>
                <w:rStyle w:val="FootnoteReference"/>
                <w:rFonts w:asciiTheme="majorHAnsi" w:hAnsiTheme="majorHAnsi" w:cstheme="majorHAnsi"/>
                <w:sz w:val="20"/>
              </w:rPr>
              <w:footnoteReference w:id="39"/>
            </w:r>
            <w:r w:rsidR="0071110F" w:rsidRPr="00101B07">
              <w:rPr>
                <w:rStyle w:val="e24kjd"/>
                <w:rFonts w:asciiTheme="majorHAnsi" w:hAnsiTheme="majorHAnsi" w:cstheme="majorHAnsi"/>
                <w:sz w:val="20"/>
              </w:rPr>
              <w:t xml:space="preserve"> </w:t>
            </w:r>
            <w:r w:rsidR="0071110F" w:rsidRPr="0049222A">
              <w:rPr>
                <w:rStyle w:val="e24kjd"/>
                <w:rFonts w:cs="Arial"/>
                <w:sz w:val="20"/>
              </w:rPr>
              <w:t>Some 15% of</w:t>
            </w:r>
            <w:r w:rsidR="0071110F" w:rsidRPr="00101B07">
              <w:rPr>
                <w:rStyle w:val="e24kjd"/>
                <w:rFonts w:asciiTheme="majorHAnsi" w:hAnsiTheme="majorHAnsi" w:cstheme="majorHAnsi"/>
                <w:sz w:val="20"/>
              </w:rPr>
              <w:t xml:space="preserve"> the population remains uninsured, and these are more likely to be rural residents working in agriculture and informal sector and </w:t>
            </w:r>
            <w:r w:rsidR="00032FF7" w:rsidRPr="00101B07">
              <w:rPr>
                <w:rStyle w:val="e24kjd"/>
                <w:rFonts w:asciiTheme="majorHAnsi" w:hAnsiTheme="majorHAnsi" w:cstheme="majorHAnsi"/>
                <w:sz w:val="20"/>
              </w:rPr>
              <w:t>labor</w:t>
            </w:r>
            <w:r w:rsidR="0071110F" w:rsidRPr="00101B07">
              <w:rPr>
                <w:rStyle w:val="e24kjd"/>
                <w:rFonts w:asciiTheme="majorHAnsi" w:hAnsiTheme="majorHAnsi" w:cstheme="majorHAnsi"/>
                <w:sz w:val="20"/>
              </w:rPr>
              <w:t xml:space="preserve"> migrants.</w:t>
            </w:r>
            <w:r w:rsidR="0071110F">
              <w:rPr>
                <w:rStyle w:val="e24kjd"/>
                <w:rFonts w:asciiTheme="majorHAnsi" w:hAnsiTheme="majorHAnsi" w:cstheme="majorHAnsi"/>
                <w:sz w:val="20"/>
              </w:rPr>
              <w:t xml:space="preserve"> </w:t>
            </w:r>
            <w:r w:rsidR="00F63041">
              <w:rPr>
                <w:rStyle w:val="e24kjd"/>
                <w:rFonts w:asciiTheme="majorHAnsi" w:hAnsiTheme="majorHAnsi" w:cstheme="majorHAnsi"/>
                <w:sz w:val="20"/>
              </w:rPr>
              <w:t>NHI</w:t>
            </w:r>
            <w:r w:rsidR="0049222A">
              <w:rPr>
                <w:rStyle w:val="e24kjd"/>
                <w:rFonts w:asciiTheme="majorHAnsi" w:hAnsiTheme="majorHAnsi" w:cstheme="majorHAnsi"/>
                <w:sz w:val="20"/>
              </w:rPr>
              <w:t xml:space="preserve">C </w:t>
            </w:r>
            <w:r w:rsidR="00F63041" w:rsidRPr="00F63041">
              <w:rPr>
                <w:rStyle w:val="e24kjd"/>
                <w:rFonts w:asciiTheme="majorHAnsi" w:hAnsiTheme="majorHAnsi" w:cstheme="majorHAnsi"/>
                <w:sz w:val="20"/>
              </w:rPr>
              <w:t>provides access to an essential package of emergency, primary, and inpatient services without charge</w:t>
            </w:r>
            <w:r w:rsidR="00F63041">
              <w:rPr>
                <w:rStyle w:val="e24kjd"/>
                <w:rFonts w:asciiTheme="majorHAnsi" w:hAnsiTheme="majorHAnsi" w:cstheme="majorHAnsi"/>
                <w:sz w:val="20"/>
              </w:rPr>
              <w:t>. However, out-of-pocket expenditures are the largest barrier to universal health coverage.</w:t>
            </w:r>
            <w:r w:rsidR="00F63041">
              <w:rPr>
                <w:rStyle w:val="FootnoteReference"/>
                <w:rFonts w:asciiTheme="majorHAnsi" w:hAnsiTheme="majorHAnsi" w:cstheme="majorHAnsi"/>
                <w:sz w:val="20"/>
              </w:rPr>
              <w:footnoteReference w:id="40"/>
            </w:r>
            <w:r w:rsidR="00F63041">
              <w:rPr>
                <w:rStyle w:val="e24kjd"/>
                <w:rFonts w:asciiTheme="majorHAnsi" w:hAnsiTheme="majorHAnsi" w:cstheme="majorHAnsi"/>
                <w:sz w:val="20"/>
              </w:rPr>
              <w:t xml:space="preserve"> P</w:t>
            </w:r>
            <w:r w:rsidR="0071110F">
              <w:rPr>
                <w:rStyle w:val="e24kjd"/>
                <w:rFonts w:asciiTheme="majorHAnsi" w:hAnsiTheme="majorHAnsi" w:cstheme="majorHAnsi"/>
                <w:sz w:val="20"/>
              </w:rPr>
              <w:t>harmaceutical expenditures being</w:t>
            </w:r>
            <w:r w:rsidR="0071110F" w:rsidRPr="00101B07">
              <w:rPr>
                <w:rStyle w:val="e24kjd"/>
                <w:rFonts w:asciiTheme="majorHAnsi" w:hAnsiTheme="majorHAnsi" w:cstheme="majorHAnsi"/>
                <w:sz w:val="20"/>
              </w:rPr>
              <w:t xml:space="preserve"> heavily reliant on patient out-of-pocket</w:t>
            </w:r>
            <w:r w:rsidR="0071110F">
              <w:rPr>
                <w:rStyle w:val="e24kjd"/>
                <w:rFonts w:asciiTheme="majorHAnsi" w:hAnsiTheme="majorHAnsi" w:cstheme="majorHAnsi"/>
                <w:sz w:val="20"/>
              </w:rPr>
              <w:t xml:space="preserve"> payments</w:t>
            </w:r>
            <w:r w:rsidR="0071110F" w:rsidRPr="00101B07">
              <w:rPr>
                <w:rStyle w:val="e24kjd"/>
                <w:rFonts w:asciiTheme="majorHAnsi" w:hAnsiTheme="majorHAnsi" w:cstheme="majorHAnsi"/>
                <w:sz w:val="20"/>
              </w:rPr>
              <w:t xml:space="preserve"> for </w:t>
            </w:r>
            <w:r w:rsidR="0071110F">
              <w:rPr>
                <w:rStyle w:val="e24kjd"/>
                <w:rFonts w:asciiTheme="majorHAnsi" w:hAnsiTheme="majorHAnsi" w:cstheme="majorHAnsi"/>
                <w:sz w:val="20"/>
              </w:rPr>
              <w:t xml:space="preserve">outpatient medicines. </w:t>
            </w:r>
            <w:r w:rsidR="0071110F" w:rsidRPr="00101B07">
              <w:rPr>
                <w:rStyle w:val="e24kjd"/>
                <w:rFonts w:asciiTheme="majorHAnsi" w:hAnsiTheme="majorHAnsi" w:cstheme="majorHAnsi"/>
                <w:sz w:val="20"/>
              </w:rPr>
              <w:t>The government spending for health has significantly increased over the past decade, yet it only accounts for less than h</w:t>
            </w:r>
            <w:r w:rsidR="0071110F">
              <w:rPr>
                <w:rStyle w:val="e24kjd"/>
                <w:rFonts w:asciiTheme="majorHAnsi" w:hAnsiTheme="majorHAnsi" w:cstheme="majorHAnsi"/>
                <w:sz w:val="20"/>
              </w:rPr>
              <w:t>alf of total health expenditure. This</w:t>
            </w:r>
            <w:r w:rsidR="0071110F" w:rsidRPr="003121B8">
              <w:rPr>
                <w:rStyle w:val="e24kjd"/>
                <w:rFonts w:asciiTheme="majorHAnsi" w:hAnsiTheme="majorHAnsi" w:cstheme="majorHAnsi"/>
                <w:sz w:val="20"/>
              </w:rPr>
              <w:t xml:space="preserve"> limits the possibilities to cover all needs of </w:t>
            </w:r>
            <w:r w:rsidR="0071110F">
              <w:rPr>
                <w:rStyle w:val="e24kjd"/>
                <w:rFonts w:asciiTheme="majorHAnsi" w:hAnsiTheme="majorHAnsi" w:cstheme="majorHAnsi"/>
                <w:sz w:val="20"/>
              </w:rPr>
              <w:t>both national TB and HIV programs</w:t>
            </w:r>
            <w:r w:rsidR="0071110F" w:rsidRPr="003121B8">
              <w:rPr>
                <w:rStyle w:val="e24kjd"/>
                <w:rFonts w:asciiTheme="majorHAnsi" w:hAnsiTheme="majorHAnsi" w:cstheme="majorHAnsi"/>
                <w:sz w:val="20"/>
              </w:rPr>
              <w:t xml:space="preserve"> from </w:t>
            </w:r>
            <w:r w:rsidR="0071110F">
              <w:rPr>
                <w:rStyle w:val="e24kjd"/>
                <w:rFonts w:asciiTheme="majorHAnsi" w:hAnsiTheme="majorHAnsi" w:cstheme="majorHAnsi"/>
                <w:sz w:val="20"/>
              </w:rPr>
              <w:t>state and national health insurance budgets</w:t>
            </w:r>
            <w:r w:rsidR="0071110F" w:rsidRPr="003121B8">
              <w:rPr>
                <w:rStyle w:val="e24kjd"/>
                <w:rFonts w:asciiTheme="majorHAnsi" w:hAnsiTheme="majorHAnsi" w:cstheme="majorHAnsi"/>
                <w:sz w:val="20"/>
              </w:rPr>
              <w:t>.</w:t>
            </w:r>
            <w:r w:rsidR="0071110F">
              <w:rPr>
                <w:rStyle w:val="e24kjd"/>
                <w:rFonts w:asciiTheme="majorHAnsi" w:hAnsiTheme="majorHAnsi" w:cstheme="majorHAnsi"/>
                <w:sz w:val="20"/>
              </w:rPr>
              <w:t xml:space="preserve"> The shortage </w:t>
            </w:r>
            <w:r w:rsidR="0071110F" w:rsidRPr="003121B8">
              <w:rPr>
                <w:rStyle w:val="e24kjd"/>
                <w:rFonts w:asciiTheme="majorHAnsi" w:hAnsiTheme="majorHAnsi" w:cstheme="majorHAnsi"/>
                <w:sz w:val="20"/>
              </w:rPr>
              <w:t xml:space="preserve">is particularly acute in regard to the community involvement of </w:t>
            </w:r>
            <w:r w:rsidR="0071110F">
              <w:rPr>
                <w:rStyle w:val="e24kjd"/>
                <w:rFonts w:asciiTheme="majorHAnsi" w:hAnsiTheme="majorHAnsi" w:cstheme="majorHAnsi"/>
                <w:sz w:val="20"/>
              </w:rPr>
              <w:t>NGOs</w:t>
            </w:r>
            <w:r w:rsidR="0071110F" w:rsidRPr="003121B8">
              <w:rPr>
                <w:rStyle w:val="e24kjd"/>
                <w:rFonts w:asciiTheme="majorHAnsi" w:hAnsiTheme="majorHAnsi" w:cstheme="majorHAnsi"/>
                <w:sz w:val="20"/>
              </w:rPr>
              <w:t xml:space="preserve"> </w:t>
            </w:r>
            <w:r w:rsidR="0071110F">
              <w:rPr>
                <w:rStyle w:val="e24kjd"/>
                <w:rFonts w:asciiTheme="majorHAnsi" w:hAnsiTheme="majorHAnsi" w:cstheme="majorHAnsi"/>
                <w:sz w:val="20"/>
              </w:rPr>
              <w:t xml:space="preserve">in TB and HIV community-based </w:t>
            </w:r>
            <w:r w:rsidR="0071110F" w:rsidRPr="003121B8">
              <w:rPr>
                <w:rStyle w:val="e24kjd"/>
                <w:rFonts w:asciiTheme="majorHAnsi" w:hAnsiTheme="majorHAnsi" w:cstheme="majorHAnsi"/>
                <w:sz w:val="20"/>
              </w:rPr>
              <w:t xml:space="preserve">efforts.  </w:t>
            </w:r>
          </w:p>
          <w:p w14:paraId="137D6AEA" w14:textId="7C465BD7" w:rsidR="000F2330" w:rsidRDefault="000F2330" w:rsidP="000F2330">
            <w:pPr>
              <w:shd w:val="clear" w:color="auto" w:fill="FFFFFF"/>
              <w:spacing w:before="100" w:beforeAutospacing="1" w:after="100" w:afterAutospacing="1" w:line="240" w:lineRule="auto"/>
              <w:jc w:val="both"/>
            </w:pPr>
            <w:r w:rsidRPr="00D1140D">
              <w:rPr>
                <w:rStyle w:val="e24kjd"/>
                <w:rFonts w:asciiTheme="majorHAnsi" w:hAnsiTheme="majorHAnsi" w:cstheme="majorHAnsi"/>
                <w:b/>
                <w:sz w:val="20"/>
              </w:rPr>
              <w:t>Procurement</w:t>
            </w:r>
            <w:r>
              <w:rPr>
                <w:rStyle w:val="e24kjd"/>
                <w:rFonts w:asciiTheme="majorHAnsi" w:hAnsiTheme="majorHAnsi" w:cstheme="majorHAnsi"/>
                <w:b/>
                <w:sz w:val="20"/>
              </w:rPr>
              <w:t xml:space="preserve"> and supply:  </w:t>
            </w:r>
            <w:r w:rsidRPr="00DF1C90">
              <w:rPr>
                <w:rStyle w:val="e24kjd"/>
                <w:rFonts w:asciiTheme="majorHAnsi" w:hAnsiTheme="majorHAnsi" w:cstheme="majorHAnsi"/>
                <w:sz w:val="20"/>
              </w:rPr>
              <w:t>u</w:t>
            </w:r>
            <w:r w:rsidRPr="00836107">
              <w:rPr>
                <w:sz w:val="20"/>
                <w:szCs w:val="20"/>
              </w:rPr>
              <w:t xml:space="preserve">ntil this decade, GF was the only provider of ART and TB drugs in the country. Since 2011, all FLDs have been procured from the national budget by the MOLHSP and the Ministry of Justice for the civilian and penitentiary sectors, respectively. </w:t>
            </w:r>
            <w:r>
              <w:rPr>
                <w:sz w:val="20"/>
                <w:szCs w:val="20"/>
              </w:rPr>
              <w:t xml:space="preserve">Since </w:t>
            </w:r>
            <w:r w:rsidRPr="00836107">
              <w:rPr>
                <w:sz w:val="20"/>
                <w:szCs w:val="20"/>
              </w:rPr>
              <w:t xml:space="preserve">2014, the government started purchasing SLDs, with 50% of SLDs currently purchased from domestic sources (the other 50% is purchased from GF budget). </w:t>
            </w:r>
            <w:r w:rsidR="00ED4670" w:rsidRPr="00ED4670">
              <w:rPr>
                <w:sz w:val="20"/>
                <w:szCs w:val="20"/>
              </w:rPr>
              <w:t xml:space="preserve">Similarly, Government procures </w:t>
            </w:r>
            <w:r w:rsidRPr="00ED4670">
              <w:rPr>
                <w:sz w:val="20"/>
                <w:szCs w:val="20"/>
              </w:rPr>
              <w:t xml:space="preserve">ARV procurements </w:t>
            </w:r>
            <w:r w:rsidR="00ED4670" w:rsidRPr="00ED4670">
              <w:rPr>
                <w:sz w:val="20"/>
                <w:szCs w:val="20"/>
              </w:rPr>
              <w:t>100% of 1</w:t>
            </w:r>
            <w:r w:rsidR="00ED4670" w:rsidRPr="00ED4670">
              <w:rPr>
                <w:sz w:val="20"/>
                <w:szCs w:val="20"/>
                <w:vertAlign w:val="superscript"/>
              </w:rPr>
              <w:t>st</w:t>
            </w:r>
            <w:r w:rsidR="00ED4670" w:rsidRPr="00ED4670">
              <w:rPr>
                <w:sz w:val="20"/>
                <w:szCs w:val="20"/>
              </w:rPr>
              <w:t xml:space="preserve"> line ART needs and increasing proportion of 2</w:t>
            </w:r>
            <w:r w:rsidR="00ED4670" w:rsidRPr="00ED4670">
              <w:rPr>
                <w:sz w:val="20"/>
                <w:szCs w:val="20"/>
                <w:vertAlign w:val="superscript"/>
              </w:rPr>
              <w:t>nd</w:t>
            </w:r>
            <w:r w:rsidR="00ED4670" w:rsidRPr="00ED4670">
              <w:rPr>
                <w:sz w:val="20"/>
                <w:szCs w:val="20"/>
              </w:rPr>
              <w:t xml:space="preserve"> line, </w:t>
            </w:r>
            <w:r w:rsidRPr="00ED4670">
              <w:rPr>
                <w:sz w:val="20"/>
                <w:szCs w:val="20"/>
              </w:rPr>
              <w:t>ART</w:t>
            </w:r>
            <w:r w:rsidR="00ED4670" w:rsidRPr="00ED4670">
              <w:rPr>
                <w:sz w:val="20"/>
                <w:szCs w:val="20"/>
              </w:rPr>
              <w:t>, all consumables for HIV tests, CD4 and VL tests</w:t>
            </w:r>
            <w:r w:rsidRPr="00ED4670">
              <w:rPr>
                <w:sz w:val="20"/>
                <w:szCs w:val="20"/>
              </w:rPr>
              <w:t xml:space="preserve">. From 2016 to 2018, UNDP procured medicines and other health </w:t>
            </w:r>
            <w:r w:rsidRPr="00ED4670">
              <w:rPr>
                <w:sz w:val="20"/>
                <w:szCs w:val="20"/>
              </w:rPr>
              <w:lastRenderedPageBreak/>
              <w:t>products for treatment and diagnosis of diseases included in the national and special health programs, includin</w:t>
            </w:r>
            <w:r w:rsidRPr="00836107">
              <w:rPr>
                <w:sz w:val="20"/>
                <w:szCs w:val="20"/>
              </w:rPr>
              <w:t>g</w:t>
            </w:r>
            <w:r>
              <w:rPr>
                <w:sz w:val="20"/>
                <w:szCs w:val="20"/>
              </w:rPr>
              <w:t xml:space="preserve"> HIV and</w:t>
            </w:r>
            <w:r w:rsidRPr="00836107">
              <w:rPr>
                <w:sz w:val="20"/>
                <w:szCs w:val="20"/>
              </w:rPr>
              <w:t xml:space="preserve"> TB medicines. Since 2019, procurement is </w:t>
            </w:r>
            <w:r w:rsidR="00ED4670">
              <w:rPr>
                <w:sz w:val="20"/>
                <w:szCs w:val="20"/>
              </w:rPr>
              <w:t>managed</w:t>
            </w:r>
            <w:r w:rsidRPr="00836107">
              <w:rPr>
                <w:sz w:val="20"/>
                <w:szCs w:val="20"/>
              </w:rPr>
              <w:t xml:space="preserve"> by the MOLHSP Centre for Centralized Public Procurement in Health. The Centre must adhere to the national procurement law, which lacks effective regulations and continues to suffer from opaque tender processes.</w:t>
            </w:r>
            <w:r w:rsidRPr="00836107">
              <w:rPr>
                <w:sz w:val="20"/>
                <w:szCs w:val="20"/>
              </w:rPr>
              <w:footnoteReference w:id="41"/>
            </w:r>
            <w:r w:rsidRPr="00836107">
              <w:rPr>
                <w:sz w:val="20"/>
                <w:szCs w:val="20"/>
              </w:rPr>
              <w:t xml:space="preserve"> Deficiencies in legislation also impede procurement on international platforms, e.g., the Centre is not able to make advance payments and therefore cannot purchase directly from GDF. Despite these challenges, in 2019 the Centre procured around 60% of M-/XDR-TB  medicines as well as most TB reagents for culture, Hain and Bactec – all products of good quality standards (WHO-prequalified or approved by an SRA, the EMA or FDA), with good remaining shelf life (&gt;80%), in two annual deliveries, based on DDP INCO conditions (supplier is responsible and covers the costs until delivery to the NTP warehouse), and at competitive prices</w:t>
            </w:r>
            <w:r w:rsidRPr="00884439">
              <w:t>.</w:t>
            </w:r>
            <w:r w:rsidRPr="009D5A7C">
              <w:rPr>
                <w:rStyle w:val="FootnoteReference"/>
                <w:rFonts w:cs="Brandon Grotesque Light"/>
                <w:color w:val="000000"/>
              </w:rPr>
              <w:footnoteReference w:id="42"/>
            </w:r>
            <w:r>
              <w:t xml:space="preserve"> </w:t>
            </w:r>
          </w:p>
          <w:p w14:paraId="0F12C23D" w14:textId="315203F2" w:rsidR="0071110F" w:rsidRDefault="0071110F" w:rsidP="00781834">
            <w:pPr>
              <w:jc w:val="both"/>
              <w:rPr>
                <w:rStyle w:val="e24kjd"/>
                <w:rFonts w:asciiTheme="majorHAnsi" w:hAnsiTheme="majorHAnsi" w:cstheme="majorHAnsi"/>
                <w:sz w:val="20"/>
              </w:rPr>
            </w:pPr>
            <w:r w:rsidRPr="005675B9">
              <w:rPr>
                <w:rStyle w:val="e24kjd"/>
                <w:rFonts w:asciiTheme="majorHAnsi" w:hAnsiTheme="majorHAnsi" w:cstheme="majorHAnsi"/>
                <w:b/>
                <w:sz w:val="20"/>
              </w:rPr>
              <w:t>Human resources</w:t>
            </w:r>
            <w:r>
              <w:rPr>
                <w:rStyle w:val="e24kjd"/>
                <w:rFonts w:asciiTheme="majorHAnsi" w:hAnsiTheme="majorHAnsi" w:cstheme="majorHAnsi"/>
                <w:sz w:val="20"/>
              </w:rPr>
              <w:t>: Despite a high production rate of health workforce through both State Medical and Pharmaceutical University and Medical Colleges, new graduates prefer to leave the country for better employment prospects in neighboring Romania (with which Moldova shares the same language due to common history and a large proportion of Moldovan population have dual citizenship) or other EU countries. As a result, the health workforce experiences shortages in both primary care doctors and specialists and particularly of nurses, particularly outside urban areas and district centers, and ageing phenomenon, more than half of the workforce are over 50 years old or already retired. This significantly affects the options for decentralization of care and there are challenges with staff motivation and retention.</w:t>
            </w:r>
            <w:r w:rsidR="00E57907">
              <w:rPr>
                <w:rStyle w:val="e24kjd"/>
                <w:rFonts w:asciiTheme="majorHAnsi" w:hAnsiTheme="majorHAnsi" w:cstheme="majorHAnsi"/>
                <w:sz w:val="20"/>
              </w:rPr>
              <w:t xml:space="preserve"> In these circumstances a human resources strategy is needed and an external assessment provided a series of recommendations for TB human resource planning.</w:t>
            </w:r>
            <w:r w:rsidR="00E806B5">
              <w:rPr>
                <w:rStyle w:val="FootnoteReference"/>
                <w:rFonts w:asciiTheme="majorHAnsi" w:hAnsiTheme="majorHAnsi" w:cstheme="majorHAnsi"/>
                <w:sz w:val="20"/>
              </w:rPr>
              <w:footnoteReference w:id="43"/>
            </w:r>
          </w:p>
          <w:p w14:paraId="557D26E2" w14:textId="2B68D59C" w:rsidR="004344C5" w:rsidRDefault="004344C5" w:rsidP="004344C5">
            <w:pPr>
              <w:jc w:val="both"/>
              <w:rPr>
                <w:rStyle w:val="e24kjd"/>
                <w:rFonts w:asciiTheme="majorHAnsi" w:hAnsiTheme="majorHAnsi" w:cstheme="majorHAnsi"/>
                <w:sz w:val="20"/>
              </w:rPr>
            </w:pPr>
            <w:r w:rsidRPr="00B5296A">
              <w:rPr>
                <w:rStyle w:val="e24kjd"/>
                <w:rFonts w:asciiTheme="majorHAnsi" w:hAnsiTheme="majorHAnsi" w:cstheme="majorHAnsi"/>
                <w:b/>
                <w:sz w:val="20"/>
              </w:rPr>
              <w:t xml:space="preserve">Community systems: </w:t>
            </w:r>
            <w:r w:rsidRPr="00B5296A">
              <w:rPr>
                <w:rStyle w:val="e24kjd"/>
                <w:rFonts w:asciiTheme="majorHAnsi" w:hAnsiTheme="majorHAnsi" w:cstheme="majorHAnsi"/>
                <w:sz w:val="20"/>
              </w:rPr>
              <w:t>As in other former Soviet Union countries, the health and social service delivery in Moldova were state-centered and community groups had little role to play. Starting early 1990s, community systems and community-based organizations have started to develop in Moldova, with international donor support, initially of Open Society Foundations</w:t>
            </w:r>
            <w:r>
              <w:rPr>
                <w:rStyle w:val="e24kjd"/>
                <w:rFonts w:asciiTheme="majorHAnsi" w:hAnsiTheme="majorHAnsi" w:cstheme="majorHAnsi"/>
                <w:sz w:val="20"/>
              </w:rPr>
              <w:t>, then of many more</w:t>
            </w:r>
            <w:r w:rsidRPr="00B5296A">
              <w:rPr>
                <w:rStyle w:val="e24kjd"/>
                <w:rFonts w:asciiTheme="majorHAnsi" w:hAnsiTheme="majorHAnsi" w:cstheme="majorHAnsi"/>
                <w:sz w:val="20"/>
              </w:rPr>
              <w:t xml:space="preserve"> donors. </w:t>
            </w:r>
            <w:r>
              <w:rPr>
                <w:rStyle w:val="e24kjd"/>
                <w:rFonts w:asciiTheme="majorHAnsi" w:hAnsiTheme="majorHAnsi" w:cstheme="majorHAnsi"/>
                <w:sz w:val="20"/>
              </w:rPr>
              <w:t>In</w:t>
            </w:r>
            <w:r w:rsidRPr="00B5296A">
              <w:rPr>
                <w:rStyle w:val="e24kjd"/>
                <w:rFonts w:asciiTheme="majorHAnsi" w:hAnsiTheme="majorHAnsi" w:cstheme="majorHAnsi"/>
                <w:sz w:val="20"/>
              </w:rPr>
              <w:t xml:space="preserve"> response to the outbreak of HIV epidemic, a large group of population started to be increasingly affected by drug use and HIV and NGO service organizations </w:t>
            </w:r>
            <w:r>
              <w:rPr>
                <w:rStyle w:val="e24kjd"/>
                <w:rFonts w:asciiTheme="majorHAnsi" w:hAnsiTheme="majorHAnsi" w:cstheme="majorHAnsi"/>
                <w:sz w:val="20"/>
              </w:rPr>
              <w:t>emerged</w:t>
            </w:r>
            <w:r w:rsidRPr="00B5296A">
              <w:rPr>
                <w:rStyle w:val="e24kjd"/>
                <w:rFonts w:asciiTheme="majorHAnsi" w:hAnsiTheme="majorHAnsi" w:cstheme="majorHAnsi"/>
                <w:sz w:val="20"/>
              </w:rPr>
              <w:t xml:space="preserve">. In years 2000, </w:t>
            </w:r>
            <w:r>
              <w:rPr>
                <w:rStyle w:val="e24kjd"/>
                <w:rFonts w:asciiTheme="majorHAnsi" w:hAnsiTheme="majorHAnsi" w:cstheme="majorHAnsi"/>
                <w:sz w:val="20"/>
              </w:rPr>
              <w:t>t</w:t>
            </w:r>
            <w:r w:rsidRPr="00B5296A">
              <w:rPr>
                <w:rStyle w:val="e24kjd"/>
                <w:rFonts w:asciiTheme="majorHAnsi" w:hAnsiTheme="majorHAnsi" w:cstheme="majorHAnsi"/>
                <w:sz w:val="20"/>
              </w:rPr>
              <w:t xml:space="preserve">he </w:t>
            </w:r>
            <w:r>
              <w:rPr>
                <w:rStyle w:val="e24kjd"/>
                <w:rFonts w:asciiTheme="majorHAnsi" w:hAnsiTheme="majorHAnsi" w:cstheme="majorHAnsi"/>
                <w:sz w:val="20"/>
              </w:rPr>
              <w:t xml:space="preserve">Soros Foundation Moldova </w:t>
            </w:r>
            <w:r w:rsidRPr="00B5296A">
              <w:rPr>
                <w:rStyle w:val="e24kjd"/>
                <w:rFonts w:asciiTheme="majorHAnsi" w:hAnsiTheme="majorHAnsi" w:cstheme="majorHAnsi"/>
                <w:sz w:val="20"/>
              </w:rPr>
              <w:t xml:space="preserve">initiated harm reduction projects </w:t>
            </w:r>
            <w:r>
              <w:rPr>
                <w:rStyle w:val="e24kjd"/>
                <w:rFonts w:asciiTheme="majorHAnsi" w:hAnsiTheme="majorHAnsi" w:cstheme="majorHAnsi"/>
                <w:sz w:val="20"/>
              </w:rPr>
              <w:t xml:space="preserve">in communities and prisons </w:t>
            </w:r>
            <w:r w:rsidRPr="00B5296A">
              <w:rPr>
                <w:rStyle w:val="e24kjd"/>
                <w:rFonts w:asciiTheme="majorHAnsi" w:hAnsiTheme="majorHAnsi" w:cstheme="majorHAnsi"/>
                <w:sz w:val="20"/>
              </w:rPr>
              <w:t>with participation PWID as outreach workers and volunteers in providing peer-to-peer support, increasing coverage with services</w:t>
            </w:r>
            <w:r>
              <w:rPr>
                <w:rStyle w:val="e24kjd"/>
                <w:rFonts w:asciiTheme="majorHAnsi" w:hAnsiTheme="majorHAnsi" w:cstheme="majorHAnsi"/>
                <w:sz w:val="20"/>
              </w:rPr>
              <w:t xml:space="preserve"> and providing non-medical care. With Global Fund support the prevention work expanded to NGOs active in other key populations, MSM and SWs.</w:t>
            </w:r>
            <w:r w:rsidRPr="00B5296A">
              <w:rPr>
                <w:rStyle w:val="e24kjd"/>
                <w:rFonts w:asciiTheme="majorHAnsi" w:hAnsiTheme="majorHAnsi" w:cstheme="majorHAnsi"/>
                <w:sz w:val="20"/>
              </w:rPr>
              <w:t xml:space="preserve"> Currently, there are several organizations nationally representing the interests of most-at-risk populations and PLHIV: the Union for HIV/AIDS Prevention and Harm Reduction in Moldova (UORN) </w:t>
            </w:r>
            <w:r>
              <w:rPr>
                <w:rStyle w:val="e24kjd"/>
                <w:rFonts w:asciiTheme="majorHAnsi" w:hAnsiTheme="majorHAnsi" w:cstheme="majorHAnsi"/>
                <w:sz w:val="20"/>
              </w:rPr>
              <w:t xml:space="preserve">and Initiative group Puls </w:t>
            </w:r>
            <w:r w:rsidRPr="00B5296A">
              <w:rPr>
                <w:rStyle w:val="e24kjd"/>
                <w:rFonts w:asciiTheme="majorHAnsi" w:hAnsiTheme="majorHAnsi" w:cstheme="majorHAnsi"/>
                <w:sz w:val="20"/>
              </w:rPr>
              <w:t>represents interests of PWID, Gender-Doc represents interests of the LGBT community and several community-based organizations represent PLHIV</w:t>
            </w:r>
            <w:r>
              <w:rPr>
                <w:rStyle w:val="e24kjd"/>
                <w:rFonts w:asciiTheme="majorHAnsi" w:hAnsiTheme="majorHAnsi" w:cstheme="majorHAnsi"/>
                <w:sz w:val="20"/>
              </w:rPr>
              <w:t xml:space="preserve"> constituency</w:t>
            </w:r>
            <w:r w:rsidRPr="00B5296A">
              <w:rPr>
                <w:rStyle w:val="e24kjd"/>
                <w:rFonts w:asciiTheme="majorHAnsi" w:hAnsiTheme="majorHAnsi" w:cstheme="majorHAnsi"/>
                <w:sz w:val="20"/>
              </w:rPr>
              <w:t xml:space="preserve">: National League of </w:t>
            </w:r>
            <w:r>
              <w:rPr>
                <w:rStyle w:val="e24kjd"/>
                <w:rFonts w:asciiTheme="majorHAnsi" w:hAnsiTheme="majorHAnsi" w:cstheme="majorHAnsi"/>
                <w:sz w:val="20"/>
              </w:rPr>
              <w:t>PLHIV, Positive Initiative</w:t>
            </w:r>
            <w:r w:rsidRPr="00B5296A">
              <w:rPr>
                <w:rStyle w:val="e24kjd"/>
                <w:rFonts w:asciiTheme="majorHAnsi" w:hAnsiTheme="majorHAnsi" w:cstheme="majorHAnsi"/>
                <w:sz w:val="20"/>
              </w:rPr>
              <w:t xml:space="preserve">. </w:t>
            </w:r>
          </w:p>
          <w:p w14:paraId="3D499228" w14:textId="195B76B2" w:rsidR="004344C5" w:rsidRDefault="004344C5" w:rsidP="004344C5">
            <w:pPr>
              <w:jc w:val="both"/>
              <w:rPr>
                <w:rStyle w:val="e24kjd"/>
                <w:rFonts w:asciiTheme="minorHAnsi" w:hAnsiTheme="minorHAnsi" w:cstheme="minorHAnsi"/>
                <w:sz w:val="20"/>
                <w:szCs w:val="20"/>
              </w:rPr>
            </w:pPr>
            <w:r>
              <w:rPr>
                <w:rStyle w:val="e24kjd"/>
                <w:rFonts w:asciiTheme="minorHAnsi" w:hAnsiTheme="minorHAnsi" w:cstheme="minorHAnsi"/>
                <w:sz w:val="20"/>
                <w:szCs w:val="20"/>
              </w:rPr>
              <w:t>For TB Initially one organization Carlux (now renamed as Act For Involv</w:t>
            </w:r>
            <w:r w:rsidR="002E7B41">
              <w:rPr>
                <w:rStyle w:val="e24kjd"/>
                <w:rFonts w:asciiTheme="minorHAnsi" w:hAnsiTheme="minorHAnsi" w:cstheme="minorHAnsi"/>
                <w:sz w:val="20"/>
                <w:szCs w:val="20"/>
              </w:rPr>
              <w:t>ement AFI) was active in addressing TB</w:t>
            </w:r>
            <w:r>
              <w:rPr>
                <w:rStyle w:val="e24kjd"/>
                <w:rFonts w:asciiTheme="minorHAnsi" w:hAnsiTheme="minorHAnsi" w:cstheme="minorHAnsi"/>
                <w:sz w:val="20"/>
                <w:szCs w:val="20"/>
              </w:rPr>
              <w:t xml:space="preserve"> in prisons in 2000s. More TB community organizations emerged starting with 2010 as service providers of community-based delivery and in advocacy and mobiliz</w:t>
            </w:r>
            <w:r w:rsidR="002E7B41">
              <w:rPr>
                <w:rStyle w:val="e24kjd"/>
                <w:rFonts w:asciiTheme="minorHAnsi" w:hAnsiTheme="minorHAnsi" w:cstheme="minorHAnsi"/>
                <w:sz w:val="20"/>
                <w:szCs w:val="20"/>
              </w:rPr>
              <w:t>ation efforts starting with GF R</w:t>
            </w:r>
            <w:r>
              <w:rPr>
                <w:rStyle w:val="e24kjd"/>
                <w:rFonts w:asciiTheme="minorHAnsi" w:hAnsiTheme="minorHAnsi" w:cstheme="minorHAnsi"/>
                <w:sz w:val="20"/>
                <w:szCs w:val="20"/>
              </w:rPr>
              <w:t>ound 9 TB grant and NFM 1. With Global Fund support, 10 NGOs have been engaged in community-based delivery for patient a</w:t>
            </w:r>
            <w:r w:rsidR="002E7B41">
              <w:rPr>
                <w:rStyle w:val="e24kjd"/>
                <w:rFonts w:asciiTheme="minorHAnsi" w:hAnsiTheme="minorHAnsi" w:cstheme="minorHAnsi"/>
                <w:sz w:val="20"/>
                <w:szCs w:val="20"/>
              </w:rPr>
              <w:t>dherence and peer support</w:t>
            </w:r>
            <w:r>
              <w:rPr>
                <w:rStyle w:val="e24kjd"/>
                <w:rFonts w:asciiTheme="minorHAnsi" w:hAnsiTheme="minorHAnsi" w:cstheme="minorHAnsi"/>
                <w:sz w:val="20"/>
                <w:szCs w:val="20"/>
              </w:rPr>
              <w:t xml:space="preserve">. </w:t>
            </w:r>
            <w:r w:rsidR="002E7B41">
              <w:rPr>
                <w:rStyle w:val="e24kjd"/>
                <w:rFonts w:asciiTheme="minorHAnsi" w:hAnsiTheme="minorHAnsi" w:cstheme="minorHAnsi"/>
                <w:sz w:val="20"/>
                <w:szCs w:val="20"/>
              </w:rPr>
              <w:t xml:space="preserve">In 2013, the National Platform of Civil Society Organizations was created in order to strengthen joint efforts in the fight against tuberculosis in Moldova. 11 NGOs working in the field of tuberculosis control and prevention are part of this platform and have 3 voting seats in the CCM (1 representing the Platform, 2 representing TB affected people from both banks of Nistru). </w:t>
            </w:r>
            <w:r>
              <w:rPr>
                <w:rStyle w:val="e24kjd"/>
                <w:rFonts w:asciiTheme="majorHAnsi" w:hAnsiTheme="majorHAnsi" w:cstheme="majorHAnsi"/>
                <w:sz w:val="20"/>
              </w:rPr>
              <w:t xml:space="preserve">SMIT and Platform of NGOs active in TB represent the KAP and </w:t>
            </w:r>
            <w:r w:rsidR="002E7B41">
              <w:rPr>
                <w:rStyle w:val="e24kjd"/>
                <w:rFonts w:asciiTheme="majorHAnsi" w:hAnsiTheme="majorHAnsi" w:cstheme="majorHAnsi"/>
                <w:sz w:val="20"/>
              </w:rPr>
              <w:t>NGO</w:t>
            </w:r>
            <w:r>
              <w:rPr>
                <w:rStyle w:val="e24kjd"/>
                <w:rFonts w:asciiTheme="majorHAnsi" w:hAnsiTheme="majorHAnsi" w:cstheme="majorHAnsi"/>
                <w:sz w:val="20"/>
              </w:rPr>
              <w:t xml:space="preserve">s interests, with </w:t>
            </w:r>
            <w:r>
              <w:rPr>
                <w:rStyle w:val="e24kjd"/>
                <w:rFonts w:asciiTheme="minorHAnsi" w:hAnsiTheme="minorHAnsi" w:cstheme="minorHAnsi"/>
                <w:sz w:val="20"/>
                <w:szCs w:val="20"/>
              </w:rPr>
              <w:t>voting seats on the CCM. All communities are represented in Key Affected Populations Platform.</w:t>
            </w:r>
          </w:p>
          <w:p w14:paraId="17161047" w14:textId="6D536E80" w:rsidR="004344C5" w:rsidRDefault="004344C5" w:rsidP="004344C5">
            <w:pPr>
              <w:jc w:val="both"/>
              <w:rPr>
                <w:rStyle w:val="e24kjd"/>
                <w:rFonts w:asciiTheme="majorHAnsi" w:hAnsiTheme="majorHAnsi" w:cstheme="majorHAnsi"/>
                <w:sz w:val="20"/>
              </w:rPr>
            </w:pPr>
            <w:r w:rsidRPr="00E01C09">
              <w:rPr>
                <w:rStyle w:val="e24kjd"/>
                <w:rFonts w:asciiTheme="minorHAnsi" w:hAnsiTheme="minorHAnsi" w:cstheme="minorHAnsi"/>
                <w:sz w:val="20"/>
                <w:szCs w:val="20"/>
              </w:rPr>
              <w:t xml:space="preserve">Community systems </w:t>
            </w:r>
            <w:r>
              <w:rPr>
                <w:rStyle w:val="e24kjd"/>
                <w:rFonts w:asciiTheme="minorHAnsi" w:hAnsiTheme="minorHAnsi" w:cstheme="minorHAnsi"/>
                <w:sz w:val="20"/>
                <w:szCs w:val="20"/>
              </w:rPr>
              <w:t xml:space="preserve">are </w:t>
            </w:r>
            <w:r w:rsidRPr="00E01C09">
              <w:rPr>
                <w:rStyle w:val="e24kjd"/>
                <w:rFonts w:asciiTheme="minorHAnsi" w:hAnsiTheme="minorHAnsi" w:cstheme="minorHAnsi"/>
                <w:sz w:val="20"/>
                <w:szCs w:val="20"/>
              </w:rPr>
              <w:t>critical to reac</w:t>
            </w:r>
            <w:r>
              <w:rPr>
                <w:rStyle w:val="e24kjd"/>
                <w:rFonts w:asciiTheme="minorHAnsi" w:hAnsiTheme="minorHAnsi" w:cstheme="minorHAnsi"/>
                <w:sz w:val="20"/>
                <w:szCs w:val="20"/>
              </w:rPr>
              <w:t xml:space="preserve">hing most vulnerable as part of last mile efforts. </w:t>
            </w:r>
            <w:r w:rsidR="0020456D" w:rsidRPr="004344C5">
              <w:rPr>
                <w:rStyle w:val="e24kjd"/>
                <w:rFonts w:asciiTheme="majorHAnsi" w:hAnsiTheme="majorHAnsi" w:cstheme="majorHAnsi"/>
                <w:sz w:val="20"/>
              </w:rPr>
              <w:t>The weaknesses of the community systems are: (1) lack of sustainable funding, as the majority of community organizations thus far have relied exclusively on international donor funding with earmarked funds for service activities for target groups; (2) organizational management, as given the narrow scope and short-term funding, the newly developed community based-organizations did not have enough resources to allocate to organizational strengthening; and (3) lack of sustainable contracting by the state</w:t>
            </w:r>
            <w:r w:rsidR="0020456D">
              <w:rPr>
                <w:rStyle w:val="e24kjd"/>
                <w:rFonts w:asciiTheme="majorHAnsi" w:hAnsiTheme="majorHAnsi" w:cstheme="majorHAnsi"/>
                <w:sz w:val="20"/>
              </w:rPr>
              <w:t xml:space="preserve">. </w:t>
            </w:r>
          </w:p>
          <w:p w14:paraId="0E38EBBF" w14:textId="1EF69FE4" w:rsidR="0020456D" w:rsidRDefault="0020456D" w:rsidP="0020456D">
            <w:pPr>
              <w:jc w:val="both"/>
              <w:rPr>
                <w:rStyle w:val="e24kjd"/>
                <w:rFonts w:asciiTheme="majorHAnsi" w:hAnsiTheme="majorHAnsi" w:cstheme="majorHAnsi"/>
                <w:sz w:val="20"/>
              </w:rPr>
            </w:pPr>
            <w:r>
              <w:rPr>
                <w:rStyle w:val="e24kjd"/>
                <w:rFonts w:asciiTheme="majorHAnsi" w:hAnsiTheme="majorHAnsi" w:cstheme="majorHAnsi"/>
                <w:sz w:val="20"/>
              </w:rPr>
              <w:t>For HIV, a</w:t>
            </w:r>
            <w:r w:rsidRPr="004344C5">
              <w:rPr>
                <w:rStyle w:val="e24kjd"/>
                <w:rFonts w:asciiTheme="majorHAnsi" w:hAnsiTheme="majorHAnsi" w:cstheme="majorHAnsi"/>
                <w:sz w:val="20"/>
              </w:rPr>
              <w:t xml:space="preserve">lthough NGOs are the main providers of HIV prevention in KAP, there is insufficient coordination with the public sector, and a lack of mechanism to contract out HIV prevention services to NGOs by the government that needs costing of services, certification and accreditation of NGOs. Despite the acknowledged role in service provision of NGOs in HIV prevention and HIV prevention projects for key populations run by NGOs financed by National Health Insurance Fund, Prophylaxis Fund starting 2018, the practice </w:t>
            </w:r>
            <w:r>
              <w:rPr>
                <w:rStyle w:val="e24kjd"/>
                <w:rFonts w:asciiTheme="majorHAnsi" w:hAnsiTheme="majorHAnsi" w:cstheme="majorHAnsi"/>
                <w:sz w:val="20"/>
              </w:rPr>
              <w:t>lacks predictability, t</w:t>
            </w:r>
            <w:r w:rsidRPr="004344C5">
              <w:rPr>
                <w:rStyle w:val="e24kjd"/>
                <w:rFonts w:asciiTheme="majorHAnsi" w:hAnsiTheme="majorHAnsi" w:cstheme="majorHAnsi"/>
                <w:sz w:val="20"/>
              </w:rPr>
              <w:t xml:space="preserve">he volume of resources </w:t>
            </w:r>
            <w:r>
              <w:rPr>
                <w:rStyle w:val="e24kjd"/>
                <w:rFonts w:asciiTheme="majorHAnsi" w:hAnsiTheme="majorHAnsi" w:cstheme="majorHAnsi"/>
                <w:sz w:val="20"/>
              </w:rPr>
              <w:t xml:space="preserve">is not aligned to commitments of the National Program for HIV/AIDS/STI control and Prophylaxis Program 2016-2020and the sustainability and transition (STC) plan which covers the same period. The first harm reduction projects financed </w:t>
            </w:r>
            <w:r>
              <w:rPr>
                <w:rStyle w:val="e24kjd"/>
                <w:rFonts w:asciiTheme="majorHAnsi" w:hAnsiTheme="majorHAnsi" w:cstheme="majorHAnsi"/>
                <w:sz w:val="20"/>
              </w:rPr>
              <w:lastRenderedPageBreak/>
              <w:t>from national resources represent an icebreaker and has recognized as a good practice by WHO in 2018</w:t>
            </w:r>
            <w:r>
              <w:rPr>
                <w:rStyle w:val="FootnoteReference"/>
                <w:rFonts w:asciiTheme="majorHAnsi" w:hAnsiTheme="majorHAnsi" w:cstheme="majorHAnsi"/>
                <w:sz w:val="20"/>
              </w:rPr>
              <w:footnoteReference w:id="44"/>
            </w:r>
            <w:r>
              <w:rPr>
                <w:rStyle w:val="e24kjd"/>
                <w:rFonts w:asciiTheme="majorHAnsi" w:hAnsiTheme="majorHAnsi" w:cstheme="majorHAnsi"/>
                <w:sz w:val="20"/>
              </w:rPr>
              <w:t>. The Covid social and economic impact may further weaken the financing efforts.</w:t>
            </w:r>
          </w:p>
          <w:p w14:paraId="38B8C186" w14:textId="33F02911" w:rsidR="0020456D" w:rsidRDefault="0020456D" w:rsidP="0020456D">
            <w:pPr>
              <w:jc w:val="both"/>
              <w:rPr>
                <w:rStyle w:val="e24kjd"/>
                <w:rFonts w:asciiTheme="majorHAnsi" w:hAnsiTheme="majorHAnsi" w:cstheme="majorHAnsi"/>
                <w:sz w:val="20"/>
              </w:rPr>
            </w:pPr>
            <w:r>
              <w:rPr>
                <w:rStyle w:val="e24kjd"/>
                <w:rFonts w:asciiTheme="majorHAnsi" w:hAnsiTheme="majorHAnsi" w:cstheme="majorHAnsi"/>
                <w:sz w:val="20"/>
              </w:rPr>
              <w:t xml:space="preserve">Several lessons learnt from HIV prevention experience have to be further taken into consideration: 1) need for continued policy dialogue with health and finance authorities to ensure the prioritization of HIV and TB services; 2) civil society involvement in health budget planning; 3) differentiated and diversified sources of financing, state budget; municipal resources etc. </w:t>
            </w:r>
          </w:p>
          <w:p w14:paraId="0CC24EA2" w14:textId="46C30E68" w:rsidR="0020456D" w:rsidRDefault="0020456D" w:rsidP="0020456D">
            <w:pPr>
              <w:jc w:val="both"/>
              <w:rPr>
                <w:rStyle w:val="e24kjd"/>
                <w:rFonts w:asciiTheme="minorHAnsi" w:hAnsiTheme="minorHAnsi" w:cstheme="minorHAnsi"/>
                <w:sz w:val="20"/>
                <w:szCs w:val="20"/>
              </w:rPr>
            </w:pPr>
            <w:r>
              <w:rPr>
                <w:rStyle w:val="e24kjd"/>
                <w:rFonts w:asciiTheme="minorHAnsi" w:hAnsiTheme="minorHAnsi" w:cstheme="minorHAnsi"/>
                <w:sz w:val="20"/>
                <w:szCs w:val="20"/>
              </w:rPr>
              <w:t>Compared to HIV, there were fewer community strengthening interventions</w:t>
            </w:r>
            <w:r w:rsidR="0083536E">
              <w:rPr>
                <w:rStyle w:val="e24kjd"/>
                <w:rFonts w:asciiTheme="minorHAnsi" w:hAnsiTheme="minorHAnsi" w:cstheme="minorHAnsi"/>
                <w:sz w:val="20"/>
                <w:szCs w:val="20"/>
              </w:rPr>
              <w:t xml:space="preserve"> </w:t>
            </w:r>
            <w:r>
              <w:rPr>
                <w:rStyle w:val="e24kjd"/>
                <w:rFonts w:asciiTheme="minorHAnsi" w:hAnsiTheme="minorHAnsi" w:cstheme="minorHAnsi"/>
                <w:sz w:val="20"/>
                <w:szCs w:val="20"/>
              </w:rPr>
              <w:t>for TB NGOs. Although CSOs active in TB control have demonstrated their value in providing support services for TB patients, active case finding activities, current funding is fragmented and short-term, with a considerable risk of losing the capacity accumulated by NGOs over the years, as well as the relationship with the key populations. The results of the NGO activities have been quite impressive in terms of finding TB patients in certain groups, including key affected populations. Some progress has been made in funding the NGOs active in TB control by the state. National consultants, under the NTP guidance are at the last stage of developing service standards that would allow contracting the TB NGOs by the state.</w:t>
            </w:r>
          </w:p>
          <w:p w14:paraId="78D1C20A" w14:textId="77777777" w:rsidR="00C64479" w:rsidRDefault="004344C5" w:rsidP="004344C5">
            <w:pPr>
              <w:rPr>
                <w:rStyle w:val="e24kjd"/>
                <w:rFonts w:asciiTheme="minorHAnsi" w:hAnsiTheme="minorHAnsi" w:cstheme="minorHAnsi"/>
                <w:b/>
                <w:sz w:val="20"/>
                <w:szCs w:val="20"/>
              </w:rPr>
            </w:pPr>
            <w:r>
              <w:rPr>
                <w:rStyle w:val="e24kjd"/>
                <w:rFonts w:asciiTheme="minorHAnsi" w:hAnsiTheme="minorHAnsi" w:cstheme="minorHAnsi"/>
                <w:b/>
                <w:sz w:val="20"/>
                <w:szCs w:val="20"/>
              </w:rPr>
              <w:t xml:space="preserve">Human rights, gender and age-related barriers and inequities in access to services </w:t>
            </w:r>
          </w:p>
          <w:p w14:paraId="4547C099" w14:textId="5CDF2D17" w:rsidR="004344C5" w:rsidRDefault="004344C5" w:rsidP="004344C5">
            <w:pPr>
              <w:rPr>
                <w:rFonts w:asciiTheme="minorHAnsi" w:hAnsiTheme="minorHAnsi" w:cstheme="minorHAnsi"/>
                <w:b/>
                <w:sz w:val="20"/>
                <w:szCs w:val="20"/>
              </w:rPr>
            </w:pPr>
            <w:r>
              <w:rPr>
                <w:rStyle w:val="e24kjd"/>
                <w:rFonts w:asciiTheme="minorHAnsi" w:hAnsiTheme="minorHAnsi" w:cstheme="minorHAnsi"/>
                <w:b/>
                <w:sz w:val="20"/>
                <w:szCs w:val="20"/>
              </w:rPr>
              <w:t>TB</w:t>
            </w:r>
          </w:p>
          <w:p w14:paraId="6CB48ADE" w14:textId="13E4679C" w:rsidR="004344C5" w:rsidRDefault="004344C5" w:rsidP="004344C5">
            <w:pPr>
              <w:spacing w:after="0"/>
              <w:jc w:val="both"/>
              <w:rPr>
                <w:rFonts w:asciiTheme="minorHAnsi" w:hAnsiTheme="minorHAnsi" w:cstheme="minorHAnsi"/>
                <w:sz w:val="20"/>
                <w:szCs w:val="20"/>
              </w:rPr>
            </w:pPr>
            <w:r>
              <w:rPr>
                <w:rFonts w:asciiTheme="minorHAnsi" w:hAnsiTheme="minorHAnsi" w:cstheme="minorHAnsi"/>
                <w:sz w:val="20"/>
                <w:szCs w:val="20"/>
              </w:rPr>
              <w:t xml:space="preserve">Although, in Moldova health is recognized as a human right, human rights, stigma and gender barriers occur in the country. A </w:t>
            </w:r>
            <w:r w:rsidR="009773FC">
              <w:rPr>
                <w:rFonts w:asciiTheme="minorHAnsi" w:hAnsiTheme="minorHAnsi" w:cstheme="minorHAnsi"/>
                <w:sz w:val="20"/>
                <w:szCs w:val="20"/>
              </w:rPr>
              <w:t xml:space="preserve">comprehensive human rights, gender and </w:t>
            </w:r>
            <w:r>
              <w:rPr>
                <w:rFonts w:asciiTheme="minorHAnsi" w:hAnsiTheme="minorHAnsi" w:cstheme="minorHAnsi"/>
                <w:sz w:val="20"/>
                <w:szCs w:val="20"/>
              </w:rPr>
              <w:t xml:space="preserve">legal assessment was not carried out yet to assess </w:t>
            </w:r>
            <w:r w:rsidR="009773FC">
              <w:rPr>
                <w:rFonts w:asciiTheme="minorHAnsi" w:hAnsiTheme="minorHAnsi" w:cstheme="minorHAnsi"/>
                <w:sz w:val="20"/>
                <w:szCs w:val="20"/>
              </w:rPr>
              <w:t>comprehensively the H</w:t>
            </w:r>
            <w:r>
              <w:rPr>
                <w:rFonts w:asciiTheme="minorHAnsi" w:hAnsiTheme="minorHAnsi" w:cstheme="minorHAnsi"/>
                <w:sz w:val="20"/>
                <w:szCs w:val="20"/>
              </w:rPr>
              <w:t xml:space="preserve">RG related barriers, however several assessments conducted in country are reporting human rights, gender and age-related barriers and inequities in access to services: </w:t>
            </w:r>
          </w:p>
          <w:p w14:paraId="654045F5" w14:textId="77777777" w:rsidR="004344C5" w:rsidRDefault="004344C5" w:rsidP="00326A6B">
            <w:pPr>
              <w:pStyle w:val="ListParagraph"/>
              <w:numPr>
                <w:ilvl w:val="0"/>
                <w:numId w:val="64"/>
              </w:numPr>
              <w:spacing w:after="0"/>
              <w:jc w:val="both"/>
              <w:rPr>
                <w:rFonts w:asciiTheme="minorHAnsi" w:hAnsiTheme="minorHAnsi" w:cstheme="minorHAnsi"/>
                <w:sz w:val="20"/>
                <w:szCs w:val="20"/>
              </w:rPr>
            </w:pPr>
            <w:r>
              <w:rPr>
                <w:rFonts w:asciiTheme="minorHAnsi" w:hAnsiTheme="minorHAnsi" w:cstheme="minorHAnsi"/>
                <w:b/>
                <w:sz w:val="20"/>
                <w:szCs w:val="20"/>
              </w:rPr>
              <w:t>Stigma</w:t>
            </w:r>
            <w:r>
              <w:rPr>
                <w:rFonts w:asciiTheme="minorHAnsi" w:hAnsiTheme="minorHAnsi" w:cstheme="minorHAnsi"/>
                <w:sz w:val="20"/>
                <w:szCs w:val="20"/>
              </w:rPr>
              <w:t xml:space="preserve"> </w:t>
            </w:r>
            <w:r>
              <w:rPr>
                <w:rFonts w:asciiTheme="minorHAnsi" w:hAnsiTheme="minorHAnsi" w:cstheme="minorHAnsi"/>
                <w:b/>
                <w:sz w:val="20"/>
                <w:szCs w:val="20"/>
              </w:rPr>
              <w:t>and discrimination</w:t>
            </w:r>
            <w:r>
              <w:rPr>
                <w:rFonts w:asciiTheme="minorHAnsi" w:hAnsiTheme="minorHAnsi" w:cstheme="minorHAnsi"/>
                <w:sz w:val="20"/>
                <w:szCs w:val="20"/>
              </w:rPr>
              <w:t xml:space="preserve"> from family members and colleagues is still a real issue as reflect the findings of the KAP study (2017);</w:t>
            </w:r>
          </w:p>
          <w:p w14:paraId="6DC8A3A4" w14:textId="77777777" w:rsidR="004344C5" w:rsidRDefault="004344C5" w:rsidP="00326A6B">
            <w:pPr>
              <w:pStyle w:val="ListParagraph"/>
              <w:numPr>
                <w:ilvl w:val="0"/>
                <w:numId w:val="64"/>
              </w:numPr>
              <w:spacing w:after="0"/>
              <w:jc w:val="both"/>
              <w:rPr>
                <w:rFonts w:asciiTheme="minorHAnsi" w:hAnsiTheme="minorHAnsi" w:cstheme="minorHAnsi"/>
                <w:b/>
                <w:sz w:val="20"/>
                <w:szCs w:val="20"/>
              </w:rPr>
            </w:pPr>
            <w:r>
              <w:rPr>
                <w:rFonts w:asciiTheme="minorHAnsi" w:hAnsiTheme="minorHAnsi" w:cstheme="minorHAnsi"/>
                <w:b/>
                <w:sz w:val="20"/>
                <w:szCs w:val="20"/>
              </w:rPr>
              <w:t xml:space="preserve">Community stigma, including stigma from health-care workers and other support services </w:t>
            </w:r>
            <w:r>
              <w:rPr>
                <w:rFonts w:asciiTheme="minorHAnsi" w:hAnsiTheme="minorHAnsi" w:cstheme="minorHAnsi"/>
                <w:sz w:val="20"/>
                <w:szCs w:val="20"/>
              </w:rPr>
              <w:t>is revealed in the “Moldova tuberculosis evaluation” (2020), based on focus-group discussions;</w:t>
            </w:r>
          </w:p>
          <w:p w14:paraId="453AAA09" w14:textId="77777777" w:rsidR="004344C5" w:rsidRDefault="004344C5" w:rsidP="00326A6B">
            <w:pPr>
              <w:pStyle w:val="ListParagraph"/>
              <w:numPr>
                <w:ilvl w:val="0"/>
                <w:numId w:val="64"/>
              </w:numPr>
              <w:spacing w:after="0"/>
              <w:jc w:val="both"/>
              <w:rPr>
                <w:rFonts w:asciiTheme="minorHAnsi" w:hAnsiTheme="minorHAnsi" w:cstheme="minorHAnsi"/>
                <w:b/>
                <w:sz w:val="20"/>
                <w:szCs w:val="20"/>
              </w:rPr>
            </w:pPr>
            <w:r>
              <w:rPr>
                <w:rFonts w:asciiTheme="minorHAnsi" w:hAnsiTheme="minorHAnsi" w:cstheme="minorHAnsi"/>
                <w:b/>
                <w:sz w:val="20"/>
                <w:szCs w:val="20"/>
              </w:rPr>
              <w:t xml:space="preserve">Confidentiality issues, </w:t>
            </w:r>
            <w:r>
              <w:rPr>
                <w:rFonts w:asciiTheme="minorHAnsi" w:hAnsiTheme="minorHAnsi" w:cstheme="minorHAnsi"/>
                <w:sz w:val="20"/>
                <w:szCs w:val="20"/>
              </w:rPr>
              <w:t>on behalf of health-care and social services providers, bear patients, especially in rural areas, from attending such facilities, thus limiting their access to treatment and support.</w:t>
            </w:r>
          </w:p>
          <w:p w14:paraId="769A04FE" w14:textId="77777777" w:rsidR="004344C5" w:rsidRDefault="004344C5" w:rsidP="00326A6B">
            <w:pPr>
              <w:pStyle w:val="ListParagraph"/>
              <w:numPr>
                <w:ilvl w:val="0"/>
                <w:numId w:val="64"/>
              </w:numPr>
              <w:spacing w:after="0"/>
              <w:jc w:val="both"/>
              <w:rPr>
                <w:rFonts w:asciiTheme="minorHAnsi" w:hAnsiTheme="minorHAnsi" w:cstheme="minorHAnsi"/>
                <w:sz w:val="20"/>
                <w:szCs w:val="20"/>
              </w:rPr>
            </w:pPr>
            <w:r>
              <w:rPr>
                <w:rFonts w:asciiTheme="minorHAnsi" w:hAnsiTheme="minorHAnsi" w:cstheme="minorHAnsi"/>
                <w:b/>
                <w:sz w:val="20"/>
                <w:szCs w:val="20"/>
              </w:rPr>
              <w:t xml:space="preserve">Right to movement </w:t>
            </w:r>
            <w:r>
              <w:rPr>
                <w:rFonts w:asciiTheme="minorHAnsi" w:hAnsiTheme="minorHAnsi" w:cstheme="minorHAnsi"/>
                <w:sz w:val="20"/>
                <w:szCs w:val="20"/>
              </w:rPr>
              <w:t>it is not fully ensured for TB as patients have to receive treatment where they are registered for residence, which is not necessarily the place where they actually reside;</w:t>
            </w:r>
          </w:p>
          <w:p w14:paraId="0DBE696E" w14:textId="77777777" w:rsidR="004344C5" w:rsidRDefault="004344C5" w:rsidP="00326A6B">
            <w:pPr>
              <w:pStyle w:val="ListParagraph"/>
              <w:numPr>
                <w:ilvl w:val="0"/>
                <w:numId w:val="64"/>
              </w:numPr>
              <w:spacing w:after="0"/>
              <w:jc w:val="both"/>
              <w:rPr>
                <w:rFonts w:asciiTheme="minorHAnsi" w:hAnsiTheme="minorHAnsi" w:cstheme="minorHAnsi"/>
                <w:sz w:val="20"/>
                <w:szCs w:val="20"/>
              </w:rPr>
            </w:pPr>
            <w:r>
              <w:rPr>
                <w:rFonts w:asciiTheme="minorHAnsi" w:hAnsiTheme="minorHAnsi" w:cstheme="minorHAnsi"/>
                <w:b/>
                <w:sz w:val="20"/>
                <w:szCs w:val="20"/>
              </w:rPr>
              <w:t>Isolation of children from their parents/ care giver</w:t>
            </w:r>
            <w:r>
              <w:rPr>
                <w:rFonts w:asciiTheme="minorHAnsi" w:hAnsiTheme="minorHAnsi" w:cstheme="minorHAnsi"/>
                <w:sz w:val="20"/>
                <w:szCs w:val="20"/>
              </w:rPr>
              <w:t>s by transporting them to “recovery centers” because of the socioeconomic situation and/or TB infection at home;</w:t>
            </w:r>
          </w:p>
          <w:p w14:paraId="5CDF5CD4" w14:textId="77777777" w:rsidR="004344C5" w:rsidRDefault="004344C5" w:rsidP="00326A6B">
            <w:pPr>
              <w:pStyle w:val="ListParagraph"/>
              <w:numPr>
                <w:ilvl w:val="0"/>
                <w:numId w:val="64"/>
              </w:numPr>
              <w:spacing w:after="0"/>
              <w:jc w:val="both"/>
              <w:rPr>
                <w:rFonts w:asciiTheme="minorHAnsi" w:hAnsiTheme="minorHAnsi" w:cstheme="minorHAnsi"/>
                <w:sz w:val="20"/>
                <w:szCs w:val="20"/>
              </w:rPr>
            </w:pPr>
            <w:r>
              <w:rPr>
                <w:rFonts w:asciiTheme="minorHAnsi" w:hAnsiTheme="minorHAnsi" w:cstheme="minorHAnsi"/>
                <w:b/>
                <w:sz w:val="20"/>
                <w:szCs w:val="20"/>
              </w:rPr>
              <w:t xml:space="preserve">Isolation of mothers from their children </w:t>
            </w:r>
            <w:r>
              <w:rPr>
                <w:rFonts w:asciiTheme="minorHAnsi" w:hAnsiTheme="minorHAnsi" w:cstheme="minorHAnsi"/>
                <w:sz w:val="20"/>
                <w:szCs w:val="20"/>
              </w:rPr>
              <w:t>if the child is under TB treatment in stationary facility;</w:t>
            </w:r>
          </w:p>
          <w:p w14:paraId="7FF90FDF" w14:textId="77777777" w:rsidR="004344C5" w:rsidRDefault="004344C5" w:rsidP="00326A6B">
            <w:pPr>
              <w:pStyle w:val="ListParagraph"/>
              <w:numPr>
                <w:ilvl w:val="0"/>
                <w:numId w:val="64"/>
              </w:numPr>
              <w:spacing w:after="0"/>
              <w:jc w:val="both"/>
              <w:rPr>
                <w:rFonts w:asciiTheme="minorHAnsi" w:hAnsiTheme="minorHAnsi" w:cstheme="minorHAnsi"/>
                <w:sz w:val="20"/>
                <w:szCs w:val="20"/>
              </w:rPr>
            </w:pPr>
            <w:r>
              <w:rPr>
                <w:rFonts w:asciiTheme="minorHAnsi" w:hAnsiTheme="minorHAnsi" w:cstheme="minorHAnsi"/>
                <w:b/>
                <w:sz w:val="20"/>
                <w:szCs w:val="20"/>
              </w:rPr>
              <w:t xml:space="preserve">Restrictive state policies and practices regarding sex work </w:t>
            </w:r>
            <w:r>
              <w:rPr>
                <w:rFonts w:asciiTheme="minorHAnsi" w:hAnsiTheme="minorHAnsi" w:cstheme="minorHAnsi"/>
                <w:sz w:val="20"/>
                <w:szCs w:val="20"/>
              </w:rPr>
              <w:t xml:space="preserve">delay addressing of health services from sex workers living with HIV and / or suffering from TB; </w:t>
            </w:r>
          </w:p>
          <w:p w14:paraId="10E2DC92" w14:textId="77777777" w:rsidR="004344C5" w:rsidRDefault="004344C5" w:rsidP="00326A6B">
            <w:pPr>
              <w:pStyle w:val="ListParagraph"/>
              <w:numPr>
                <w:ilvl w:val="0"/>
                <w:numId w:val="64"/>
              </w:numPr>
              <w:spacing w:after="0"/>
              <w:jc w:val="both"/>
              <w:rPr>
                <w:rFonts w:asciiTheme="minorHAnsi" w:hAnsiTheme="minorHAnsi" w:cstheme="minorHAnsi"/>
                <w:sz w:val="20"/>
                <w:szCs w:val="20"/>
              </w:rPr>
            </w:pPr>
            <w:r>
              <w:rPr>
                <w:rFonts w:asciiTheme="minorHAnsi" w:hAnsiTheme="minorHAnsi" w:cstheme="minorHAnsi"/>
                <w:b/>
                <w:sz w:val="20"/>
                <w:szCs w:val="20"/>
              </w:rPr>
              <w:t>Existing guarantees for job security</w:t>
            </w:r>
            <w:r>
              <w:rPr>
                <w:rFonts w:asciiTheme="minorHAnsi" w:hAnsiTheme="minorHAnsi" w:cstheme="minorHAnsi"/>
                <w:sz w:val="20"/>
                <w:szCs w:val="20"/>
              </w:rPr>
              <w:t xml:space="preserve"> are often not respected in practice by employers, while the person with TB is on medical leave for the entire period of treatment;</w:t>
            </w:r>
          </w:p>
          <w:p w14:paraId="552A2AA2" w14:textId="77777777" w:rsidR="00E62A5C" w:rsidRDefault="00E62A5C" w:rsidP="00C64479">
            <w:pPr>
              <w:spacing w:after="0"/>
              <w:jc w:val="both"/>
              <w:rPr>
                <w:rFonts w:asciiTheme="minorHAnsi" w:hAnsiTheme="minorHAnsi" w:cstheme="minorHAnsi"/>
                <w:sz w:val="20"/>
                <w:szCs w:val="20"/>
              </w:rPr>
            </w:pPr>
          </w:p>
          <w:p w14:paraId="655EC274" w14:textId="679B74DE" w:rsidR="00C64479" w:rsidRDefault="009773FC" w:rsidP="00C64479">
            <w:pPr>
              <w:spacing w:after="0"/>
              <w:jc w:val="both"/>
              <w:rPr>
                <w:rFonts w:asciiTheme="minorHAnsi" w:hAnsiTheme="minorHAnsi" w:cstheme="minorHAnsi"/>
                <w:sz w:val="20"/>
                <w:szCs w:val="20"/>
              </w:rPr>
            </w:pPr>
            <w:r>
              <w:rPr>
                <w:rFonts w:asciiTheme="minorHAnsi" w:hAnsiTheme="minorHAnsi" w:cstheme="minorHAnsi"/>
                <w:sz w:val="20"/>
                <w:szCs w:val="20"/>
              </w:rPr>
              <w:t xml:space="preserve">TB Knowledge Attitudes and Behavior (KAP) </w:t>
            </w:r>
            <w:r w:rsidR="004344C5">
              <w:rPr>
                <w:rFonts w:asciiTheme="minorHAnsi" w:hAnsiTheme="minorHAnsi" w:cstheme="minorHAnsi"/>
                <w:sz w:val="20"/>
                <w:szCs w:val="20"/>
              </w:rPr>
              <w:t>study conducted in 2017</w:t>
            </w:r>
            <w:r>
              <w:rPr>
                <w:rStyle w:val="FootnoteReference"/>
                <w:rFonts w:asciiTheme="minorHAnsi" w:hAnsiTheme="minorHAnsi" w:cstheme="minorHAnsi"/>
                <w:sz w:val="20"/>
                <w:szCs w:val="20"/>
              </w:rPr>
              <w:footnoteReference w:id="45"/>
            </w:r>
            <w:r w:rsidR="00E318D3">
              <w:rPr>
                <w:rFonts w:asciiTheme="minorHAnsi" w:hAnsiTheme="minorHAnsi" w:cstheme="minorHAnsi"/>
                <w:sz w:val="20"/>
                <w:szCs w:val="20"/>
              </w:rPr>
              <w:t xml:space="preserve"> </w:t>
            </w:r>
            <w:r>
              <w:rPr>
                <w:rFonts w:asciiTheme="minorHAnsi" w:hAnsiTheme="minorHAnsi" w:cstheme="minorHAnsi"/>
                <w:sz w:val="20"/>
                <w:szCs w:val="20"/>
              </w:rPr>
              <w:t>surveyed</w:t>
            </w:r>
            <w:r w:rsidR="004344C5">
              <w:rPr>
                <w:rFonts w:asciiTheme="minorHAnsi" w:hAnsiTheme="minorHAnsi" w:cstheme="minorHAnsi"/>
                <w:sz w:val="20"/>
                <w:szCs w:val="20"/>
              </w:rPr>
              <w:t xml:space="preserve"> general population and </w:t>
            </w:r>
            <w:r>
              <w:rPr>
                <w:rFonts w:asciiTheme="minorHAnsi" w:hAnsiTheme="minorHAnsi" w:cstheme="minorHAnsi"/>
                <w:sz w:val="20"/>
                <w:szCs w:val="20"/>
              </w:rPr>
              <w:t>key populations</w:t>
            </w:r>
            <w:r w:rsidR="004344C5">
              <w:rPr>
                <w:rFonts w:asciiTheme="minorHAnsi" w:hAnsiTheme="minorHAnsi" w:cstheme="minorHAnsi"/>
                <w:sz w:val="20"/>
                <w:szCs w:val="20"/>
              </w:rPr>
              <w:t>, namely</w:t>
            </w:r>
            <w:r w:rsidR="00E318D3">
              <w:rPr>
                <w:rFonts w:asciiTheme="minorHAnsi" w:hAnsiTheme="minorHAnsi" w:cstheme="minorHAnsi"/>
                <w:sz w:val="20"/>
                <w:szCs w:val="20"/>
              </w:rPr>
              <w:t xml:space="preserve"> migrants, </w:t>
            </w:r>
            <w:r w:rsidR="004344C5">
              <w:rPr>
                <w:rFonts w:asciiTheme="minorHAnsi" w:hAnsiTheme="minorHAnsi" w:cstheme="minorHAnsi"/>
                <w:sz w:val="20"/>
                <w:szCs w:val="20"/>
              </w:rPr>
              <w:t xml:space="preserve"> PLHIV, PWUD, homeless people and </w:t>
            </w:r>
            <w:r>
              <w:rPr>
                <w:rFonts w:asciiTheme="minorHAnsi" w:hAnsiTheme="minorHAnsi" w:cstheme="minorHAnsi"/>
                <w:sz w:val="20"/>
                <w:szCs w:val="20"/>
              </w:rPr>
              <w:t xml:space="preserve">people in </w:t>
            </w:r>
            <w:r w:rsidR="004344C5">
              <w:rPr>
                <w:rFonts w:asciiTheme="minorHAnsi" w:hAnsiTheme="minorHAnsi" w:cstheme="minorHAnsi"/>
                <w:sz w:val="20"/>
                <w:szCs w:val="20"/>
              </w:rPr>
              <w:t>prisons</w:t>
            </w:r>
            <w:r w:rsidR="00E318D3">
              <w:rPr>
                <w:rFonts w:asciiTheme="minorHAnsi" w:hAnsiTheme="minorHAnsi" w:cstheme="minorHAnsi"/>
                <w:sz w:val="20"/>
                <w:szCs w:val="20"/>
              </w:rPr>
              <w:t xml:space="preserve"> showed much better knowledge about TB in KAPs, and 24% considered TB a stigmatized disease, 50% would avoid disclosing having TB</w:t>
            </w:r>
            <w:r w:rsidR="004344C5">
              <w:rPr>
                <w:rFonts w:asciiTheme="minorHAnsi" w:hAnsiTheme="minorHAnsi" w:cstheme="minorHAnsi"/>
                <w:sz w:val="20"/>
                <w:szCs w:val="20"/>
              </w:rPr>
              <w:t xml:space="preserve">. </w:t>
            </w:r>
            <w:r w:rsidR="00C64479">
              <w:rPr>
                <w:rFonts w:asciiTheme="minorHAnsi" w:hAnsiTheme="minorHAnsi" w:cstheme="minorHAnsi"/>
                <w:sz w:val="20"/>
                <w:szCs w:val="20"/>
              </w:rPr>
              <w:t>The KAP study (2017) showed that although the majority of people, including KP, know about TB as an infectious disease, its transmission and symptoms, misperceptions about the transmission exist and diagnosis of TB is associated with poverty, being of a risk group such as prisoners, homeless or PWUD. Percepti</w:t>
            </w:r>
            <w:r w:rsidR="00E62A5C">
              <w:rPr>
                <w:rFonts w:asciiTheme="minorHAnsi" w:hAnsiTheme="minorHAnsi" w:cstheme="minorHAnsi"/>
                <w:sz w:val="20"/>
                <w:szCs w:val="20"/>
              </w:rPr>
              <w:t xml:space="preserve">ons of TB that the disease is </w:t>
            </w:r>
            <w:r w:rsidR="00C64479">
              <w:rPr>
                <w:rFonts w:asciiTheme="minorHAnsi" w:hAnsiTheme="minorHAnsi" w:cstheme="minorHAnsi"/>
                <w:sz w:val="20"/>
                <w:szCs w:val="20"/>
              </w:rPr>
              <w:t>shame</w:t>
            </w:r>
            <w:r w:rsidR="00E62A5C">
              <w:rPr>
                <w:rFonts w:asciiTheme="minorHAnsi" w:hAnsiTheme="minorHAnsi" w:cstheme="minorHAnsi"/>
                <w:sz w:val="20"/>
                <w:szCs w:val="20"/>
              </w:rPr>
              <w:t>ful</w:t>
            </w:r>
            <w:r w:rsidR="00C64479">
              <w:rPr>
                <w:rFonts w:asciiTheme="minorHAnsi" w:hAnsiTheme="minorHAnsi" w:cstheme="minorHAnsi"/>
                <w:sz w:val="20"/>
                <w:szCs w:val="20"/>
              </w:rPr>
              <w:t>, and people having it would try to hide the diagnosis from others as well, will delay the addressing to health care in many of cases. More activities of awareness raising are needed to improve people knowledge about TB, as well the scale-up of video observed treatment, as a more people-centered approach for TB treatment which also ensure a higher level of confidentiality that daily visits to health facility.  KP have often limited access to TB diagnosis, treatment and care services, those being ensured only through the CSOs and community representatives. Ensuring the sustainability of CSO interventions, including from the public budget, is vital to ensure continuity of access to services for key population groups.</w:t>
            </w:r>
          </w:p>
          <w:p w14:paraId="192F4753" w14:textId="77777777" w:rsidR="00C64479" w:rsidRDefault="00C64479" w:rsidP="004344C5">
            <w:pPr>
              <w:spacing w:after="0"/>
              <w:jc w:val="both"/>
              <w:rPr>
                <w:rFonts w:asciiTheme="minorHAnsi" w:hAnsiTheme="minorHAnsi" w:cstheme="minorHAnsi"/>
                <w:b/>
                <w:sz w:val="20"/>
                <w:szCs w:val="20"/>
              </w:rPr>
            </w:pPr>
          </w:p>
          <w:p w14:paraId="4943101B" w14:textId="7B4706E9" w:rsidR="004344C5" w:rsidRDefault="00C64479" w:rsidP="004344C5">
            <w:pPr>
              <w:spacing w:after="0"/>
              <w:jc w:val="both"/>
              <w:rPr>
                <w:rFonts w:asciiTheme="minorHAnsi" w:hAnsiTheme="minorHAnsi" w:cstheme="minorHAnsi"/>
                <w:b/>
                <w:sz w:val="20"/>
                <w:szCs w:val="20"/>
              </w:rPr>
            </w:pPr>
            <w:r w:rsidRPr="00C64479">
              <w:rPr>
                <w:rFonts w:asciiTheme="minorHAnsi" w:hAnsiTheme="minorHAnsi" w:cstheme="minorHAnsi"/>
                <w:b/>
                <w:sz w:val="20"/>
                <w:szCs w:val="20"/>
              </w:rPr>
              <w:t xml:space="preserve">HIV </w:t>
            </w:r>
          </w:p>
          <w:p w14:paraId="6EE1159F" w14:textId="7E730C00" w:rsidR="00E62A5C" w:rsidRPr="00E62A5C" w:rsidRDefault="00E62A5C" w:rsidP="004344C5">
            <w:pPr>
              <w:spacing w:after="0"/>
              <w:jc w:val="both"/>
              <w:rPr>
                <w:rFonts w:asciiTheme="minorHAnsi" w:hAnsiTheme="minorHAnsi" w:cstheme="minorHAnsi"/>
                <w:sz w:val="20"/>
                <w:szCs w:val="20"/>
              </w:rPr>
            </w:pPr>
            <w:r w:rsidRPr="00E62A5C">
              <w:rPr>
                <w:rFonts w:asciiTheme="minorHAnsi" w:hAnsiTheme="minorHAnsi" w:cstheme="minorHAnsi"/>
                <w:sz w:val="20"/>
                <w:szCs w:val="20"/>
              </w:rPr>
              <w:t xml:space="preserve">Existing legal, administrative and criminalization of drug </w:t>
            </w:r>
            <w:r>
              <w:rPr>
                <w:rFonts w:asciiTheme="minorHAnsi" w:hAnsiTheme="minorHAnsi" w:cstheme="minorHAnsi"/>
                <w:sz w:val="20"/>
                <w:szCs w:val="20"/>
              </w:rPr>
              <w:t>possession</w:t>
            </w:r>
            <w:r w:rsidRPr="00E62A5C">
              <w:rPr>
                <w:rFonts w:asciiTheme="minorHAnsi" w:hAnsiTheme="minorHAnsi" w:cstheme="minorHAnsi"/>
                <w:sz w:val="20"/>
                <w:szCs w:val="20"/>
              </w:rPr>
              <w:t xml:space="preserve"> and sex work and HIV transmission continue to be barriers to accessing prevention and care programs which leads to late presentation and increased HIV mortality. </w:t>
            </w:r>
          </w:p>
          <w:p w14:paraId="2CCDA8C3" w14:textId="5C8194CB" w:rsidR="004344C5" w:rsidRPr="007A5868" w:rsidRDefault="007A5868" w:rsidP="00326A6B">
            <w:pPr>
              <w:pStyle w:val="ListParagraph"/>
              <w:numPr>
                <w:ilvl w:val="0"/>
                <w:numId w:val="72"/>
              </w:numPr>
              <w:spacing w:after="0"/>
              <w:jc w:val="both"/>
              <w:rPr>
                <w:rFonts w:cs="Arial"/>
                <w:sz w:val="20"/>
                <w:szCs w:val="20"/>
              </w:rPr>
            </w:pPr>
            <w:r w:rsidRPr="007A5868">
              <w:rPr>
                <w:rFonts w:asciiTheme="minorHAnsi" w:hAnsiTheme="minorHAnsi" w:cstheme="minorHAnsi"/>
                <w:b/>
                <w:sz w:val="20"/>
                <w:szCs w:val="20"/>
              </w:rPr>
              <w:t>Stigma</w:t>
            </w:r>
            <w:r w:rsidRPr="007A5868">
              <w:rPr>
                <w:rFonts w:asciiTheme="minorHAnsi" w:hAnsiTheme="minorHAnsi" w:cstheme="minorHAnsi"/>
                <w:sz w:val="20"/>
                <w:szCs w:val="20"/>
              </w:rPr>
              <w:t xml:space="preserve"> </w:t>
            </w:r>
            <w:r w:rsidRPr="007A5868">
              <w:rPr>
                <w:rFonts w:asciiTheme="minorHAnsi" w:hAnsiTheme="minorHAnsi" w:cstheme="minorHAnsi"/>
                <w:b/>
                <w:sz w:val="20"/>
                <w:szCs w:val="20"/>
              </w:rPr>
              <w:t>and discrimination</w:t>
            </w:r>
            <w:r>
              <w:rPr>
                <w:rFonts w:asciiTheme="minorHAnsi" w:hAnsiTheme="minorHAnsi" w:cstheme="minorHAnsi"/>
                <w:b/>
                <w:sz w:val="20"/>
                <w:szCs w:val="20"/>
              </w:rPr>
              <w:t>:</w:t>
            </w:r>
            <w:r w:rsidRPr="007A5868">
              <w:rPr>
                <w:rFonts w:asciiTheme="minorHAnsi" w:hAnsiTheme="minorHAnsi" w:cstheme="minorHAnsi"/>
                <w:sz w:val="20"/>
                <w:szCs w:val="20"/>
              </w:rPr>
              <w:t xml:space="preserve"> </w:t>
            </w:r>
            <w:r>
              <w:rPr>
                <w:rFonts w:asciiTheme="minorHAnsi" w:hAnsiTheme="minorHAnsi" w:cstheme="minorHAnsi"/>
                <w:sz w:val="20"/>
                <w:szCs w:val="20"/>
              </w:rPr>
              <w:t>despite progress over year</w:t>
            </w:r>
            <w:r w:rsidRPr="007A5868">
              <w:rPr>
                <w:rFonts w:asciiTheme="minorHAnsi" w:hAnsiTheme="minorHAnsi" w:cstheme="minorHAnsi"/>
                <w:sz w:val="20"/>
                <w:szCs w:val="20"/>
              </w:rPr>
              <w:t xml:space="preserve"> </w:t>
            </w:r>
            <w:r>
              <w:rPr>
                <w:rFonts w:asciiTheme="minorHAnsi" w:hAnsiTheme="minorHAnsi" w:cstheme="minorHAnsi"/>
                <w:sz w:val="20"/>
                <w:szCs w:val="20"/>
              </w:rPr>
              <w:t>the years, it is still high</w:t>
            </w:r>
            <w:r w:rsidRPr="007A5868">
              <w:rPr>
                <w:rFonts w:asciiTheme="minorHAnsi" w:hAnsiTheme="minorHAnsi" w:cstheme="minorHAnsi"/>
                <w:sz w:val="20"/>
                <w:szCs w:val="20"/>
              </w:rPr>
              <w:t xml:space="preserve">. </w:t>
            </w:r>
            <w:r w:rsidR="00E318D3" w:rsidRPr="007A5868">
              <w:rPr>
                <w:rFonts w:asciiTheme="minorHAnsi" w:hAnsiTheme="minorHAnsi" w:cstheme="minorHAnsi"/>
                <w:sz w:val="20"/>
                <w:szCs w:val="20"/>
              </w:rPr>
              <w:t>HIV</w:t>
            </w:r>
            <w:r w:rsidR="004344C5" w:rsidRPr="007A5868">
              <w:rPr>
                <w:rFonts w:asciiTheme="minorHAnsi" w:hAnsiTheme="minorHAnsi" w:cstheme="minorHAnsi"/>
                <w:sz w:val="20"/>
                <w:szCs w:val="20"/>
              </w:rPr>
              <w:t xml:space="preserve"> Stigma Index</w:t>
            </w:r>
            <w:r w:rsidR="004344C5" w:rsidRPr="007A5868">
              <w:rPr>
                <w:rFonts w:cs="Arial"/>
                <w:sz w:val="20"/>
                <w:szCs w:val="20"/>
              </w:rPr>
              <w:t xml:space="preserve"> </w:t>
            </w:r>
            <w:r>
              <w:rPr>
                <w:rFonts w:cs="Arial"/>
                <w:sz w:val="20"/>
                <w:szCs w:val="20"/>
              </w:rPr>
              <w:t>(</w:t>
            </w:r>
            <w:r w:rsidR="004344C5" w:rsidRPr="007A5868">
              <w:rPr>
                <w:rFonts w:cs="Arial"/>
                <w:sz w:val="20"/>
                <w:szCs w:val="20"/>
              </w:rPr>
              <w:t>2018</w:t>
            </w:r>
            <w:r>
              <w:rPr>
                <w:rFonts w:cs="Arial"/>
                <w:sz w:val="20"/>
                <w:szCs w:val="20"/>
              </w:rPr>
              <w:t>)</w:t>
            </w:r>
            <w:r w:rsidR="004344C5" w:rsidRPr="007A5868">
              <w:rPr>
                <w:rFonts w:cs="Arial"/>
                <w:sz w:val="20"/>
                <w:szCs w:val="20"/>
              </w:rPr>
              <w:t>, revealed that four out of ten PLWH experienced discriminatory treat</w:t>
            </w:r>
            <w:r>
              <w:rPr>
                <w:rFonts w:cs="Arial"/>
                <w:sz w:val="20"/>
                <w:szCs w:val="20"/>
              </w:rPr>
              <w:t>ments in the previous 12 months;</w:t>
            </w:r>
            <w:r w:rsidR="004344C5" w:rsidRPr="007A5868">
              <w:rPr>
                <w:rFonts w:cs="Arial"/>
                <w:sz w:val="20"/>
                <w:szCs w:val="20"/>
              </w:rPr>
              <w:t xml:space="preserve"> </w:t>
            </w:r>
            <w:r>
              <w:rPr>
                <w:rFonts w:cs="Arial"/>
                <w:sz w:val="20"/>
                <w:szCs w:val="20"/>
              </w:rPr>
              <w:t>f</w:t>
            </w:r>
            <w:r w:rsidR="004344C5" w:rsidRPr="007A5868">
              <w:rPr>
                <w:rFonts w:cs="Arial"/>
                <w:sz w:val="20"/>
                <w:szCs w:val="20"/>
              </w:rPr>
              <w:t xml:space="preserve">our out of ten people said that their status was disclosed to the third parties, most often it happened in the health system, family or close community. </w:t>
            </w:r>
            <w:r>
              <w:rPr>
                <w:rFonts w:cs="Arial"/>
                <w:sz w:val="20"/>
                <w:szCs w:val="20"/>
              </w:rPr>
              <w:t>Almost all respondents</w:t>
            </w:r>
            <w:r w:rsidR="004344C5" w:rsidRPr="007A5868">
              <w:rPr>
                <w:rFonts w:cs="Arial"/>
                <w:sz w:val="20"/>
                <w:szCs w:val="20"/>
              </w:rPr>
              <w:t xml:space="preserve"> self-stigmatized, experiencing feelings of sha</w:t>
            </w:r>
            <w:r w:rsidR="00E318D3" w:rsidRPr="007A5868">
              <w:rPr>
                <w:rFonts w:cs="Arial"/>
                <w:sz w:val="20"/>
                <w:szCs w:val="20"/>
              </w:rPr>
              <w:t xml:space="preserve">me, </w:t>
            </w:r>
            <w:r w:rsidR="00E318D3" w:rsidRPr="007A5868">
              <w:rPr>
                <w:rFonts w:cs="Arial"/>
                <w:sz w:val="20"/>
                <w:szCs w:val="20"/>
              </w:rPr>
              <w:lastRenderedPageBreak/>
              <w:t>and underestimation</w:t>
            </w:r>
            <w:r>
              <w:rPr>
                <w:rFonts w:cs="Arial"/>
                <w:sz w:val="20"/>
                <w:szCs w:val="20"/>
              </w:rPr>
              <w:t xml:space="preserve">, </w:t>
            </w:r>
            <w:r w:rsidR="00E318D3" w:rsidRPr="007A5868">
              <w:rPr>
                <w:rFonts w:cs="Arial"/>
                <w:sz w:val="20"/>
                <w:szCs w:val="20"/>
              </w:rPr>
              <w:t>6.</w:t>
            </w:r>
            <w:r w:rsidR="004344C5" w:rsidRPr="007A5868">
              <w:rPr>
                <w:rFonts w:cs="Arial"/>
                <w:sz w:val="20"/>
                <w:szCs w:val="20"/>
              </w:rPr>
              <w:t>6% recognized suicidal tendencies</w:t>
            </w:r>
            <w:r w:rsidR="00E318D3">
              <w:rPr>
                <w:rStyle w:val="FootnoteReference"/>
                <w:rFonts w:cs="Arial"/>
                <w:sz w:val="20"/>
                <w:szCs w:val="20"/>
              </w:rPr>
              <w:footnoteReference w:id="46"/>
            </w:r>
            <w:r w:rsidR="004344C5" w:rsidRPr="007A5868">
              <w:rPr>
                <w:rFonts w:cs="Arial"/>
                <w:sz w:val="20"/>
                <w:szCs w:val="20"/>
              </w:rPr>
              <w:t>.</w:t>
            </w:r>
            <w:r>
              <w:rPr>
                <w:rFonts w:asciiTheme="minorHAnsi" w:hAnsiTheme="minorHAnsi" w:cstheme="minorHAnsi"/>
                <w:sz w:val="20"/>
                <w:szCs w:val="20"/>
              </w:rPr>
              <w:t xml:space="preserve"> Discrimination of PLHIV</w:t>
            </w:r>
            <w:r w:rsidRPr="007A5868">
              <w:rPr>
                <w:rFonts w:asciiTheme="minorHAnsi" w:hAnsiTheme="minorHAnsi" w:cstheme="minorHAnsi"/>
                <w:sz w:val="20"/>
                <w:szCs w:val="20"/>
              </w:rPr>
              <w:t xml:space="preserve"> manifests</w:t>
            </w:r>
            <w:r>
              <w:rPr>
                <w:rFonts w:asciiTheme="minorHAnsi" w:hAnsiTheme="minorHAnsi" w:cstheme="minorHAnsi"/>
                <w:sz w:val="20"/>
                <w:szCs w:val="20"/>
              </w:rPr>
              <w:t xml:space="preserve"> in health settings</w:t>
            </w:r>
            <w:r w:rsidRPr="007A5868">
              <w:rPr>
                <w:rFonts w:asciiTheme="minorHAnsi" w:hAnsiTheme="minorHAnsi" w:cstheme="minorHAnsi"/>
                <w:sz w:val="20"/>
                <w:szCs w:val="20"/>
              </w:rPr>
              <w:t xml:space="preserve"> in poor attitudes, </w:t>
            </w:r>
            <w:r>
              <w:rPr>
                <w:rFonts w:asciiTheme="minorHAnsi" w:hAnsiTheme="minorHAnsi" w:cstheme="minorHAnsi"/>
                <w:sz w:val="20"/>
                <w:szCs w:val="20"/>
              </w:rPr>
              <w:t>status disclosure to third parties</w:t>
            </w:r>
            <w:r w:rsidRPr="007A5868">
              <w:rPr>
                <w:rFonts w:asciiTheme="minorHAnsi" w:hAnsiTheme="minorHAnsi" w:cstheme="minorHAnsi"/>
                <w:sz w:val="20"/>
                <w:szCs w:val="20"/>
              </w:rPr>
              <w:t>, refusing medical services</w:t>
            </w:r>
            <w:r>
              <w:rPr>
                <w:rFonts w:asciiTheme="minorHAnsi" w:hAnsiTheme="minorHAnsi" w:cstheme="minorHAnsi"/>
                <w:sz w:val="20"/>
                <w:szCs w:val="20"/>
              </w:rPr>
              <w:t>.</w:t>
            </w:r>
          </w:p>
          <w:p w14:paraId="68CD7926" w14:textId="77777777" w:rsidR="000F2330" w:rsidRDefault="007A5868" w:rsidP="00326A6B">
            <w:pPr>
              <w:pStyle w:val="ListParagraph"/>
              <w:numPr>
                <w:ilvl w:val="0"/>
                <w:numId w:val="72"/>
              </w:numPr>
              <w:spacing w:after="0"/>
              <w:jc w:val="both"/>
              <w:rPr>
                <w:rFonts w:cs="Arial"/>
                <w:sz w:val="20"/>
                <w:szCs w:val="20"/>
              </w:rPr>
            </w:pPr>
            <w:r>
              <w:rPr>
                <w:rFonts w:cs="Arial"/>
                <w:b/>
                <w:sz w:val="20"/>
                <w:szCs w:val="20"/>
              </w:rPr>
              <w:t xml:space="preserve">High levels of intolerance towards KPs. </w:t>
            </w:r>
            <w:r w:rsidR="000F2330" w:rsidRPr="000F2330">
              <w:rPr>
                <w:rFonts w:cs="Arial"/>
                <w:sz w:val="20"/>
                <w:szCs w:val="20"/>
              </w:rPr>
              <w:t xml:space="preserve">Social Cohesion and Reconciliation </w:t>
            </w:r>
            <w:r w:rsidR="000F2330">
              <w:rPr>
                <w:rFonts w:cs="Arial"/>
                <w:sz w:val="20"/>
                <w:szCs w:val="20"/>
              </w:rPr>
              <w:t>(</w:t>
            </w:r>
            <w:r w:rsidRPr="000F2330">
              <w:rPr>
                <w:rFonts w:cs="Arial"/>
                <w:sz w:val="20"/>
                <w:szCs w:val="20"/>
              </w:rPr>
              <w:t>SCORE</w:t>
            </w:r>
            <w:r w:rsidR="000F2330">
              <w:rPr>
                <w:rFonts w:cs="Arial"/>
                <w:sz w:val="20"/>
                <w:szCs w:val="20"/>
              </w:rPr>
              <w:t>)</w:t>
            </w:r>
            <w:r w:rsidRPr="000F2330">
              <w:rPr>
                <w:rFonts w:cs="Arial"/>
                <w:sz w:val="20"/>
                <w:szCs w:val="20"/>
              </w:rPr>
              <w:t xml:space="preserve"> </w:t>
            </w:r>
            <w:r w:rsidR="000F2330">
              <w:rPr>
                <w:rFonts w:cs="Arial"/>
                <w:sz w:val="20"/>
                <w:szCs w:val="20"/>
              </w:rPr>
              <w:t>2018 measured</w:t>
            </w:r>
            <w:r w:rsidRPr="007A5868">
              <w:rPr>
                <w:rFonts w:cs="Arial"/>
                <w:sz w:val="20"/>
                <w:szCs w:val="20"/>
              </w:rPr>
              <w:t xml:space="preserve"> social tolerance of general population towards people left behind, including people living with HIV, sex workers, people who use drugs and LGBTQI community. The study reveals that approximately 88% would not accept living in the same community with SW, PWUD, LGBTQI, while about 66% - PLHIV</w:t>
            </w:r>
            <w:r w:rsidR="000F2330">
              <w:rPr>
                <w:rFonts w:cs="Arial"/>
                <w:sz w:val="20"/>
                <w:szCs w:val="20"/>
              </w:rPr>
              <w:t xml:space="preserve">, pointing to </w:t>
            </w:r>
            <w:r w:rsidRPr="007A5868">
              <w:rPr>
                <w:rFonts w:cs="Arial"/>
                <w:sz w:val="20"/>
                <w:szCs w:val="20"/>
              </w:rPr>
              <w:t>a discriminatory and homophobic society, which influences negatively access the health services</w:t>
            </w:r>
            <w:r>
              <w:rPr>
                <w:rStyle w:val="FootnoteReference"/>
                <w:rFonts w:cs="Arial"/>
                <w:sz w:val="20"/>
                <w:szCs w:val="20"/>
              </w:rPr>
              <w:footnoteReference w:id="47"/>
            </w:r>
            <w:r w:rsidRPr="007A5868">
              <w:rPr>
                <w:rFonts w:cs="Arial"/>
                <w:sz w:val="20"/>
                <w:szCs w:val="20"/>
              </w:rPr>
              <w:t xml:space="preserve">.   Human rights perception study 2018, guided by UNDP&amp;OHCHR </w:t>
            </w:r>
            <w:r w:rsidR="000F2330">
              <w:rPr>
                <w:rFonts w:cs="Arial"/>
                <w:sz w:val="20"/>
                <w:szCs w:val="20"/>
              </w:rPr>
              <w:t xml:space="preserve"> on human rights</w:t>
            </w:r>
            <w:r w:rsidRPr="007A5868">
              <w:rPr>
                <w:rFonts w:cs="Arial"/>
                <w:sz w:val="20"/>
                <w:szCs w:val="20"/>
              </w:rPr>
              <w:t xml:space="preserve"> reveal</w:t>
            </w:r>
            <w:r w:rsidR="000F2330">
              <w:rPr>
                <w:rFonts w:cs="Arial"/>
                <w:sz w:val="20"/>
                <w:szCs w:val="20"/>
              </w:rPr>
              <w:t>ed t</w:t>
            </w:r>
            <w:r w:rsidRPr="007A5868">
              <w:rPr>
                <w:rFonts w:cs="Arial"/>
                <w:sz w:val="20"/>
                <w:szCs w:val="20"/>
              </w:rPr>
              <w:t>hat right to heal</w:t>
            </w:r>
            <w:r w:rsidR="000F2330">
              <w:rPr>
                <w:rFonts w:cs="Arial"/>
                <w:sz w:val="20"/>
                <w:szCs w:val="20"/>
              </w:rPr>
              <w:t>th is not fully fulfilled and PL</w:t>
            </w:r>
            <w:r w:rsidRPr="007A5868">
              <w:rPr>
                <w:rFonts w:cs="Arial"/>
                <w:sz w:val="20"/>
                <w:szCs w:val="20"/>
              </w:rPr>
              <w:t>H</w:t>
            </w:r>
            <w:r w:rsidR="000F2330">
              <w:rPr>
                <w:rFonts w:cs="Arial"/>
                <w:sz w:val="20"/>
                <w:szCs w:val="20"/>
              </w:rPr>
              <w:t xml:space="preserve">IV and </w:t>
            </w:r>
            <w:r w:rsidRPr="007A5868">
              <w:rPr>
                <w:rFonts w:cs="Arial"/>
                <w:sz w:val="20"/>
                <w:szCs w:val="20"/>
              </w:rPr>
              <w:t>LGBT communities remain the most stigmatized and left behind people.</w:t>
            </w:r>
            <w:r>
              <w:rPr>
                <w:rStyle w:val="FootnoteReference"/>
                <w:rFonts w:cs="Arial"/>
                <w:sz w:val="20"/>
                <w:szCs w:val="20"/>
              </w:rPr>
              <w:footnoteReference w:id="48"/>
            </w:r>
          </w:p>
          <w:p w14:paraId="10F6E93C" w14:textId="3F518192" w:rsidR="000F2330" w:rsidRDefault="000F2330" w:rsidP="00326A6B">
            <w:pPr>
              <w:pStyle w:val="ListParagraph"/>
              <w:numPr>
                <w:ilvl w:val="0"/>
                <w:numId w:val="72"/>
              </w:numPr>
              <w:spacing w:after="0"/>
              <w:jc w:val="both"/>
              <w:rPr>
                <w:rFonts w:cs="Arial"/>
                <w:sz w:val="20"/>
                <w:szCs w:val="20"/>
              </w:rPr>
            </w:pPr>
            <w:r w:rsidRPr="000F2330">
              <w:rPr>
                <w:rFonts w:cs="Arial"/>
                <w:b/>
                <w:sz w:val="20"/>
                <w:szCs w:val="20"/>
              </w:rPr>
              <w:t>Gender–related barriers</w:t>
            </w:r>
            <w:r w:rsidRPr="000F2330">
              <w:rPr>
                <w:rFonts w:cs="Arial"/>
                <w:sz w:val="20"/>
                <w:szCs w:val="20"/>
              </w:rPr>
              <w:t>: an assessment on women LWH economic, human rights, SRH needs revealed many barriers for the women LWH to be empowered and to realize fully their fundamental rights. Report on Costing Domestic Violence and Violence Against Women in Moldova</w:t>
            </w:r>
            <w:r>
              <w:rPr>
                <w:rStyle w:val="FootnoteReference"/>
                <w:rFonts w:cs="Arial"/>
                <w:sz w:val="20"/>
                <w:szCs w:val="20"/>
              </w:rPr>
              <w:footnoteReference w:id="49"/>
            </w:r>
            <w:r w:rsidRPr="000F2330">
              <w:rPr>
                <w:rFonts w:cs="Arial"/>
                <w:sz w:val="20"/>
                <w:szCs w:val="20"/>
              </w:rPr>
              <w:t xml:space="preserve"> recommendations informed advocacy for a new comprehensive strategic document on fighting violence against women and domestic violence in Moldova approved by Government in 2018. Moldova has a National Strategy on prevention and combating violence against women and domestic violence for 2018-2023 and national efforts to make tangible progress in reducing violence against women and children is ongoing with multiple donor support.</w:t>
            </w:r>
            <w:r w:rsidR="00E62A5C">
              <w:rPr>
                <w:rFonts w:cs="Arial"/>
                <w:sz w:val="20"/>
                <w:szCs w:val="20"/>
              </w:rPr>
              <w:t xml:space="preserve"> Donors support a number of efforts to address gender inequality, and human rights violations towards women, girls and transgender, i.e. gender academy. </w:t>
            </w:r>
          </w:p>
          <w:p w14:paraId="66EAC67B" w14:textId="3E83A15D" w:rsidR="0071110F" w:rsidRDefault="004344C5" w:rsidP="00326A6B">
            <w:pPr>
              <w:pStyle w:val="ListParagraph"/>
              <w:numPr>
                <w:ilvl w:val="0"/>
                <w:numId w:val="72"/>
              </w:numPr>
              <w:spacing w:after="0"/>
              <w:jc w:val="both"/>
              <w:rPr>
                <w:rFonts w:cs="Arial"/>
                <w:sz w:val="20"/>
                <w:szCs w:val="20"/>
              </w:rPr>
            </w:pPr>
            <w:r w:rsidRPr="000F2330">
              <w:rPr>
                <w:rFonts w:cs="Arial"/>
                <w:b/>
                <w:sz w:val="20"/>
                <w:szCs w:val="20"/>
              </w:rPr>
              <w:t xml:space="preserve">Human rights: </w:t>
            </w:r>
            <w:r w:rsidRPr="000F2330">
              <w:rPr>
                <w:rFonts w:cs="Arial"/>
                <w:sz w:val="20"/>
                <w:szCs w:val="20"/>
              </w:rPr>
              <w:t>HIV Legal Environment Assessment (LEA) developed under UN leadership provide</w:t>
            </w:r>
            <w:r w:rsidR="00E318D3" w:rsidRPr="000F2330">
              <w:rPr>
                <w:rFonts w:cs="Arial"/>
                <w:sz w:val="20"/>
                <w:szCs w:val="20"/>
              </w:rPr>
              <w:t>d</w:t>
            </w:r>
            <w:r w:rsidRPr="000F2330">
              <w:rPr>
                <w:rFonts w:cs="Arial"/>
                <w:sz w:val="20"/>
                <w:szCs w:val="20"/>
              </w:rPr>
              <w:t xml:space="preserve"> over 70 recommendations for potential legislative changes and will serve as guidance for national authorities in undertaking sector-wide reforms, compliant with international standards and best practices. LEA informs about HIV transmission, sex work and use of drugs criminalization, as well as legal </w:t>
            </w:r>
            <w:r w:rsidRPr="0083536E">
              <w:rPr>
                <w:rFonts w:cs="Arial"/>
                <w:sz w:val="20"/>
                <w:szCs w:val="20"/>
              </w:rPr>
              <w:t xml:space="preserve">aspect related to confidentiality, and norms that would impede the full range of health, education, work rights.  </w:t>
            </w:r>
            <w:r w:rsidR="00E318D3" w:rsidRPr="0083536E">
              <w:rPr>
                <w:rFonts w:cs="Arial"/>
                <w:sz w:val="20"/>
                <w:szCs w:val="20"/>
              </w:rPr>
              <w:t xml:space="preserve">(Annex </w:t>
            </w:r>
            <w:r w:rsidR="0083536E" w:rsidRPr="0083536E">
              <w:rPr>
                <w:rFonts w:cs="Arial"/>
                <w:sz w:val="20"/>
                <w:szCs w:val="20"/>
              </w:rPr>
              <w:t>17</w:t>
            </w:r>
            <w:r w:rsidR="00E318D3" w:rsidRPr="0083536E">
              <w:rPr>
                <w:rFonts w:cs="Arial"/>
                <w:sz w:val="20"/>
                <w:szCs w:val="20"/>
              </w:rPr>
              <w:t>)</w:t>
            </w:r>
          </w:p>
          <w:p w14:paraId="376A47FA" w14:textId="5C1E2844" w:rsidR="000F2330" w:rsidRPr="000F2330" w:rsidRDefault="002F1AF0" w:rsidP="00326A6B">
            <w:pPr>
              <w:pStyle w:val="ListParagraph"/>
              <w:numPr>
                <w:ilvl w:val="0"/>
                <w:numId w:val="72"/>
              </w:numPr>
              <w:spacing w:after="0"/>
              <w:jc w:val="both"/>
              <w:rPr>
                <w:rFonts w:cs="Arial"/>
                <w:sz w:val="20"/>
                <w:szCs w:val="20"/>
              </w:rPr>
            </w:pPr>
            <w:r w:rsidRPr="002F1AF0">
              <w:rPr>
                <w:rFonts w:cs="Arial"/>
                <w:b/>
                <w:sz w:val="20"/>
                <w:szCs w:val="20"/>
              </w:rPr>
              <w:t>Criminalization of drug possession</w:t>
            </w:r>
            <w:r>
              <w:rPr>
                <w:rFonts w:cs="Arial"/>
                <w:sz w:val="20"/>
                <w:szCs w:val="20"/>
              </w:rPr>
              <w:t xml:space="preserve">: </w:t>
            </w:r>
            <w:r w:rsidR="00E62A5C">
              <w:rPr>
                <w:rFonts w:cs="Arial"/>
                <w:sz w:val="20"/>
                <w:szCs w:val="20"/>
              </w:rPr>
              <w:t xml:space="preserve">While drug use per se was decriminalized, </w:t>
            </w:r>
            <w:r>
              <w:rPr>
                <w:rFonts w:cs="Arial"/>
                <w:sz w:val="20"/>
                <w:szCs w:val="20"/>
              </w:rPr>
              <w:t>drug possession irrespective of</w:t>
            </w:r>
            <w:r w:rsidR="00E62A5C">
              <w:rPr>
                <w:rFonts w:cs="Arial"/>
                <w:sz w:val="20"/>
                <w:szCs w:val="20"/>
              </w:rPr>
              <w:t xml:space="preserve"> amount of drugs is subject to criminal law. </w:t>
            </w:r>
          </w:p>
        </w:tc>
      </w:tr>
    </w:tbl>
    <w:p w14:paraId="413D59C4" w14:textId="2B459317" w:rsidR="00485066" w:rsidRPr="00B271DB" w:rsidRDefault="00485066" w:rsidP="001F7F10">
      <w:pPr>
        <w:spacing w:after="0"/>
        <w:rPr>
          <w:rFonts w:cs="Arial"/>
          <w:bCs/>
        </w:rPr>
      </w:pPr>
    </w:p>
    <w:p w14:paraId="22D17666" w14:textId="40C7A9E0" w:rsidR="00CB63FE" w:rsidRDefault="005E4CE2" w:rsidP="005E4CE2">
      <w:pPr>
        <w:spacing w:after="0"/>
        <w:jc w:val="both"/>
      </w:pPr>
      <w:r>
        <w:rPr>
          <w:rFonts w:cs="Arial"/>
        </w:rPr>
        <w:t>b</w:t>
      </w:r>
      <w:r w:rsidR="001D5CEF" w:rsidRPr="00BF4BEE">
        <w:rPr>
          <w:rFonts w:cs="Arial"/>
          <w:bCs/>
          <w:iCs/>
        </w:rPr>
        <w:t xml:space="preserve">) </w:t>
      </w:r>
      <w:r w:rsidR="00F112AD">
        <w:rPr>
          <w:rFonts w:cs="Arial"/>
          <w:bCs/>
          <w:iCs/>
        </w:rPr>
        <w:t>Summarize</w:t>
      </w:r>
      <w:r w:rsidR="00CB63FE" w:rsidRPr="008C21CF">
        <w:rPr>
          <w:rFonts w:cs="Arial"/>
          <w:bCs/>
          <w:iCs/>
        </w:rPr>
        <w:t xml:space="preserve"> the</w:t>
      </w:r>
      <w:r w:rsidR="005279BC" w:rsidRPr="008C21CF">
        <w:rPr>
          <w:rFonts w:cs="Arial"/>
          <w:bCs/>
          <w:iCs/>
        </w:rPr>
        <w:t xml:space="preserve"> </w:t>
      </w:r>
      <w:r w:rsidR="005279BC" w:rsidRPr="0096146C">
        <w:rPr>
          <w:rFonts w:cs="Arial"/>
          <w:b/>
          <w:bCs/>
          <w:iCs/>
        </w:rPr>
        <w:t>approach used for</w:t>
      </w:r>
      <w:r w:rsidR="00CB63FE" w:rsidRPr="0096146C">
        <w:rPr>
          <w:rFonts w:cs="Arial"/>
          <w:b/>
          <w:bCs/>
          <w:iCs/>
        </w:rPr>
        <w:t xml:space="preserve"> </w:t>
      </w:r>
      <w:r w:rsidR="00326A25" w:rsidRPr="0096146C">
        <w:rPr>
          <w:rFonts w:cs="Arial"/>
          <w:b/>
          <w:bCs/>
          <w:iCs/>
        </w:rPr>
        <w:t xml:space="preserve">the </w:t>
      </w:r>
      <w:r w:rsidR="005279BC" w:rsidRPr="0096146C">
        <w:rPr>
          <w:rFonts w:cs="Arial"/>
          <w:b/>
          <w:bCs/>
          <w:iCs/>
        </w:rPr>
        <w:t>prioritization</w:t>
      </w:r>
      <w:r w:rsidR="005279BC" w:rsidRPr="008C21CF">
        <w:rPr>
          <w:rFonts w:cs="Arial"/>
          <w:bCs/>
          <w:iCs/>
        </w:rPr>
        <w:t xml:space="preserve"> of </w:t>
      </w:r>
      <w:r w:rsidR="00CD0532">
        <w:rPr>
          <w:rFonts w:cs="Arial"/>
          <w:bCs/>
          <w:iCs/>
        </w:rPr>
        <w:t>modules</w:t>
      </w:r>
      <w:r w:rsidR="00FE5CDB">
        <w:rPr>
          <w:rFonts w:cs="Arial"/>
          <w:bCs/>
          <w:iCs/>
        </w:rPr>
        <w:t xml:space="preserve"> and</w:t>
      </w:r>
      <w:r w:rsidR="00CB63FE" w:rsidRPr="008C21CF">
        <w:rPr>
          <w:rFonts w:cs="Arial"/>
          <w:bCs/>
          <w:iCs/>
        </w:rPr>
        <w:t xml:space="preserve"> interventions</w:t>
      </w:r>
      <w:r w:rsidR="00282E1F">
        <w:rPr>
          <w:rFonts w:cs="Arial"/>
          <w:bCs/>
          <w:iCs/>
        </w:rPr>
        <w:t xml:space="preserve"> (</w:t>
      </w:r>
      <w:r w:rsidR="002F5A38">
        <w:rPr>
          <w:rFonts w:cs="Arial"/>
          <w:bCs/>
          <w:iCs/>
        </w:rPr>
        <w:t xml:space="preserve">or in the case of </w:t>
      </w:r>
      <w:r w:rsidR="00F112AD">
        <w:rPr>
          <w:rFonts w:cs="Arial"/>
          <w:bCs/>
          <w:iCs/>
        </w:rPr>
        <w:t>P</w:t>
      </w:r>
      <w:r w:rsidR="0008377E">
        <w:rPr>
          <w:rFonts w:cs="Arial"/>
          <w:bCs/>
          <w:iCs/>
        </w:rPr>
        <w:t>ayment</w:t>
      </w:r>
      <w:r w:rsidR="00F112AD">
        <w:rPr>
          <w:rFonts w:cs="Arial"/>
          <w:bCs/>
          <w:iCs/>
        </w:rPr>
        <w:t xml:space="preserve"> f</w:t>
      </w:r>
      <w:r w:rsidR="0008377E">
        <w:rPr>
          <w:rFonts w:cs="Arial"/>
          <w:bCs/>
          <w:iCs/>
        </w:rPr>
        <w:t>or</w:t>
      </w:r>
      <w:r w:rsidR="00F112AD">
        <w:rPr>
          <w:rFonts w:cs="Arial"/>
          <w:bCs/>
          <w:iCs/>
        </w:rPr>
        <w:t xml:space="preserve"> R</w:t>
      </w:r>
      <w:r w:rsidR="0008377E">
        <w:rPr>
          <w:rFonts w:cs="Arial"/>
          <w:bCs/>
          <w:iCs/>
        </w:rPr>
        <w:t>esults</w:t>
      </w:r>
      <w:r w:rsidR="002F5A38">
        <w:rPr>
          <w:rFonts w:cs="Arial"/>
          <w:bCs/>
          <w:iCs/>
        </w:rPr>
        <w:t>,</w:t>
      </w:r>
      <w:r w:rsidR="0008377E">
        <w:rPr>
          <w:rFonts w:cs="Arial"/>
          <w:bCs/>
          <w:iCs/>
        </w:rPr>
        <w:t xml:space="preserve"> the</w:t>
      </w:r>
      <w:r w:rsidR="00CB63FE" w:rsidRPr="008C21CF">
        <w:rPr>
          <w:rFonts w:cs="Arial"/>
          <w:bCs/>
          <w:iCs/>
        </w:rPr>
        <w:t xml:space="preserve"> performance indicators and/or milestones</w:t>
      </w:r>
      <w:r w:rsidR="00282E1F">
        <w:rPr>
          <w:rFonts w:cs="Arial"/>
          <w:bCs/>
          <w:iCs/>
        </w:rPr>
        <w:t>)</w:t>
      </w:r>
      <w:r w:rsidR="00CB63FE" w:rsidRPr="008C21CF">
        <w:rPr>
          <w:rFonts w:cs="Arial"/>
          <w:bCs/>
          <w:iCs/>
        </w:rPr>
        <w:t>.</w:t>
      </w:r>
      <w:r w:rsidR="004807FB" w:rsidRPr="00BF4BEE">
        <w:t xml:space="preserve"> </w:t>
      </w:r>
    </w:p>
    <w:p w14:paraId="6BF04C29" w14:textId="77777777" w:rsidR="00C011D1" w:rsidRPr="004807FB" w:rsidRDefault="00C011D1" w:rsidP="00561767">
      <w:pPr>
        <w:spacing w:after="0"/>
        <w:ind w:left="270" w:hanging="270"/>
        <w:jc w:val="both"/>
        <w:rPr>
          <w:rFonts w:cs="Arial"/>
          <w:bCs/>
          <w:iCs/>
        </w:rPr>
      </w:pPr>
    </w:p>
    <w:tbl>
      <w:tblPr>
        <w:tblStyle w:val="TableGrid"/>
        <w:tblW w:w="0" w:type="auto"/>
        <w:tblLook w:val="04A0" w:firstRow="1" w:lastRow="0" w:firstColumn="1" w:lastColumn="0" w:noHBand="0" w:noVBand="1"/>
      </w:tblPr>
      <w:tblGrid>
        <w:gridCol w:w="10456"/>
      </w:tblGrid>
      <w:tr w:rsidR="00CB63FE" w14:paraId="1E016E79" w14:textId="77777777" w:rsidTr="00CB63FE">
        <w:tc>
          <w:tcPr>
            <w:tcW w:w="10790" w:type="dxa"/>
            <w:tcBorders>
              <w:top w:val="single" w:sz="4" w:space="0" w:color="auto"/>
              <w:left w:val="single" w:sz="4" w:space="0" w:color="auto"/>
              <w:bottom w:val="single" w:sz="4" w:space="0" w:color="auto"/>
              <w:right w:val="single" w:sz="4" w:space="0" w:color="auto"/>
            </w:tcBorders>
          </w:tcPr>
          <w:p w14:paraId="79485B9A" w14:textId="4C70C22B" w:rsidR="0015208B" w:rsidRPr="00FA4380" w:rsidRDefault="0015208B" w:rsidP="006D106F">
            <w:pPr>
              <w:spacing w:after="0"/>
              <w:jc w:val="both"/>
              <w:rPr>
                <w:rFonts w:cs="Arial"/>
                <w:sz w:val="20"/>
                <w:szCs w:val="20"/>
              </w:rPr>
            </w:pPr>
            <w:r w:rsidRPr="00FA4380">
              <w:rPr>
                <w:rFonts w:cs="Arial"/>
                <w:b/>
                <w:sz w:val="20"/>
                <w:szCs w:val="20"/>
              </w:rPr>
              <w:t>Country dialogue</w:t>
            </w:r>
            <w:r w:rsidRPr="00FA4380">
              <w:rPr>
                <w:rFonts w:cs="Arial"/>
                <w:sz w:val="20"/>
                <w:szCs w:val="20"/>
              </w:rPr>
              <w:t xml:space="preserve">: the country dialogue started following receipt of the </w:t>
            </w:r>
            <w:r>
              <w:rPr>
                <w:rFonts w:cs="Arial"/>
                <w:sz w:val="20"/>
                <w:szCs w:val="20"/>
              </w:rPr>
              <w:t>A</w:t>
            </w:r>
            <w:r w:rsidRPr="00FA4380">
              <w:rPr>
                <w:rFonts w:cs="Arial"/>
                <w:sz w:val="20"/>
                <w:szCs w:val="20"/>
              </w:rPr>
              <w:t xml:space="preserve">llocation </w:t>
            </w:r>
            <w:r>
              <w:rPr>
                <w:rFonts w:cs="Arial"/>
                <w:sz w:val="20"/>
                <w:szCs w:val="20"/>
              </w:rPr>
              <w:t>L</w:t>
            </w:r>
            <w:r w:rsidRPr="00FA4380">
              <w:rPr>
                <w:rFonts w:cs="Arial"/>
                <w:sz w:val="20"/>
                <w:szCs w:val="20"/>
              </w:rPr>
              <w:t>etter on December 16, 2019 and the Portfolio Analysis communicating the funding envelope and requesting</w:t>
            </w:r>
            <w:r>
              <w:rPr>
                <w:rFonts w:cs="Arial"/>
                <w:sz w:val="20"/>
                <w:szCs w:val="20"/>
              </w:rPr>
              <w:t xml:space="preserve"> a joint TB/HIV funding request. </w:t>
            </w:r>
            <w:r w:rsidRPr="0083536E">
              <w:rPr>
                <w:rFonts w:cs="Arial"/>
                <w:sz w:val="20"/>
                <w:szCs w:val="20"/>
              </w:rPr>
              <w:t xml:space="preserve">On January </w:t>
            </w:r>
            <w:r w:rsidR="000D3F2F">
              <w:rPr>
                <w:rFonts w:cs="Arial"/>
                <w:sz w:val="20"/>
                <w:szCs w:val="20"/>
              </w:rPr>
              <w:t xml:space="preserve">24, </w:t>
            </w:r>
            <w:r w:rsidRPr="0083536E">
              <w:rPr>
                <w:rFonts w:cs="Arial"/>
                <w:sz w:val="20"/>
                <w:szCs w:val="20"/>
              </w:rPr>
              <w:t xml:space="preserve">2020 the CCM set the timeline for submission for Window 2 and decided to initiate the funding </w:t>
            </w:r>
            <w:r w:rsidRPr="00FA4380">
              <w:rPr>
                <w:rFonts w:cs="Arial"/>
                <w:sz w:val="20"/>
                <w:szCs w:val="20"/>
              </w:rPr>
              <w:t xml:space="preserve">request </w:t>
            </w:r>
            <w:r>
              <w:rPr>
                <w:rFonts w:cs="Arial"/>
                <w:sz w:val="20"/>
                <w:szCs w:val="20"/>
              </w:rPr>
              <w:t xml:space="preserve">development </w:t>
            </w:r>
            <w:r w:rsidRPr="00FA4380">
              <w:rPr>
                <w:rFonts w:cs="Arial"/>
                <w:sz w:val="20"/>
                <w:szCs w:val="20"/>
              </w:rPr>
              <w:t xml:space="preserve">after the TB and HIV </w:t>
            </w:r>
            <w:r>
              <w:rPr>
                <w:rFonts w:cs="Arial"/>
                <w:sz w:val="20"/>
                <w:szCs w:val="20"/>
              </w:rPr>
              <w:t>n</w:t>
            </w:r>
            <w:r w:rsidRPr="00FA4380">
              <w:rPr>
                <w:rFonts w:cs="Arial"/>
                <w:sz w:val="20"/>
                <w:szCs w:val="20"/>
              </w:rPr>
              <w:t>ational working groups develop the first drafts of TB National Programs and HIV National Program for the years 2021-2025</w:t>
            </w:r>
            <w:r>
              <w:rPr>
                <w:rFonts w:cs="Arial"/>
                <w:sz w:val="20"/>
                <w:szCs w:val="20"/>
              </w:rPr>
              <w:t>, using the opportunity to fully align the funding request to the national programs.</w:t>
            </w:r>
            <w:r w:rsidRPr="00FA4380">
              <w:rPr>
                <w:rFonts w:cs="Arial"/>
                <w:sz w:val="20"/>
                <w:szCs w:val="20"/>
              </w:rPr>
              <w:t xml:space="preserve"> The country dialogue coincided in time with the onset of COVID-19 epidemic in the country and the national emergency response to it. The 1</w:t>
            </w:r>
            <w:r w:rsidRPr="00FA4380">
              <w:rPr>
                <w:rFonts w:cs="Arial"/>
                <w:sz w:val="20"/>
                <w:szCs w:val="20"/>
                <w:vertAlign w:val="superscript"/>
              </w:rPr>
              <w:t>st</w:t>
            </w:r>
            <w:r w:rsidRPr="00FA4380">
              <w:rPr>
                <w:rFonts w:cs="Arial"/>
                <w:sz w:val="20"/>
                <w:szCs w:val="20"/>
              </w:rPr>
              <w:t xml:space="preserve"> case of COVID-19 was registered on March 7</w:t>
            </w:r>
            <w:r w:rsidRPr="00FA4380">
              <w:rPr>
                <w:rFonts w:cs="Arial"/>
                <w:sz w:val="20"/>
                <w:szCs w:val="20"/>
                <w:vertAlign w:val="superscript"/>
              </w:rPr>
              <w:t>th</w:t>
            </w:r>
            <w:r w:rsidRPr="00FA4380">
              <w:rPr>
                <w:rFonts w:cs="Arial"/>
                <w:sz w:val="20"/>
                <w:szCs w:val="20"/>
              </w:rPr>
              <w:t xml:space="preserve"> and the national lockdown was instituted since March 15, 2020 and</w:t>
            </w:r>
            <w:r w:rsidR="008E4748">
              <w:rPr>
                <w:rFonts w:cs="Arial"/>
                <w:sz w:val="20"/>
                <w:szCs w:val="20"/>
              </w:rPr>
              <w:t xml:space="preserve"> partial movement restrictions in force</w:t>
            </w:r>
            <w:r w:rsidRPr="00FA4380">
              <w:rPr>
                <w:rFonts w:cs="Arial"/>
                <w:sz w:val="20"/>
                <w:szCs w:val="20"/>
              </w:rPr>
              <w:t xml:space="preserve"> until the submission. Despite COVID-19 related challenges, Moldova has ensured an all-inclusive approach to development of both the TB and HIV NSPs and the funding request, through wide </w:t>
            </w:r>
            <w:r>
              <w:rPr>
                <w:rFonts w:cs="Arial"/>
                <w:sz w:val="20"/>
                <w:szCs w:val="20"/>
              </w:rPr>
              <w:t xml:space="preserve">remote </w:t>
            </w:r>
            <w:r w:rsidRPr="00FA4380">
              <w:rPr>
                <w:rFonts w:cs="Arial"/>
                <w:sz w:val="20"/>
                <w:szCs w:val="20"/>
              </w:rPr>
              <w:t>consultations with</w:t>
            </w:r>
            <w:r>
              <w:rPr>
                <w:rFonts w:cs="Arial"/>
                <w:sz w:val="20"/>
                <w:szCs w:val="20"/>
              </w:rPr>
              <w:t xml:space="preserve"> key populations and</w:t>
            </w:r>
            <w:r w:rsidRPr="00FA4380">
              <w:rPr>
                <w:rFonts w:cs="Arial"/>
                <w:sz w:val="20"/>
                <w:szCs w:val="20"/>
              </w:rPr>
              <w:t xml:space="preserve"> communities affected by the epidemics, </w:t>
            </w:r>
            <w:r>
              <w:rPr>
                <w:rFonts w:cs="Arial"/>
                <w:sz w:val="20"/>
                <w:szCs w:val="20"/>
              </w:rPr>
              <w:t xml:space="preserve">civil society actors, </w:t>
            </w:r>
            <w:r w:rsidRPr="00FA4380">
              <w:rPr>
                <w:rFonts w:cs="Arial"/>
                <w:sz w:val="20"/>
                <w:szCs w:val="20"/>
              </w:rPr>
              <w:t>national authorities and public agencies.</w:t>
            </w:r>
            <w:r>
              <w:rPr>
                <w:rFonts w:cs="Arial"/>
                <w:sz w:val="20"/>
                <w:szCs w:val="20"/>
              </w:rPr>
              <w:t xml:space="preserve"> </w:t>
            </w:r>
          </w:p>
          <w:p w14:paraId="72C1F54D" w14:textId="3AC6BDBC" w:rsidR="0015208B" w:rsidRPr="00FA4380" w:rsidRDefault="0015208B" w:rsidP="0015208B">
            <w:pPr>
              <w:spacing w:after="0"/>
              <w:rPr>
                <w:rFonts w:cs="Arial"/>
                <w:sz w:val="20"/>
                <w:szCs w:val="20"/>
              </w:rPr>
            </w:pPr>
          </w:p>
          <w:p w14:paraId="23EE7FA9" w14:textId="5A7D186C" w:rsidR="00A26CB5" w:rsidRDefault="0015208B" w:rsidP="00A26CB5">
            <w:pPr>
              <w:spacing w:after="0"/>
              <w:jc w:val="both"/>
              <w:rPr>
                <w:rFonts w:cs="Arial"/>
                <w:sz w:val="20"/>
                <w:szCs w:val="20"/>
              </w:rPr>
            </w:pPr>
            <w:r w:rsidRPr="00FA4380">
              <w:rPr>
                <w:rFonts w:cs="Arial"/>
                <w:b/>
                <w:sz w:val="20"/>
                <w:szCs w:val="20"/>
              </w:rPr>
              <w:t xml:space="preserve">Prioritization process: </w:t>
            </w:r>
            <w:r w:rsidRPr="00FA4380">
              <w:rPr>
                <w:rFonts w:cs="Arial"/>
                <w:sz w:val="20"/>
                <w:szCs w:val="20"/>
              </w:rPr>
              <w:t xml:space="preserve">the </w:t>
            </w:r>
            <w:r>
              <w:rPr>
                <w:rFonts w:cs="Arial"/>
                <w:sz w:val="20"/>
                <w:szCs w:val="20"/>
              </w:rPr>
              <w:t xml:space="preserve">funding priorities included in the funding request are by design and process fully </w:t>
            </w:r>
            <w:r w:rsidRPr="00FA4380">
              <w:rPr>
                <w:rFonts w:cs="Arial"/>
                <w:sz w:val="20"/>
                <w:szCs w:val="20"/>
              </w:rPr>
              <w:t>align</w:t>
            </w:r>
            <w:r>
              <w:rPr>
                <w:rFonts w:cs="Arial"/>
                <w:sz w:val="20"/>
                <w:szCs w:val="20"/>
              </w:rPr>
              <w:t>ed to</w:t>
            </w:r>
            <w:r w:rsidRPr="00FA4380">
              <w:rPr>
                <w:rFonts w:cs="Arial"/>
                <w:sz w:val="20"/>
                <w:szCs w:val="20"/>
              </w:rPr>
              <w:t xml:space="preserve"> the ambitions </w:t>
            </w:r>
            <w:r>
              <w:rPr>
                <w:rFonts w:cs="Arial"/>
                <w:sz w:val="20"/>
                <w:szCs w:val="20"/>
              </w:rPr>
              <w:t xml:space="preserve">and interventions included in both </w:t>
            </w:r>
            <w:r w:rsidRPr="00FA4380">
              <w:rPr>
                <w:rFonts w:cs="Arial"/>
                <w:sz w:val="20"/>
                <w:szCs w:val="20"/>
              </w:rPr>
              <w:t xml:space="preserve">the National HIV Program and National TB Program for the years 2021-2025. </w:t>
            </w:r>
            <w:r w:rsidR="00A26CB5">
              <w:rPr>
                <w:rFonts w:cs="Arial"/>
                <w:sz w:val="20"/>
                <w:szCs w:val="20"/>
              </w:rPr>
              <w:t xml:space="preserve"> </w:t>
            </w:r>
            <w:r>
              <w:rPr>
                <w:rFonts w:cs="Arial"/>
                <w:sz w:val="20"/>
                <w:szCs w:val="20"/>
              </w:rPr>
              <w:t xml:space="preserve">The </w:t>
            </w:r>
            <w:r w:rsidRPr="00FA4380">
              <w:rPr>
                <w:rFonts w:cs="Arial"/>
                <w:sz w:val="20"/>
                <w:szCs w:val="20"/>
              </w:rPr>
              <w:t>prioritization process was shaped by GF strategic directions provided in the Allocation Letter and the Portfolio Analysis and GF technical briefs and g</w:t>
            </w:r>
            <w:r>
              <w:rPr>
                <w:rFonts w:cs="Arial"/>
                <w:sz w:val="20"/>
                <w:szCs w:val="20"/>
              </w:rPr>
              <w:t>uidance. The strategic choice of interventions is fully aligned to key recommendations made by Optima HIV Resource Optimization to Maximize HIV response in Moldova</w:t>
            </w:r>
            <w:r>
              <w:rPr>
                <w:rStyle w:val="FootnoteReference"/>
                <w:rFonts w:cs="Arial"/>
                <w:sz w:val="20"/>
                <w:szCs w:val="20"/>
              </w:rPr>
              <w:footnoteReference w:id="50"/>
            </w:r>
            <w:r>
              <w:rPr>
                <w:rFonts w:cs="Arial"/>
                <w:sz w:val="20"/>
                <w:szCs w:val="20"/>
              </w:rPr>
              <w:t xml:space="preserve"> and Optima TB: Optimizing investments in Moldova’s tuberculosis response</w:t>
            </w:r>
            <w:r>
              <w:rPr>
                <w:rStyle w:val="FootnoteReference"/>
                <w:rFonts w:cs="Arial"/>
                <w:sz w:val="20"/>
                <w:szCs w:val="20"/>
              </w:rPr>
              <w:footnoteReference w:id="51"/>
            </w:r>
            <w:r>
              <w:rPr>
                <w:rFonts w:cs="Arial"/>
                <w:sz w:val="20"/>
                <w:szCs w:val="20"/>
              </w:rPr>
              <w:t>, as well as the findings and recommendations of Focused Country Evaluations: Moldova HIV Evaluation and TB Moldova Evaluation conducted in February 2020</w:t>
            </w:r>
            <w:r w:rsidRPr="0083536E">
              <w:rPr>
                <w:rFonts w:cs="Arial"/>
                <w:sz w:val="20"/>
                <w:szCs w:val="20"/>
              </w:rPr>
              <w:t xml:space="preserve">. (Annexes </w:t>
            </w:r>
            <w:r w:rsidR="0083536E" w:rsidRPr="0083536E">
              <w:rPr>
                <w:rFonts w:cs="Arial"/>
                <w:sz w:val="20"/>
                <w:szCs w:val="20"/>
              </w:rPr>
              <w:t>4,5,</w:t>
            </w:r>
            <w:r w:rsidR="0083536E">
              <w:rPr>
                <w:rFonts w:cs="Arial"/>
                <w:sz w:val="20"/>
                <w:szCs w:val="20"/>
              </w:rPr>
              <w:t>6,</w:t>
            </w:r>
            <w:r w:rsidR="0083536E" w:rsidRPr="0083536E">
              <w:rPr>
                <w:rFonts w:cs="Arial"/>
                <w:sz w:val="20"/>
                <w:szCs w:val="20"/>
              </w:rPr>
              <w:t>7</w:t>
            </w:r>
            <w:r w:rsidRPr="0083536E">
              <w:rPr>
                <w:rFonts w:cs="Arial"/>
                <w:sz w:val="20"/>
                <w:szCs w:val="20"/>
              </w:rPr>
              <w:t>)</w:t>
            </w:r>
            <w:r w:rsidRPr="0083536E">
              <w:rPr>
                <w:rFonts w:ascii="Calibri" w:hAnsi="Calibri" w:cs="Calibri"/>
                <w:color w:val="000000"/>
                <w:sz w:val="24"/>
                <w:szCs w:val="24"/>
              </w:rPr>
              <w:t xml:space="preserve"> </w:t>
            </w:r>
            <w:r w:rsidRPr="0083536E">
              <w:rPr>
                <w:rFonts w:cs="Arial"/>
                <w:sz w:val="20"/>
                <w:szCs w:val="20"/>
              </w:rPr>
              <w:t>The</w:t>
            </w:r>
            <w:r>
              <w:rPr>
                <w:rFonts w:cs="Arial"/>
                <w:sz w:val="20"/>
                <w:szCs w:val="20"/>
              </w:rPr>
              <w:t xml:space="preserve"> national technical working groups have also made self-assessments and reviewed evidence and independent evaluations</w:t>
            </w:r>
            <w:r w:rsidRPr="008C4E2D">
              <w:rPr>
                <w:rFonts w:cs="Arial"/>
                <w:sz w:val="20"/>
                <w:szCs w:val="20"/>
              </w:rPr>
              <w:t xml:space="preserve">, as well as a range of technical </w:t>
            </w:r>
            <w:r w:rsidRPr="0083536E">
              <w:rPr>
                <w:rFonts w:cs="Arial"/>
                <w:sz w:val="20"/>
                <w:szCs w:val="20"/>
              </w:rPr>
              <w:t xml:space="preserve">reports (Annexes </w:t>
            </w:r>
            <w:r w:rsidR="0083536E" w:rsidRPr="0083536E">
              <w:rPr>
                <w:rFonts w:cs="Arial"/>
                <w:sz w:val="20"/>
                <w:szCs w:val="20"/>
              </w:rPr>
              <w:t>11, GAM, Annex 12 G</w:t>
            </w:r>
            <w:r w:rsidR="0083536E">
              <w:rPr>
                <w:rFonts w:cs="Arial"/>
                <w:sz w:val="20"/>
                <w:szCs w:val="20"/>
              </w:rPr>
              <w:t>DF</w:t>
            </w:r>
            <w:r w:rsidRPr="0083536E">
              <w:rPr>
                <w:rFonts w:cs="Arial"/>
                <w:sz w:val="20"/>
                <w:szCs w:val="20"/>
              </w:rPr>
              <w:t>).</w:t>
            </w:r>
            <w:r w:rsidR="002F1AF0">
              <w:rPr>
                <w:rFonts w:cs="Arial"/>
                <w:sz w:val="20"/>
                <w:szCs w:val="20"/>
              </w:rPr>
              <w:t xml:space="preserve"> </w:t>
            </w:r>
          </w:p>
          <w:p w14:paraId="37440F91" w14:textId="77777777" w:rsidR="00A26CB5" w:rsidRDefault="00A26CB5" w:rsidP="00A26CB5">
            <w:pPr>
              <w:spacing w:after="0"/>
              <w:jc w:val="both"/>
              <w:rPr>
                <w:rFonts w:cs="Arial"/>
                <w:sz w:val="20"/>
                <w:szCs w:val="20"/>
              </w:rPr>
            </w:pPr>
          </w:p>
          <w:p w14:paraId="638958A6" w14:textId="77777777" w:rsidR="0015208B" w:rsidRDefault="0015208B" w:rsidP="0015208B">
            <w:pPr>
              <w:autoSpaceDE w:val="0"/>
              <w:autoSpaceDN w:val="0"/>
              <w:adjustRightInd w:val="0"/>
              <w:spacing w:after="0" w:line="240" w:lineRule="auto"/>
              <w:rPr>
                <w:rFonts w:cs="Arial"/>
                <w:sz w:val="20"/>
                <w:szCs w:val="20"/>
              </w:rPr>
            </w:pPr>
            <w:r>
              <w:rPr>
                <w:rFonts w:cs="Arial"/>
                <w:sz w:val="20"/>
                <w:szCs w:val="20"/>
              </w:rPr>
              <w:t>Based on the first stage, t</w:t>
            </w:r>
            <w:r w:rsidRPr="008C4E2D">
              <w:rPr>
                <w:rFonts w:cs="Arial"/>
                <w:sz w:val="20"/>
                <w:szCs w:val="20"/>
              </w:rPr>
              <w:t xml:space="preserve">he national working groups used the following </w:t>
            </w:r>
            <w:r>
              <w:rPr>
                <w:rFonts w:cs="Arial"/>
                <w:sz w:val="20"/>
                <w:szCs w:val="20"/>
              </w:rPr>
              <w:t>approach</w:t>
            </w:r>
            <w:r w:rsidRPr="008C4E2D">
              <w:rPr>
                <w:rFonts w:cs="Arial"/>
                <w:sz w:val="20"/>
                <w:szCs w:val="20"/>
              </w:rPr>
              <w:t xml:space="preserve"> to critically assess the </w:t>
            </w:r>
            <w:r>
              <w:rPr>
                <w:rFonts w:cs="Arial"/>
                <w:sz w:val="20"/>
                <w:szCs w:val="20"/>
              </w:rPr>
              <w:t xml:space="preserve">status of the </w:t>
            </w:r>
            <w:r w:rsidRPr="008C4E2D">
              <w:rPr>
                <w:rFonts w:cs="Arial"/>
                <w:sz w:val="20"/>
                <w:szCs w:val="20"/>
              </w:rPr>
              <w:t>national response</w:t>
            </w:r>
            <w:r>
              <w:rPr>
                <w:rFonts w:cs="Arial"/>
                <w:sz w:val="20"/>
                <w:szCs w:val="20"/>
              </w:rPr>
              <w:t xml:space="preserve"> and </w:t>
            </w:r>
            <w:r w:rsidRPr="008C4E2D">
              <w:rPr>
                <w:rFonts w:cs="Arial"/>
                <w:sz w:val="20"/>
                <w:szCs w:val="20"/>
              </w:rPr>
              <w:t xml:space="preserve">make decisions about </w:t>
            </w:r>
            <w:r>
              <w:rPr>
                <w:rFonts w:cs="Arial"/>
                <w:sz w:val="20"/>
                <w:szCs w:val="20"/>
              </w:rPr>
              <w:t>national program</w:t>
            </w:r>
            <w:r w:rsidRPr="008C4E2D">
              <w:rPr>
                <w:rFonts w:cs="Arial"/>
                <w:sz w:val="20"/>
                <w:szCs w:val="20"/>
              </w:rPr>
              <w:t xml:space="preserve"> priorities:</w:t>
            </w:r>
          </w:p>
          <w:p w14:paraId="271AD49D" w14:textId="77777777" w:rsidR="0015208B" w:rsidRPr="00295998" w:rsidRDefault="0015208B" w:rsidP="0015208B">
            <w:pPr>
              <w:autoSpaceDE w:val="0"/>
              <w:autoSpaceDN w:val="0"/>
              <w:adjustRightInd w:val="0"/>
              <w:spacing w:after="0" w:line="240" w:lineRule="auto"/>
              <w:rPr>
                <w:rFonts w:cs="Arial"/>
                <w:b/>
                <w:sz w:val="20"/>
                <w:szCs w:val="20"/>
              </w:rPr>
            </w:pPr>
          </w:p>
          <w:tbl>
            <w:tblPr>
              <w:tblStyle w:val="ListTable3-Accent3"/>
              <w:tblW w:w="0" w:type="auto"/>
              <w:tblLook w:val="04A0" w:firstRow="1" w:lastRow="0" w:firstColumn="1" w:lastColumn="0" w:noHBand="0" w:noVBand="1"/>
            </w:tblPr>
            <w:tblGrid>
              <w:gridCol w:w="4555"/>
              <w:gridCol w:w="5675"/>
            </w:tblGrid>
            <w:tr w:rsidR="0015208B" w:rsidRPr="00295998" w14:paraId="727EBB98" w14:textId="77777777" w:rsidTr="001520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55" w:type="dxa"/>
                </w:tcPr>
                <w:p w14:paraId="4B5B4B9F" w14:textId="79107486" w:rsidR="0015208B" w:rsidRPr="00295998" w:rsidRDefault="00781834" w:rsidP="0015208B">
                  <w:pPr>
                    <w:autoSpaceDE w:val="0"/>
                    <w:autoSpaceDN w:val="0"/>
                    <w:adjustRightInd w:val="0"/>
                    <w:spacing w:after="0" w:line="240" w:lineRule="auto"/>
                    <w:rPr>
                      <w:rFonts w:cs="Arial"/>
                      <w:sz w:val="20"/>
                      <w:szCs w:val="20"/>
                    </w:rPr>
                  </w:pPr>
                  <w:r>
                    <w:rPr>
                      <w:rFonts w:cs="Arial"/>
                      <w:sz w:val="20"/>
                      <w:szCs w:val="20"/>
                    </w:rPr>
                    <w:t>Strategic dimensions</w:t>
                  </w:r>
                </w:p>
              </w:tc>
              <w:tc>
                <w:tcPr>
                  <w:tcW w:w="5675" w:type="dxa"/>
                </w:tcPr>
                <w:p w14:paraId="087102A2" w14:textId="5341F29F" w:rsidR="0015208B" w:rsidRPr="00295998" w:rsidRDefault="00781834" w:rsidP="0015208B">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Key principles</w:t>
                  </w:r>
                </w:p>
              </w:tc>
            </w:tr>
            <w:tr w:rsidR="00781834" w:rsidRPr="00295998" w14:paraId="7D58A422" w14:textId="77777777" w:rsidTr="00152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5" w:type="dxa"/>
                </w:tcPr>
                <w:p w14:paraId="0FBCD64D" w14:textId="092F6DBE" w:rsidR="00781834" w:rsidRPr="00295998" w:rsidRDefault="00781834" w:rsidP="0015208B">
                  <w:pPr>
                    <w:autoSpaceDE w:val="0"/>
                    <w:autoSpaceDN w:val="0"/>
                    <w:adjustRightInd w:val="0"/>
                    <w:spacing w:after="0" w:line="240" w:lineRule="auto"/>
                    <w:rPr>
                      <w:rFonts w:cs="Arial"/>
                      <w:sz w:val="20"/>
                      <w:szCs w:val="20"/>
                    </w:rPr>
                  </w:pPr>
                  <w:r>
                    <w:rPr>
                      <w:rFonts w:cs="Arial"/>
                      <w:sz w:val="20"/>
                      <w:szCs w:val="20"/>
                    </w:rPr>
                    <w:lastRenderedPageBreak/>
                    <w:t xml:space="preserve">Reaching </w:t>
                  </w:r>
                  <w:r w:rsidRPr="00295998">
                    <w:rPr>
                      <w:rFonts w:cs="Arial"/>
                      <w:sz w:val="20"/>
                      <w:szCs w:val="20"/>
                    </w:rPr>
                    <w:t>targets</w:t>
                  </w:r>
                </w:p>
              </w:tc>
              <w:tc>
                <w:tcPr>
                  <w:tcW w:w="5675" w:type="dxa"/>
                </w:tcPr>
                <w:p w14:paraId="5A760989" w14:textId="29621752" w:rsidR="00781834" w:rsidRPr="00295998" w:rsidRDefault="00781834" w:rsidP="0015208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295998">
                    <w:rPr>
                      <w:rFonts w:cs="Arial"/>
                      <w:sz w:val="20"/>
                      <w:szCs w:val="20"/>
                    </w:rPr>
                    <w:t>Where are we now in long-term response to end the epidemic</w:t>
                  </w:r>
                </w:p>
              </w:tc>
            </w:tr>
            <w:tr w:rsidR="0015208B" w14:paraId="60B1A4C8" w14:textId="77777777" w:rsidTr="0015208B">
              <w:tc>
                <w:tcPr>
                  <w:cnfStyle w:val="001000000000" w:firstRow="0" w:lastRow="0" w:firstColumn="1" w:lastColumn="0" w:oddVBand="0" w:evenVBand="0" w:oddHBand="0" w:evenHBand="0" w:firstRowFirstColumn="0" w:firstRowLastColumn="0" w:lastRowFirstColumn="0" w:lastRowLastColumn="0"/>
                  <w:tcW w:w="4555" w:type="dxa"/>
                </w:tcPr>
                <w:p w14:paraId="02EF9FA6" w14:textId="77777777" w:rsidR="0015208B" w:rsidRPr="00295998" w:rsidRDefault="0015208B" w:rsidP="0015208B">
                  <w:pPr>
                    <w:autoSpaceDE w:val="0"/>
                    <w:autoSpaceDN w:val="0"/>
                    <w:adjustRightInd w:val="0"/>
                    <w:spacing w:after="0" w:line="240" w:lineRule="auto"/>
                    <w:rPr>
                      <w:rFonts w:cs="Arial"/>
                      <w:sz w:val="20"/>
                      <w:szCs w:val="20"/>
                    </w:rPr>
                  </w:pPr>
                  <w:r w:rsidRPr="00295998">
                    <w:rPr>
                      <w:rFonts w:cs="Arial"/>
                      <w:sz w:val="20"/>
                      <w:szCs w:val="20"/>
                    </w:rPr>
                    <w:t>Continued scale-up and improved operations</w:t>
                  </w:r>
                </w:p>
              </w:tc>
              <w:tc>
                <w:tcPr>
                  <w:tcW w:w="5675" w:type="dxa"/>
                </w:tcPr>
                <w:p w14:paraId="3DCC464C" w14:textId="77777777" w:rsidR="0015208B" w:rsidRDefault="0015208B" w:rsidP="0015208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What we are doing well and what needs to continue</w:t>
                  </w:r>
                </w:p>
              </w:tc>
            </w:tr>
            <w:tr w:rsidR="0015208B" w14:paraId="5449873C" w14:textId="77777777" w:rsidTr="00152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5" w:type="dxa"/>
                </w:tcPr>
                <w:p w14:paraId="1A0B6EF7" w14:textId="77777777" w:rsidR="0015208B" w:rsidRPr="00295998" w:rsidRDefault="0015208B" w:rsidP="0015208B">
                  <w:pPr>
                    <w:autoSpaceDE w:val="0"/>
                    <w:autoSpaceDN w:val="0"/>
                    <w:adjustRightInd w:val="0"/>
                    <w:spacing w:after="0" w:line="240" w:lineRule="auto"/>
                    <w:rPr>
                      <w:rFonts w:cs="Arial"/>
                      <w:sz w:val="20"/>
                      <w:szCs w:val="20"/>
                    </w:rPr>
                  </w:pPr>
                  <w:r w:rsidRPr="00295998">
                    <w:rPr>
                      <w:rFonts w:cs="Arial"/>
                      <w:sz w:val="20"/>
                      <w:szCs w:val="20"/>
                    </w:rPr>
                    <w:t>Lessons learned inform new directions</w:t>
                  </w:r>
                </w:p>
              </w:tc>
              <w:tc>
                <w:tcPr>
                  <w:tcW w:w="5675" w:type="dxa"/>
                </w:tcPr>
                <w:p w14:paraId="43ACB932" w14:textId="77777777" w:rsidR="0015208B" w:rsidRDefault="0015208B" w:rsidP="0015208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What </w:t>
                  </w:r>
                  <w:r w:rsidRPr="008C4E2D">
                    <w:rPr>
                      <w:rFonts w:cs="Arial"/>
                      <w:sz w:val="20"/>
                      <w:szCs w:val="20"/>
                    </w:rPr>
                    <w:t>we</w:t>
                  </w:r>
                  <w:r>
                    <w:rPr>
                      <w:rFonts w:cs="Arial"/>
                      <w:sz w:val="20"/>
                      <w:szCs w:val="20"/>
                    </w:rPr>
                    <w:t xml:space="preserve"> are </w:t>
                  </w:r>
                  <w:r w:rsidRPr="008C4E2D">
                    <w:rPr>
                      <w:rFonts w:cs="Arial"/>
                      <w:sz w:val="20"/>
                      <w:szCs w:val="20"/>
                    </w:rPr>
                    <w:t>not doing well and should be doing dif</w:t>
                  </w:r>
                  <w:r>
                    <w:rPr>
                      <w:rFonts w:cs="Arial"/>
                      <w:sz w:val="20"/>
                      <w:szCs w:val="20"/>
                    </w:rPr>
                    <w:t>f</w:t>
                  </w:r>
                  <w:r w:rsidRPr="008C4E2D">
                    <w:rPr>
                      <w:rFonts w:cs="Arial"/>
                      <w:sz w:val="20"/>
                      <w:szCs w:val="20"/>
                    </w:rPr>
                    <w:t>erently</w:t>
                  </w:r>
                  <w:r>
                    <w:rPr>
                      <w:lang w:val="ro-MD"/>
                    </w:rPr>
                    <w:t xml:space="preserve"> </w:t>
                  </w:r>
                </w:p>
              </w:tc>
            </w:tr>
            <w:tr w:rsidR="0015208B" w14:paraId="37A4A502" w14:textId="77777777" w:rsidTr="0015208B">
              <w:tc>
                <w:tcPr>
                  <w:cnfStyle w:val="001000000000" w:firstRow="0" w:lastRow="0" w:firstColumn="1" w:lastColumn="0" w:oddVBand="0" w:evenVBand="0" w:oddHBand="0" w:evenHBand="0" w:firstRowFirstColumn="0" w:firstRowLastColumn="0" w:lastRowFirstColumn="0" w:lastRowLastColumn="0"/>
                  <w:tcW w:w="4555" w:type="dxa"/>
                </w:tcPr>
                <w:p w14:paraId="23D5DAFF" w14:textId="77777777" w:rsidR="0015208B" w:rsidRPr="00295998" w:rsidRDefault="0015208B" w:rsidP="0015208B">
                  <w:pPr>
                    <w:autoSpaceDE w:val="0"/>
                    <w:autoSpaceDN w:val="0"/>
                    <w:adjustRightInd w:val="0"/>
                    <w:spacing w:after="0" w:line="240" w:lineRule="auto"/>
                    <w:rPr>
                      <w:rFonts w:cs="Arial"/>
                      <w:sz w:val="20"/>
                      <w:szCs w:val="20"/>
                    </w:rPr>
                  </w:pPr>
                  <w:r w:rsidRPr="00295998">
                    <w:rPr>
                      <w:rFonts w:cs="Arial"/>
                      <w:sz w:val="20"/>
                      <w:szCs w:val="20"/>
                    </w:rPr>
                    <w:t>Improve quality and efficiency</w:t>
                  </w:r>
                </w:p>
              </w:tc>
              <w:tc>
                <w:tcPr>
                  <w:tcW w:w="5675" w:type="dxa"/>
                </w:tcPr>
                <w:p w14:paraId="5E3F2614" w14:textId="77777777" w:rsidR="0015208B" w:rsidRPr="008C4E2D" w:rsidRDefault="0015208B" w:rsidP="0015208B">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val="ro-MD"/>
                    </w:rPr>
                  </w:pPr>
                  <w:r>
                    <w:rPr>
                      <w:rFonts w:cs="Arial"/>
                      <w:sz w:val="20"/>
                      <w:szCs w:val="20"/>
                    </w:rPr>
                    <w:t xml:space="preserve">What new approaches and innovations we should adopt to ensure quality while streamlining and optimizing </w:t>
                  </w:r>
                </w:p>
              </w:tc>
            </w:tr>
          </w:tbl>
          <w:p w14:paraId="55928245" w14:textId="77777777" w:rsidR="00A42DB1" w:rsidRDefault="00A42DB1" w:rsidP="00A42DB1">
            <w:pPr>
              <w:spacing w:after="0"/>
              <w:rPr>
                <w:rFonts w:cs="Arial"/>
                <w:sz w:val="20"/>
                <w:szCs w:val="20"/>
              </w:rPr>
            </w:pPr>
          </w:p>
          <w:p w14:paraId="31D9D174" w14:textId="716C623D" w:rsidR="0015208B" w:rsidRDefault="0015208B" w:rsidP="00A42DB1">
            <w:pPr>
              <w:spacing w:after="0"/>
              <w:rPr>
                <w:rFonts w:cs="Arial"/>
                <w:sz w:val="20"/>
                <w:szCs w:val="20"/>
              </w:rPr>
            </w:pPr>
            <w:r>
              <w:rPr>
                <w:rFonts w:cs="Arial"/>
                <w:sz w:val="20"/>
                <w:szCs w:val="20"/>
              </w:rPr>
              <w:t xml:space="preserve">After the full expression of demand was included in the work plan and budget of each of the TB and HIV National Strategic Programs, the national NSP development teams have used a negotiation process to decide on the final list of activities included within allocation. For those activities that were not included within the allocation, the technical working group for funding request development has applied a consistent approach </w:t>
            </w:r>
            <w:r w:rsidRPr="00FA4380">
              <w:rPr>
                <w:rFonts w:cs="Arial"/>
                <w:sz w:val="20"/>
                <w:szCs w:val="20"/>
              </w:rPr>
              <w:t xml:space="preserve">by reviewing each proposed activity through the following </w:t>
            </w:r>
            <w:r>
              <w:rPr>
                <w:rFonts w:cs="Arial"/>
                <w:sz w:val="20"/>
                <w:szCs w:val="20"/>
              </w:rPr>
              <w:t>criteria to decide the priority for GF funding request PAAR.</w:t>
            </w:r>
            <w:r w:rsidRPr="00FA4380">
              <w:rPr>
                <w:rFonts w:cs="Arial"/>
                <w:sz w:val="20"/>
                <w:szCs w:val="20"/>
              </w:rPr>
              <w:t> </w:t>
            </w:r>
          </w:p>
          <w:p w14:paraId="6601A8A2" w14:textId="77777777" w:rsidR="00A42DB1" w:rsidRDefault="00A42DB1" w:rsidP="00A42DB1">
            <w:pPr>
              <w:spacing w:after="0"/>
              <w:rPr>
                <w:rFonts w:cs="Arial"/>
                <w:sz w:val="20"/>
                <w:szCs w:val="20"/>
              </w:rPr>
            </w:pPr>
          </w:p>
          <w:tbl>
            <w:tblPr>
              <w:tblStyle w:val="ListTable3-Accent3"/>
              <w:tblW w:w="0" w:type="auto"/>
              <w:tblLook w:val="04A0" w:firstRow="1" w:lastRow="0" w:firstColumn="1" w:lastColumn="0" w:noHBand="0" w:noVBand="1"/>
            </w:tblPr>
            <w:tblGrid>
              <w:gridCol w:w="505"/>
              <w:gridCol w:w="7470"/>
              <w:gridCol w:w="2250"/>
            </w:tblGrid>
            <w:tr w:rsidR="0015208B" w14:paraId="64CC4DC6" w14:textId="77777777" w:rsidTr="001520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5" w:type="dxa"/>
                </w:tcPr>
                <w:p w14:paraId="0C450A6A" w14:textId="77777777" w:rsidR="0015208B" w:rsidRDefault="0015208B" w:rsidP="0015208B">
                  <w:pPr>
                    <w:pStyle w:val="ListParagraph"/>
                    <w:spacing w:after="0"/>
                    <w:ind w:left="0"/>
                    <w:jc w:val="center"/>
                    <w:rPr>
                      <w:rFonts w:cs="Arial"/>
                      <w:sz w:val="20"/>
                      <w:szCs w:val="20"/>
                    </w:rPr>
                  </w:pPr>
                  <w:r>
                    <w:rPr>
                      <w:rFonts w:cs="Arial"/>
                      <w:sz w:val="20"/>
                      <w:szCs w:val="20"/>
                    </w:rPr>
                    <w:t>#</w:t>
                  </w:r>
                </w:p>
              </w:tc>
              <w:tc>
                <w:tcPr>
                  <w:tcW w:w="7470" w:type="dxa"/>
                </w:tcPr>
                <w:p w14:paraId="4FAD2B9F" w14:textId="77777777" w:rsidR="0015208B" w:rsidRDefault="0015208B" w:rsidP="0015208B">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Criteria</w:t>
                  </w:r>
                </w:p>
              </w:tc>
              <w:tc>
                <w:tcPr>
                  <w:tcW w:w="2250" w:type="dxa"/>
                </w:tcPr>
                <w:p w14:paraId="416F458F" w14:textId="77777777" w:rsidR="0015208B" w:rsidRDefault="0015208B" w:rsidP="0015208B">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Value</w:t>
                  </w:r>
                </w:p>
              </w:tc>
            </w:tr>
            <w:tr w:rsidR="0015208B" w14:paraId="42C6665F" w14:textId="77777777" w:rsidTr="00152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dxa"/>
                </w:tcPr>
                <w:p w14:paraId="0CD08212" w14:textId="77777777" w:rsidR="0015208B" w:rsidRDefault="0015208B" w:rsidP="0015208B">
                  <w:pPr>
                    <w:pStyle w:val="ListParagraph"/>
                    <w:spacing w:after="0"/>
                    <w:ind w:left="0"/>
                    <w:rPr>
                      <w:rFonts w:cs="Arial"/>
                      <w:sz w:val="20"/>
                      <w:szCs w:val="20"/>
                    </w:rPr>
                  </w:pPr>
                  <w:r>
                    <w:rPr>
                      <w:rFonts w:cs="Arial"/>
                      <w:sz w:val="20"/>
                      <w:szCs w:val="20"/>
                    </w:rPr>
                    <w:t>1</w:t>
                  </w:r>
                </w:p>
              </w:tc>
              <w:tc>
                <w:tcPr>
                  <w:tcW w:w="7470" w:type="dxa"/>
                </w:tcPr>
                <w:p w14:paraId="361A978D" w14:textId="77777777" w:rsidR="0015208B" w:rsidRDefault="0015208B" w:rsidP="0015208B">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cs="Arial"/>
                      <w:sz w:val="20"/>
                      <w:szCs w:val="20"/>
                    </w:rPr>
                  </w:pPr>
                  <w:r w:rsidRPr="00E53099">
                    <w:rPr>
                      <w:rFonts w:cs="Arial"/>
                      <w:b/>
                      <w:sz w:val="20"/>
                      <w:szCs w:val="20"/>
                    </w:rPr>
                    <w:t>Potential for Impact</w:t>
                  </w:r>
                </w:p>
              </w:tc>
              <w:tc>
                <w:tcPr>
                  <w:tcW w:w="2250" w:type="dxa"/>
                </w:tcPr>
                <w:p w14:paraId="3534B9BD" w14:textId="77777777" w:rsidR="0015208B" w:rsidRDefault="0015208B" w:rsidP="0015208B">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High/medium/low</w:t>
                  </w:r>
                </w:p>
              </w:tc>
            </w:tr>
            <w:tr w:rsidR="0015208B" w14:paraId="145B1743" w14:textId="77777777" w:rsidTr="0015208B">
              <w:tc>
                <w:tcPr>
                  <w:cnfStyle w:val="001000000000" w:firstRow="0" w:lastRow="0" w:firstColumn="1" w:lastColumn="0" w:oddVBand="0" w:evenVBand="0" w:oddHBand="0" w:evenHBand="0" w:firstRowFirstColumn="0" w:firstRowLastColumn="0" w:lastRowFirstColumn="0" w:lastRowLastColumn="0"/>
                  <w:tcW w:w="505" w:type="dxa"/>
                </w:tcPr>
                <w:p w14:paraId="505214C4" w14:textId="77777777" w:rsidR="0015208B" w:rsidRDefault="0015208B" w:rsidP="0015208B">
                  <w:pPr>
                    <w:pStyle w:val="ListParagraph"/>
                    <w:spacing w:after="0"/>
                    <w:ind w:left="0"/>
                    <w:rPr>
                      <w:rFonts w:cs="Arial"/>
                      <w:sz w:val="20"/>
                      <w:szCs w:val="20"/>
                    </w:rPr>
                  </w:pPr>
                  <w:r>
                    <w:rPr>
                      <w:rFonts w:cs="Arial"/>
                      <w:sz w:val="20"/>
                      <w:szCs w:val="20"/>
                    </w:rPr>
                    <w:t>2</w:t>
                  </w:r>
                </w:p>
              </w:tc>
              <w:tc>
                <w:tcPr>
                  <w:tcW w:w="7470" w:type="dxa"/>
                </w:tcPr>
                <w:p w14:paraId="77F37D44" w14:textId="77777777" w:rsidR="0015208B" w:rsidRDefault="0015208B" w:rsidP="0015208B">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E53099">
                    <w:rPr>
                      <w:rFonts w:cs="Arial"/>
                      <w:b/>
                      <w:sz w:val="20"/>
                      <w:szCs w:val="20"/>
                    </w:rPr>
                    <w:t>Sustaining the gains</w:t>
                  </w:r>
                  <w:r w:rsidRPr="00E53099">
                    <w:rPr>
                      <w:rFonts w:cs="Arial"/>
                      <w:sz w:val="20"/>
                      <w:szCs w:val="20"/>
                    </w:rPr>
                    <w:t xml:space="preserve">: </w:t>
                  </w:r>
                  <w:r>
                    <w:rPr>
                      <w:rFonts w:cs="Arial"/>
                      <w:sz w:val="20"/>
                      <w:szCs w:val="20"/>
                    </w:rPr>
                    <w:t xml:space="preserve">essential or </w:t>
                  </w:r>
                  <w:r w:rsidRPr="00E53099">
                    <w:rPr>
                      <w:rFonts w:cs="Arial"/>
                      <w:sz w:val="20"/>
                      <w:szCs w:val="20"/>
                    </w:rPr>
                    <w:t>add-on approach?</w:t>
                  </w:r>
                </w:p>
              </w:tc>
              <w:tc>
                <w:tcPr>
                  <w:tcW w:w="2250" w:type="dxa"/>
                </w:tcPr>
                <w:p w14:paraId="53198047" w14:textId="77777777" w:rsidR="0015208B" w:rsidRDefault="0015208B" w:rsidP="0015208B">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Essential/Add-on</w:t>
                  </w:r>
                </w:p>
              </w:tc>
            </w:tr>
            <w:tr w:rsidR="0015208B" w14:paraId="46951DFC" w14:textId="77777777" w:rsidTr="00152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dxa"/>
                </w:tcPr>
                <w:p w14:paraId="0598154C" w14:textId="77777777" w:rsidR="0015208B" w:rsidRDefault="0015208B" w:rsidP="0015208B">
                  <w:pPr>
                    <w:pStyle w:val="ListParagraph"/>
                    <w:spacing w:after="0"/>
                    <w:ind w:left="0"/>
                    <w:rPr>
                      <w:rFonts w:cs="Arial"/>
                      <w:sz w:val="20"/>
                      <w:szCs w:val="20"/>
                    </w:rPr>
                  </w:pPr>
                  <w:r>
                    <w:rPr>
                      <w:rFonts w:cs="Arial"/>
                      <w:sz w:val="20"/>
                      <w:szCs w:val="20"/>
                    </w:rPr>
                    <w:t>3</w:t>
                  </w:r>
                </w:p>
              </w:tc>
              <w:tc>
                <w:tcPr>
                  <w:tcW w:w="7470" w:type="dxa"/>
                </w:tcPr>
                <w:p w14:paraId="5E93E51C" w14:textId="07CE652D" w:rsidR="0015208B" w:rsidRDefault="0015208B" w:rsidP="0000017F">
                  <w:pPr>
                    <w:spacing w:after="0"/>
                    <w:cnfStyle w:val="000000100000" w:firstRow="0" w:lastRow="0" w:firstColumn="0" w:lastColumn="0" w:oddVBand="0" w:evenVBand="0" w:oddHBand="1" w:evenHBand="0" w:firstRowFirstColumn="0" w:firstRowLastColumn="0" w:lastRowFirstColumn="0" w:lastRowLastColumn="0"/>
                    <w:rPr>
                      <w:rFonts w:cs="Arial"/>
                      <w:sz w:val="20"/>
                      <w:szCs w:val="20"/>
                    </w:rPr>
                  </w:pPr>
                  <w:r w:rsidRPr="00E53099">
                    <w:rPr>
                      <w:rFonts w:cs="Arial"/>
                      <w:b/>
                      <w:sz w:val="20"/>
                      <w:szCs w:val="20"/>
                    </w:rPr>
                    <w:t>Innovation:</w:t>
                  </w:r>
                  <w:r w:rsidRPr="00E53099">
                    <w:rPr>
                      <w:rFonts w:cs="Arial"/>
                      <w:sz w:val="20"/>
                      <w:szCs w:val="20"/>
                    </w:rPr>
                    <w:t xml:space="preserve"> new solution to a recurrent issue </w:t>
                  </w:r>
                </w:p>
              </w:tc>
              <w:tc>
                <w:tcPr>
                  <w:tcW w:w="2250" w:type="dxa"/>
                </w:tcPr>
                <w:p w14:paraId="6AC94626" w14:textId="77777777" w:rsidR="0015208B" w:rsidRDefault="0015208B" w:rsidP="0015208B">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Yes/No</w:t>
                  </w:r>
                </w:p>
              </w:tc>
            </w:tr>
            <w:tr w:rsidR="0015208B" w14:paraId="3E3D875E" w14:textId="77777777" w:rsidTr="0015208B">
              <w:tc>
                <w:tcPr>
                  <w:cnfStyle w:val="001000000000" w:firstRow="0" w:lastRow="0" w:firstColumn="1" w:lastColumn="0" w:oddVBand="0" w:evenVBand="0" w:oddHBand="0" w:evenHBand="0" w:firstRowFirstColumn="0" w:firstRowLastColumn="0" w:lastRowFirstColumn="0" w:lastRowLastColumn="0"/>
                  <w:tcW w:w="505" w:type="dxa"/>
                </w:tcPr>
                <w:p w14:paraId="61AC21E3" w14:textId="77777777" w:rsidR="0015208B" w:rsidRDefault="0015208B" w:rsidP="0015208B">
                  <w:pPr>
                    <w:pStyle w:val="ListParagraph"/>
                    <w:spacing w:after="0"/>
                    <w:ind w:left="0"/>
                    <w:rPr>
                      <w:rFonts w:cs="Arial"/>
                      <w:sz w:val="20"/>
                      <w:szCs w:val="20"/>
                    </w:rPr>
                  </w:pPr>
                  <w:r>
                    <w:rPr>
                      <w:rFonts w:cs="Arial"/>
                      <w:sz w:val="20"/>
                      <w:szCs w:val="20"/>
                    </w:rPr>
                    <w:t>4</w:t>
                  </w:r>
                </w:p>
              </w:tc>
              <w:tc>
                <w:tcPr>
                  <w:tcW w:w="7470" w:type="dxa"/>
                </w:tcPr>
                <w:p w14:paraId="239CFD66" w14:textId="77777777" w:rsidR="0015208B" w:rsidRDefault="0015208B" w:rsidP="0015208B">
                  <w:p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E53099">
                    <w:rPr>
                      <w:rFonts w:cs="Arial"/>
                      <w:b/>
                      <w:sz w:val="20"/>
                      <w:szCs w:val="20"/>
                    </w:rPr>
                    <w:t>Aiming to remove bottlenecks</w:t>
                  </w:r>
                  <w:r w:rsidRPr="00E53099">
                    <w:rPr>
                      <w:rFonts w:cs="Arial"/>
                      <w:sz w:val="20"/>
                      <w:szCs w:val="20"/>
                    </w:rPr>
                    <w:t>: improves process, quality</w:t>
                  </w:r>
                  <w:r>
                    <w:rPr>
                      <w:rFonts w:cs="Arial"/>
                      <w:sz w:val="20"/>
                      <w:szCs w:val="20"/>
                    </w:rPr>
                    <w:t>/removes barriers?</w:t>
                  </w:r>
                </w:p>
              </w:tc>
              <w:tc>
                <w:tcPr>
                  <w:tcW w:w="2250" w:type="dxa"/>
                </w:tcPr>
                <w:p w14:paraId="58B1F62A" w14:textId="77777777" w:rsidR="0015208B" w:rsidRDefault="0015208B" w:rsidP="0015208B">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Yes/No</w:t>
                  </w:r>
                </w:p>
              </w:tc>
            </w:tr>
            <w:tr w:rsidR="0015208B" w14:paraId="71BB5937" w14:textId="77777777" w:rsidTr="00152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dxa"/>
                </w:tcPr>
                <w:p w14:paraId="597F0062" w14:textId="77777777" w:rsidR="0015208B" w:rsidRDefault="0015208B" w:rsidP="0015208B">
                  <w:pPr>
                    <w:pStyle w:val="ListParagraph"/>
                    <w:spacing w:after="0"/>
                    <w:ind w:left="0"/>
                    <w:rPr>
                      <w:rFonts w:cs="Arial"/>
                      <w:sz w:val="20"/>
                      <w:szCs w:val="20"/>
                    </w:rPr>
                  </w:pPr>
                  <w:r>
                    <w:rPr>
                      <w:rFonts w:cs="Arial"/>
                      <w:sz w:val="20"/>
                      <w:szCs w:val="20"/>
                    </w:rPr>
                    <w:t>5</w:t>
                  </w:r>
                </w:p>
              </w:tc>
              <w:tc>
                <w:tcPr>
                  <w:tcW w:w="7470" w:type="dxa"/>
                </w:tcPr>
                <w:p w14:paraId="783E8444" w14:textId="77777777" w:rsidR="0015208B" w:rsidRDefault="0015208B" w:rsidP="0015208B">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cs="Arial"/>
                      <w:sz w:val="20"/>
                      <w:szCs w:val="20"/>
                    </w:rPr>
                  </w:pPr>
                  <w:r w:rsidRPr="00E53099">
                    <w:rPr>
                      <w:rFonts w:cs="Arial"/>
                      <w:b/>
                      <w:sz w:val="20"/>
                      <w:szCs w:val="20"/>
                    </w:rPr>
                    <w:t>Potential for sustainability</w:t>
                  </w:r>
                  <w:r>
                    <w:rPr>
                      <w:rFonts w:cs="Arial"/>
                      <w:b/>
                      <w:sz w:val="20"/>
                      <w:szCs w:val="20"/>
                    </w:rPr>
                    <w:t xml:space="preserve">: </w:t>
                  </w:r>
                  <w:r>
                    <w:rPr>
                      <w:rFonts w:cs="Arial"/>
                      <w:sz w:val="20"/>
                      <w:szCs w:val="20"/>
                    </w:rPr>
                    <w:t>shift</w:t>
                  </w:r>
                  <w:r w:rsidRPr="00E53099">
                    <w:rPr>
                      <w:rFonts w:cs="Arial"/>
                      <w:sz w:val="20"/>
                      <w:szCs w:val="20"/>
                    </w:rPr>
                    <w:t xml:space="preserve"> from health system support to resilient and sustainable system</w:t>
                  </w:r>
                  <w:r>
                    <w:rPr>
                      <w:rFonts w:cs="Arial"/>
                      <w:sz w:val="20"/>
                      <w:szCs w:val="20"/>
                    </w:rPr>
                    <w:t>?</w:t>
                  </w:r>
                </w:p>
              </w:tc>
              <w:tc>
                <w:tcPr>
                  <w:tcW w:w="2250" w:type="dxa"/>
                </w:tcPr>
                <w:p w14:paraId="11652EA6" w14:textId="77777777" w:rsidR="0015208B" w:rsidRDefault="0015208B" w:rsidP="0015208B">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Yes/no</w:t>
                  </w:r>
                </w:p>
              </w:tc>
            </w:tr>
          </w:tbl>
          <w:p w14:paraId="3335C75F" w14:textId="77777777" w:rsidR="005E4CE2" w:rsidRDefault="005E4CE2" w:rsidP="00A42DB1">
            <w:pPr>
              <w:autoSpaceDE w:val="0"/>
              <w:autoSpaceDN w:val="0"/>
              <w:adjustRightInd w:val="0"/>
              <w:spacing w:after="0" w:line="240" w:lineRule="auto"/>
              <w:jc w:val="both"/>
              <w:rPr>
                <w:rFonts w:cs="Arial"/>
                <w:sz w:val="20"/>
                <w:szCs w:val="20"/>
              </w:rPr>
            </w:pPr>
          </w:p>
          <w:p w14:paraId="7F91AEC9" w14:textId="77777777" w:rsidR="00A42DB1" w:rsidRDefault="005E4CE2" w:rsidP="00A42DB1">
            <w:pPr>
              <w:spacing w:after="0" w:line="240" w:lineRule="auto"/>
              <w:rPr>
                <w:rFonts w:cs="Arial"/>
                <w:sz w:val="20"/>
                <w:szCs w:val="20"/>
              </w:rPr>
            </w:pPr>
            <w:r>
              <w:rPr>
                <w:rFonts w:cs="Arial"/>
                <w:sz w:val="20"/>
                <w:szCs w:val="20"/>
              </w:rPr>
              <w:t>For TB, funding priorities are aligned to STP’s Investment package for EECA setting</w:t>
            </w:r>
            <w:r>
              <w:rPr>
                <w:rStyle w:val="FootnoteReference"/>
                <w:rFonts w:cs="Arial"/>
                <w:sz w:val="20"/>
                <w:szCs w:val="20"/>
              </w:rPr>
              <w:footnoteReference w:id="52"/>
            </w:r>
            <w:r>
              <w:rPr>
                <w:rFonts w:cs="Arial"/>
                <w:sz w:val="20"/>
                <w:szCs w:val="20"/>
              </w:rPr>
              <w:t>, all interventions are prioritized in the funding reques</w:t>
            </w:r>
            <w:r w:rsidR="00A42DB1">
              <w:rPr>
                <w:rFonts w:cs="Arial"/>
                <w:sz w:val="20"/>
                <w:szCs w:val="20"/>
              </w:rPr>
              <w:t xml:space="preserve">t (1) </w:t>
            </w:r>
            <w:r w:rsidRPr="00A26CB5">
              <w:rPr>
                <w:rFonts w:cs="Arial"/>
                <w:sz w:val="20"/>
                <w:szCs w:val="20"/>
              </w:rPr>
              <w:t>maintain universal coverage with RMD as first test for DS and DR TB at all levels of care</w:t>
            </w:r>
            <w:r w:rsidR="00A42DB1">
              <w:rPr>
                <w:rFonts w:cs="Arial"/>
                <w:sz w:val="20"/>
                <w:szCs w:val="20"/>
              </w:rPr>
              <w:t xml:space="preserve">: (2) </w:t>
            </w:r>
            <w:r>
              <w:rPr>
                <w:rFonts w:cs="Arial"/>
                <w:sz w:val="20"/>
                <w:szCs w:val="20"/>
              </w:rPr>
              <w:t>Increase coverage of rapid culture and DST testing in referral labs</w:t>
            </w:r>
            <w:r w:rsidR="00A42DB1">
              <w:rPr>
                <w:rFonts w:cs="Arial"/>
                <w:sz w:val="20"/>
                <w:szCs w:val="20"/>
              </w:rPr>
              <w:t xml:space="preserve">; (3) </w:t>
            </w:r>
            <w:r>
              <w:rPr>
                <w:rFonts w:cs="Arial"/>
                <w:sz w:val="20"/>
                <w:szCs w:val="20"/>
              </w:rPr>
              <w:t>Universal access to quality DR TB with special emphasis on children and adolescents</w:t>
            </w:r>
            <w:r w:rsidR="00A42DB1">
              <w:rPr>
                <w:rFonts w:cs="Arial"/>
                <w:sz w:val="20"/>
                <w:szCs w:val="20"/>
              </w:rPr>
              <w:t xml:space="preserve">; (4) </w:t>
            </w:r>
            <w:r>
              <w:rPr>
                <w:rFonts w:cs="Arial"/>
                <w:sz w:val="20"/>
                <w:szCs w:val="20"/>
              </w:rPr>
              <w:t>Ensure appropriate support including the use of digital tools</w:t>
            </w:r>
            <w:r w:rsidR="00A42DB1">
              <w:rPr>
                <w:rFonts w:cs="Arial"/>
                <w:sz w:val="20"/>
                <w:szCs w:val="20"/>
              </w:rPr>
              <w:t xml:space="preserve">; (5) </w:t>
            </w:r>
            <w:r w:rsidR="008E4748">
              <w:rPr>
                <w:rFonts w:cs="Arial"/>
                <w:sz w:val="20"/>
                <w:szCs w:val="20"/>
              </w:rPr>
              <w:t>Strengthen</w:t>
            </w:r>
            <w:r>
              <w:rPr>
                <w:rFonts w:cs="Arial"/>
                <w:sz w:val="20"/>
                <w:szCs w:val="20"/>
              </w:rPr>
              <w:t xml:space="preserve"> monitoring of people on treatment and management of comorbidities, adverse events and pharmacovigilance</w:t>
            </w:r>
            <w:r w:rsidR="00A42DB1">
              <w:rPr>
                <w:rFonts w:cs="Arial"/>
                <w:sz w:val="20"/>
                <w:szCs w:val="20"/>
              </w:rPr>
              <w:t xml:space="preserve">; (6) </w:t>
            </w:r>
            <w:r>
              <w:rPr>
                <w:rFonts w:cs="Arial"/>
                <w:sz w:val="20"/>
                <w:szCs w:val="20"/>
              </w:rPr>
              <w:t>Upgrade TB information system</w:t>
            </w:r>
            <w:r w:rsidR="00A42DB1">
              <w:rPr>
                <w:rFonts w:cs="Arial"/>
                <w:sz w:val="20"/>
                <w:szCs w:val="20"/>
              </w:rPr>
              <w:t xml:space="preserve">; (7) </w:t>
            </w:r>
            <w:r>
              <w:rPr>
                <w:rFonts w:cs="Arial"/>
                <w:sz w:val="20"/>
                <w:szCs w:val="20"/>
              </w:rPr>
              <w:t>Ensure effective TB control</w:t>
            </w:r>
            <w:r w:rsidR="00A42DB1">
              <w:rPr>
                <w:rFonts w:cs="Arial"/>
                <w:sz w:val="20"/>
                <w:szCs w:val="20"/>
              </w:rPr>
              <w:t xml:space="preserve">; (8) </w:t>
            </w:r>
            <w:r>
              <w:rPr>
                <w:rFonts w:cs="Arial"/>
                <w:sz w:val="20"/>
                <w:szCs w:val="20"/>
              </w:rPr>
              <w:t>Effective and efficient health finance and allocation to people-centered TB delivery</w:t>
            </w:r>
            <w:r w:rsidR="00A42DB1">
              <w:rPr>
                <w:rFonts w:cs="Arial"/>
                <w:sz w:val="20"/>
                <w:szCs w:val="20"/>
              </w:rPr>
              <w:t>; (9)</w:t>
            </w:r>
            <w:r>
              <w:rPr>
                <w:rFonts w:cs="Arial"/>
                <w:sz w:val="20"/>
                <w:szCs w:val="20"/>
              </w:rPr>
              <w:t>Address special needs of populations with an emphasis on prisoners and migrants</w:t>
            </w:r>
            <w:r w:rsidR="00A42DB1">
              <w:rPr>
                <w:rFonts w:cs="Arial"/>
                <w:sz w:val="20"/>
                <w:szCs w:val="20"/>
              </w:rPr>
              <w:t xml:space="preserve">; (10) </w:t>
            </w:r>
            <w:r>
              <w:rPr>
                <w:rFonts w:cs="Arial"/>
                <w:sz w:val="20"/>
                <w:szCs w:val="20"/>
              </w:rPr>
              <w:t>Scale up coverage and quality of contact investigation, with a focus on close contracts, TPT</w:t>
            </w:r>
            <w:r w:rsidR="00A42DB1">
              <w:rPr>
                <w:rFonts w:cs="Arial"/>
                <w:sz w:val="20"/>
                <w:szCs w:val="20"/>
              </w:rPr>
              <w:t xml:space="preserve">. </w:t>
            </w:r>
          </w:p>
          <w:p w14:paraId="109109B1" w14:textId="77777777" w:rsidR="00A42DB1" w:rsidRDefault="005E4CE2" w:rsidP="00A42DB1">
            <w:pPr>
              <w:spacing w:after="0" w:line="240" w:lineRule="auto"/>
              <w:rPr>
                <w:rFonts w:cs="Arial"/>
                <w:sz w:val="20"/>
                <w:szCs w:val="20"/>
              </w:rPr>
            </w:pPr>
            <w:r>
              <w:rPr>
                <w:rFonts w:cs="Arial"/>
                <w:sz w:val="20"/>
                <w:szCs w:val="20"/>
              </w:rPr>
              <w:t xml:space="preserve">For HIV, funding priorities are aligned with the need to improve the cascade of care and reach the 90-90-90 by using a strategic mix of testing, improving the cascade per se and removing the bottlenecks, prioritize MSM and SWs in prevention activities, revamp combination prevention approaches and improve quality of KP prevention service package, scaling up PrEP.  </w:t>
            </w:r>
          </w:p>
          <w:p w14:paraId="6137ACEF" w14:textId="77777777" w:rsidR="00A42DB1" w:rsidRDefault="00A42DB1" w:rsidP="00A42DB1">
            <w:pPr>
              <w:spacing w:after="0" w:line="240" w:lineRule="auto"/>
              <w:rPr>
                <w:rFonts w:cs="Arial"/>
                <w:sz w:val="20"/>
                <w:szCs w:val="20"/>
              </w:rPr>
            </w:pPr>
          </w:p>
          <w:p w14:paraId="5D6FF4A8" w14:textId="241CD85E" w:rsidR="005E4CE2" w:rsidRDefault="005E4CE2" w:rsidP="00A42DB1">
            <w:pPr>
              <w:spacing w:after="0" w:line="240" w:lineRule="auto"/>
              <w:rPr>
                <w:rFonts w:cs="Arial"/>
                <w:sz w:val="20"/>
                <w:szCs w:val="20"/>
              </w:rPr>
            </w:pPr>
            <w:r>
              <w:rPr>
                <w:rFonts w:cs="Arial"/>
                <w:sz w:val="20"/>
                <w:szCs w:val="20"/>
              </w:rPr>
              <w:t xml:space="preserve">Overall the funding request includes a number of RSSH and CSS interventions to strengthen more sustainable mechanisms for public finance of HIV and TB services in the context of decentralization and integration, in order to accelerate adoption of people-centered approaches and to ensure access to quality and affordable commodities as Moldova increasingly takes over these costs and uses national procurement mechanisms. </w:t>
            </w:r>
          </w:p>
          <w:p w14:paraId="01A54E71" w14:textId="77777777" w:rsidR="00A42DB1" w:rsidRDefault="00A42DB1" w:rsidP="00A42DB1">
            <w:pPr>
              <w:spacing w:after="0" w:line="240" w:lineRule="auto"/>
              <w:rPr>
                <w:rFonts w:cs="Arial"/>
                <w:sz w:val="20"/>
                <w:szCs w:val="20"/>
              </w:rPr>
            </w:pPr>
          </w:p>
          <w:tbl>
            <w:tblPr>
              <w:tblW w:w="7560" w:type="dxa"/>
              <w:tblLook w:val="04A0" w:firstRow="1" w:lastRow="0" w:firstColumn="1" w:lastColumn="0" w:noHBand="0" w:noVBand="1"/>
            </w:tblPr>
            <w:tblGrid>
              <w:gridCol w:w="5020"/>
              <w:gridCol w:w="1320"/>
              <w:gridCol w:w="1220"/>
            </w:tblGrid>
            <w:tr w:rsidR="00A42DB1" w:rsidRPr="00A42DB1" w14:paraId="268C424F" w14:textId="77777777" w:rsidTr="008376E7">
              <w:trPr>
                <w:trHeight w:val="300"/>
              </w:trPr>
              <w:tc>
                <w:tcPr>
                  <w:tcW w:w="5020" w:type="dxa"/>
                  <w:tcBorders>
                    <w:top w:val="nil"/>
                    <w:left w:val="nil"/>
                    <w:bottom w:val="nil"/>
                    <w:right w:val="nil"/>
                  </w:tcBorders>
                  <w:shd w:val="clear" w:color="auto" w:fill="0070C0"/>
                  <w:noWrap/>
                  <w:vAlign w:val="bottom"/>
                  <w:hideMark/>
                </w:tcPr>
                <w:p w14:paraId="2EE50BF5" w14:textId="77777777" w:rsidR="00A42DB1" w:rsidRPr="00A42DB1" w:rsidRDefault="00A42DB1" w:rsidP="00A42DB1">
                  <w:pPr>
                    <w:spacing w:after="0" w:line="240" w:lineRule="auto"/>
                    <w:rPr>
                      <w:rFonts w:ascii="Calibri" w:eastAsia="Times New Roman" w:hAnsi="Calibri" w:cs="Calibri"/>
                      <w:b/>
                      <w:bCs/>
                      <w:color w:val="FFFFFF"/>
                    </w:rPr>
                  </w:pPr>
                  <w:r w:rsidRPr="00A42DB1">
                    <w:rPr>
                      <w:rFonts w:ascii="Calibri" w:eastAsia="Times New Roman" w:hAnsi="Calibri" w:cs="Calibri"/>
                      <w:b/>
                      <w:bCs/>
                      <w:color w:val="FFFFFF"/>
                    </w:rPr>
                    <w:t>Component 1: TB</w:t>
                  </w:r>
                </w:p>
              </w:tc>
              <w:tc>
                <w:tcPr>
                  <w:tcW w:w="1320" w:type="dxa"/>
                  <w:tcBorders>
                    <w:top w:val="nil"/>
                    <w:left w:val="nil"/>
                    <w:bottom w:val="nil"/>
                    <w:right w:val="nil"/>
                  </w:tcBorders>
                  <w:shd w:val="clear" w:color="auto" w:fill="0070C0"/>
                  <w:noWrap/>
                  <w:vAlign w:val="bottom"/>
                  <w:hideMark/>
                </w:tcPr>
                <w:p w14:paraId="2408844E" w14:textId="77777777" w:rsidR="00A42DB1" w:rsidRPr="00A42DB1" w:rsidRDefault="00A42DB1" w:rsidP="00A42DB1">
                  <w:pPr>
                    <w:spacing w:after="0" w:line="240" w:lineRule="auto"/>
                    <w:rPr>
                      <w:rFonts w:ascii="Calibri" w:eastAsia="Times New Roman" w:hAnsi="Calibri" w:cs="Calibri"/>
                      <w:b/>
                      <w:bCs/>
                      <w:color w:val="FFFFFF"/>
                    </w:rPr>
                  </w:pPr>
                  <w:r w:rsidRPr="00A42DB1">
                    <w:rPr>
                      <w:rFonts w:ascii="Calibri" w:eastAsia="Times New Roman" w:hAnsi="Calibri" w:cs="Calibri"/>
                      <w:b/>
                      <w:bCs/>
                      <w:color w:val="FFFFFF"/>
                    </w:rPr>
                    <w:t>EUR</w:t>
                  </w:r>
                </w:p>
              </w:tc>
              <w:tc>
                <w:tcPr>
                  <w:tcW w:w="1220" w:type="dxa"/>
                  <w:tcBorders>
                    <w:top w:val="nil"/>
                    <w:left w:val="nil"/>
                    <w:bottom w:val="nil"/>
                    <w:right w:val="nil"/>
                  </w:tcBorders>
                  <w:shd w:val="clear" w:color="auto" w:fill="0070C0"/>
                  <w:noWrap/>
                  <w:vAlign w:val="bottom"/>
                  <w:hideMark/>
                </w:tcPr>
                <w:p w14:paraId="75C8770E" w14:textId="77777777" w:rsidR="00A42DB1" w:rsidRPr="00A42DB1" w:rsidRDefault="00A42DB1" w:rsidP="00A42DB1">
                  <w:pPr>
                    <w:spacing w:after="0" w:line="240" w:lineRule="auto"/>
                    <w:rPr>
                      <w:rFonts w:ascii="Calibri" w:eastAsia="Times New Roman" w:hAnsi="Calibri" w:cs="Calibri"/>
                      <w:b/>
                      <w:bCs/>
                      <w:color w:val="FFFFFF"/>
                    </w:rPr>
                  </w:pPr>
                  <w:r w:rsidRPr="00A42DB1">
                    <w:rPr>
                      <w:rFonts w:ascii="Calibri" w:eastAsia="Times New Roman" w:hAnsi="Calibri" w:cs="Calibri"/>
                      <w:b/>
                      <w:bCs/>
                      <w:color w:val="FFFFFF"/>
                    </w:rPr>
                    <w:t>% of Total</w:t>
                  </w:r>
                </w:p>
              </w:tc>
            </w:tr>
            <w:tr w:rsidR="00A42DB1" w:rsidRPr="00A42DB1" w14:paraId="79970C7E" w14:textId="77777777" w:rsidTr="00A42DB1">
              <w:trPr>
                <w:trHeight w:val="300"/>
              </w:trPr>
              <w:tc>
                <w:tcPr>
                  <w:tcW w:w="5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88BAA" w14:textId="77777777" w:rsidR="00A42DB1" w:rsidRPr="00A42DB1" w:rsidRDefault="00A42DB1" w:rsidP="00A42DB1">
                  <w:pPr>
                    <w:spacing w:after="0" w:line="240" w:lineRule="auto"/>
                    <w:rPr>
                      <w:rFonts w:eastAsia="Times New Roman" w:cs="Arial"/>
                      <w:sz w:val="20"/>
                      <w:szCs w:val="20"/>
                    </w:rPr>
                  </w:pPr>
                  <w:r w:rsidRPr="00A42DB1">
                    <w:rPr>
                      <w:rFonts w:eastAsia="Times New Roman" w:cs="Arial"/>
                      <w:sz w:val="20"/>
                      <w:szCs w:val="20"/>
                    </w:rPr>
                    <w:t>TB care and prevention</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2772F717"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007DEA6D"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r>
            <w:tr w:rsidR="00A42DB1" w:rsidRPr="00A42DB1" w14:paraId="208B1747" w14:textId="77777777" w:rsidTr="00A42DB1">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32C7471F" w14:textId="77777777" w:rsidR="00A42DB1" w:rsidRPr="00A42DB1" w:rsidRDefault="00A42DB1" w:rsidP="00A42DB1">
                  <w:pPr>
                    <w:spacing w:after="0" w:line="240" w:lineRule="auto"/>
                    <w:rPr>
                      <w:rFonts w:eastAsia="Times New Roman" w:cs="Arial"/>
                      <w:sz w:val="20"/>
                      <w:szCs w:val="20"/>
                    </w:rPr>
                  </w:pPr>
                  <w:r w:rsidRPr="00A42DB1">
                    <w:rPr>
                      <w:rFonts w:eastAsia="Times New Roman" w:cs="Arial"/>
                      <w:sz w:val="20"/>
                      <w:szCs w:val="20"/>
                    </w:rPr>
                    <w:t>MDR-TB</w:t>
                  </w:r>
                </w:p>
              </w:tc>
              <w:tc>
                <w:tcPr>
                  <w:tcW w:w="1320" w:type="dxa"/>
                  <w:tcBorders>
                    <w:top w:val="nil"/>
                    <w:left w:val="nil"/>
                    <w:bottom w:val="single" w:sz="4" w:space="0" w:color="auto"/>
                    <w:right w:val="single" w:sz="4" w:space="0" w:color="auto"/>
                  </w:tcBorders>
                  <w:shd w:val="clear" w:color="auto" w:fill="auto"/>
                  <w:noWrap/>
                  <w:vAlign w:val="bottom"/>
                  <w:hideMark/>
                </w:tcPr>
                <w:p w14:paraId="22002D55"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14:paraId="7BD7CAC6"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r>
            <w:tr w:rsidR="00A42DB1" w:rsidRPr="00A42DB1" w14:paraId="55BD79AD" w14:textId="77777777" w:rsidTr="00A42DB1">
              <w:trPr>
                <w:trHeight w:val="300"/>
              </w:trPr>
              <w:tc>
                <w:tcPr>
                  <w:tcW w:w="5020" w:type="dxa"/>
                  <w:tcBorders>
                    <w:top w:val="nil"/>
                    <w:left w:val="single" w:sz="4" w:space="0" w:color="auto"/>
                    <w:bottom w:val="single" w:sz="4" w:space="0" w:color="auto"/>
                    <w:right w:val="single" w:sz="4" w:space="0" w:color="auto"/>
                  </w:tcBorders>
                  <w:shd w:val="clear" w:color="000000" w:fill="C00000"/>
                  <w:vAlign w:val="center"/>
                  <w:hideMark/>
                </w:tcPr>
                <w:p w14:paraId="1308B053" w14:textId="77777777" w:rsidR="00A42DB1" w:rsidRPr="00A42DB1" w:rsidRDefault="00A42DB1" w:rsidP="00A42DB1">
                  <w:pPr>
                    <w:spacing w:after="0" w:line="240" w:lineRule="auto"/>
                    <w:rPr>
                      <w:rFonts w:eastAsia="Times New Roman" w:cs="Arial"/>
                      <w:b/>
                      <w:bCs/>
                      <w:color w:val="FFFFFF"/>
                      <w:sz w:val="20"/>
                      <w:szCs w:val="20"/>
                    </w:rPr>
                  </w:pPr>
                  <w:r w:rsidRPr="00A42DB1">
                    <w:rPr>
                      <w:rFonts w:eastAsia="Times New Roman" w:cs="Arial"/>
                      <w:b/>
                      <w:bCs/>
                      <w:color w:val="FFFFFF"/>
                      <w:sz w:val="20"/>
                      <w:szCs w:val="20"/>
                    </w:rPr>
                    <w:t>Component 2: HIV</w:t>
                  </w:r>
                </w:p>
              </w:tc>
              <w:tc>
                <w:tcPr>
                  <w:tcW w:w="1320" w:type="dxa"/>
                  <w:tcBorders>
                    <w:top w:val="nil"/>
                    <w:left w:val="nil"/>
                    <w:bottom w:val="single" w:sz="4" w:space="0" w:color="auto"/>
                    <w:right w:val="single" w:sz="4" w:space="0" w:color="auto"/>
                  </w:tcBorders>
                  <w:shd w:val="clear" w:color="000000" w:fill="C00000"/>
                  <w:noWrap/>
                  <w:vAlign w:val="bottom"/>
                  <w:hideMark/>
                </w:tcPr>
                <w:p w14:paraId="4F61161A" w14:textId="77777777" w:rsidR="00A42DB1" w:rsidRPr="00A42DB1" w:rsidRDefault="00A42DB1" w:rsidP="00A42DB1">
                  <w:pPr>
                    <w:spacing w:after="0" w:line="240" w:lineRule="auto"/>
                    <w:rPr>
                      <w:rFonts w:eastAsia="Times New Roman" w:cs="Arial"/>
                      <w:b/>
                      <w:bCs/>
                      <w:color w:val="FFFFFF"/>
                      <w:sz w:val="20"/>
                      <w:szCs w:val="20"/>
                    </w:rPr>
                  </w:pPr>
                  <w:r w:rsidRPr="00A42DB1">
                    <w:rPr>
                      <w:rFonts w:eastAsia="Times New Roman" w:cs="Arial"/>
                      <w:b/>
                      <w:bCs/>
                      <w:color w:val="FFFFFF"/>
                      <w:sz w:val="20"/>
                      <w:szCs w:val="20"/>
                    </w:rPr>
                    <w:t> </w:t>
                  </w:r>
                </w:p>
              </w:tc>
              <w:tc>
                <w:tcPr>
                  <w:tcW w:w="1220" w:type="dxa"/>
                  <w:tcBorders>
                    <w:top w:val="nil"/>
                    <w:left w:val="nil"/>
                    <w:bottom w:val="single" w:sz="4" w:space="0" w:color="auto"/>
                    <w:right w:val="single" w:sz="4" w:space="0" w:color="auto"/>
                  </w:tcBorders>
                  <w:shd w:val="clear" w:color="000000" w:fill="C00000"/>
                  <w:noWrap/>
                  <w:vAlign w:val="bottom"/>
                  <w:hideMark/>
                </w:tcPr>
                <w:p w14:paraId="5A99B4E4" w14:textId="77777777" w:rsidR="00A42DB1" w:rsidRPr="00A42DB1" w:rsidRDefault="00A42DB1" w:rsidP="00A42DB1">
                  <w:pPr>
                    <w:spacing w:after="0" w:line="240" w:lineRule="auto"/>
                    <w:rPr>
                      <w:rFonts w:eastAsia="Times New Roman" w:cs="Arial"/>
                      <w:b/>
                      <w:bCs/>
                      <w:color w:val="FFFFFF"/>
                      <w:sz w:val="20"/>
                      <w:szCs w:val="20"/>
                    </w:rPr>
                  </w:pPr>
                  <w:r w:rsidRPr="00A42DB1">
                    <w:rPr>
                      <w:rFonts w:eastAsia="Times New Roman" w:cs="Arial"/>
                      <w:b/>
                      <w:bCs/>
                      <w:color w:val="FFFFFF"/>
                      <w:sz w:val="20"/>
                      <w:szCs w:val="20"/>
                    </w:rPr>
                    <w:t> </w:t>
                  </w:r>
                </w:p>
              </w:tc>
            </w:tr>
            <w:tr w:rsidR="00A42DB1" w:rsidRPr="00A42DB1" w14:paraId="28928811" w14:textId="77777777" w:rsidTr="00A42DB1">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60F1BC6F" w14:textId="77777777" w:rsidR="00A42DB1" w:rsidRPr="00A42DB1" w:rsidRDefault="00A42DB1" w:rsidP="00A42DB1">
                  <w:pPr>
                    <w:spacing w:after="0" w:line="240" w:lineRule="auto"/>
                    <w:rPr>
                      <w:rFonts w:eastAsia="Times New Roman" w:cs="Arial"/>
                      <w:sz w:val="20"/>
                      <w:szCs w:val="20"/>
                    </w:rPr>
                  </w:pPr>
                  <w:r w:rsidRPr="00A42DB1">
                    <w:rPr>
                      <w:rFonts w:eastAsia="Times New Roman" w:cs="Arial"/>
                      <w:sz w:val="20"/>
                      <w:szCs w:val="20"/>
                    </w:rPr>
                    <w:t>Prevention</w:t>
                  </w:r>
                </w:p>
              </w:tc>
              <w:tc>
                <w:tcPr>
                  <w:tcW w:w="1320" w:type="dxa"/>
                  <w:tcBorders>
                    <w:top w:val="nil"/>
                    <w:left w:val="nil"/>
                    <w:bottom w:val="single" w:sz="4" w:space="0" w:color="auto"/>
                    <w:right w:val="single" w:sz="4" w:space="0" w:color="auto"/>
                  </w:tcBorders>
                  <w:shd w:val="clear" w:color="auto" w:fill="auto"/>
                  <w:noWrap/>
                  <w:vAlign w:val="bottom"/>
                  <w:hideMark/>
                </w:tcPr>
                <w:p w14:paraId="34D6DF51"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14:paraId="3241FCF8"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r>
            <w:tr w:rsidR="00A42DB1" w:rsidRPr="00A42DB1" w14:paraId="5D4CA413" w14:textId="77777777" w:rsidTr="00A42DB1">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187AC314" w14:textId="77777777" w:rsidR="00A42DB1" w:rsidRPr="00A42DB1" w:rsidRDefault="00A42DB1" w:rsidP="00A42DB1">
                  <w:pPr>
                    <w:spacing w:after="0" w:line="240" w:lineRule="auto"/>
                    <w:rPr>
                      <w:rFonts w:eastAsia="Times New Roman" w:cs="Arial"/>
                      <w:sz w:val="20"/>
                      <w:szCs w:val="20"/>
                    </w:rPr>
                  </w:pPr>
                  <w:r w:rsidRPr="00A42DB1">
                    <w:rPr>
                      <w:rFonts w:eastAsia="Times New Roman" w:cs="Arial"/>
                      <w:sz w:val="20"/>
                      <w:szCs w:val="20"/>
                    </w:rPr>
                    <w:t>Differentiated HIV Testing Services</w:t>
                  </w:r>
                </w:p>
              </w:tc>
              <w:tc>
                <w:tcPr>
                  <w:tcW w:w="1320" w:type="dxa"/>
                  <w:tcBorders>
                    <w:top w:val="nil"/>
                    <w:left w:val="nil"/>
                    <w:bottom w:val="single" w:sz="4" w:space="0" w:color="auto"/>
                    <w:right w:val="single" w:sz="4" w:space="0" w:color="auto"/>
                  </w:tcBorders>
                  <w:shd w:val="clear" w:color="auto" w:fill="auto"/>
                  <w:noWrap/>
                  <w:vAlign w:val="bottom"/>
                  <w:hideMark/>
                </w:tcPr>
                <w:p w14:paraId="389A9402"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14:paraId="1D2CDDFB"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r>
            <w:tr w:rsidR="00A42DB1" w:rsidRPr="00A42DB1" w14:paraId="18A5B10A" w14:textId="77777777" w:rsidTr="00A42DB1">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603F4817" w14:textId="77777777" w:rsidR="00A42DB1" w:rsidRPr="00A42DB1" w:rsidRDefault="00A42DB1" w:rsidP="00A42DB1">
                  <w:pPr>
                    <w:spacing w:after="0" w:line="240" w:lineRule="auto"/>
                    <w:rPr>
                      <w:rFonts w:eastAsia="Times New Roman" w:cs="Arial"/>
                      <w:sz w:val="20"/>
                      <w:szCs w:val="20"/>
                    </w:rPr>
                  </w:pPr>
                  <w:r w:rsidRPr="00A42DB1">
                    <w:rPr>
                      <w:rFonts w:eastAsia="Times New Roman" w:cs="Arial"/>
                      <w:sz w:val="20"/>
                      <w:szCs w:val="20"/>
                    </w:rPr>
                    <w:t>PMTCT</w:t>
                  </w:r>
                </w:p>
              </w:tc>
              <w:tc>
                <w:tcPr>
                  <w:tcW w:w="1320" w:type="dxa"/>
                  <w:tcBorders>
                    <w:top w:val="nil"/>
                    <w:left w:val="nil"/>
                    <w:bottom w:val="single" w:sz="4" w:space="0" w:color="auto"/>
                    <w:right w:val="single" w:sz="4" w:space="0" w:color="auto"/>
                  </w:tcBorders>
                  <w:shd w:val="clear" w:color="auto" w:fill="auto"/>
                  <w:noWrap/>
                  <w:vAlign w:val="bottom"/>
                  <w:hideMark/>
                </w:tcPr>
                <w:p w14:paraId="76BD765D"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14:paraId="5D72D016"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r>
            <w:tr w:rsidR="00A42DB1" w:rsidRPr="00A42DB1" w14:paraId="60B09CFA" w14:textId="77777777" w:rsidTr="00A42DB1">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27858654" w14:textId="77777777" w:rsidR="00A42DB1" w:rsidRPr="00A42DB1" w:rsidRDefault="00A42DB1" w:rsidP="00A42DB1">
                  <w:pPr>
                    <w:spacing w:after="0" w:line="240" w:lineRule="auto"/>
                    <w:rPr>
                      <w:rFonts w:eastAsia="Times New Roman" w:cs="Arial"/>
                      <w:sz w:val="20"/>
                      <w:szCs w:val="20"/>
                    </w:rPr>
                  </w:pPr>
                  <w:r w:rsidRPr="00A42DB1">
                    <w:rPr>
                      <w:rFonts w:eastAsia="Times New Roman" w:cs="Arial"/>
                      <w:sz w:val="20"/>
                      <w:szCs w:val="20"/>
                    </w:rPr>
                    <w:t>Treatment, care and support</w:t>
                  </w:r>
                </w:p>
              </w:tc>
              <w:tc>
                <w:tcPr>
                  <w:tcW w:w="1320" w:type="dxa"/>
                  <w:tcBorders>
                    <w:top w:val="nil"/>
                    <w:left w:val="nil"/>
                    <w:bottom w:val="single" w:sz="4" w:space="0" w:color="auto"/>
                    <w:right w:val="single" w:sz="4" w:space="0" w:color="auto"/>
                  </w:tcBorders>
                  <w:shd w:val="clear" w:color="auto" w:fill="auto"/>
                  <w:noWrap/>
                  <w:vAlign w:val="bottom"/>
                  <w:hideMark/>
                </w:tcPr>
                <w:p w14:paraId="487F191C"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14:paraId="4EF323C8"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r>
            <w:tr w:rsidR="00A42DB1" w:rsidRPr="00A42DB1" w14:paraId="2A844431" w14:textId="77777777" w:rsidTr="00A42DB1">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7282FD2E" w14:textId="77777777" w:rsidR="00A42DB1" w:rsidRPr="00A42DB1" w:rsidRDefault="00A42DB1" w:rsidP="00A42DB1">
                  <w:pPr>
                    <w:spacing w:after="0" w:line="240" w:lineRule="auto"/>
                    <w:rPr>
                      <w:rFonts w:eastAsia="Times New Roman" w:cs="Arial"/>
                      <w:sz w:val="20"/>
                      <w:szCs w:val="20"/>
                    </w:rPr>
                  </w:pPr>
                  <w:r w:rsidRPr="00A42DB1">
                    <w:rPr>
                      <w:rFonts w:eastAsia="Times New Roman" w:cs="Arial"/>
                      <w:sz w:val="20"/>
                      <w:szCs w:val="20"/>
                    </w:rPr>
                    <w:t>Program management</w:t>
                  </w:r>
                </w:p>
              </w:tc>
              <w:tc>
                <w:tcPr>
                  <w:tcW w:w="1320" w:type="dxa"/>
                  <w:tcBorders>
                    <w:top w:val="nil"/>
                    <w:left w:val="nil"/>
                    <w:bottom w:val="single" w:sz="4" w:space="0" w:color="auto"/>
                    <w:right w:val="single" w:sz="4" w:space="0" w:color="auto"/>
                  </w:tcBorders>
                  <w:shd w:val="clear" w:color="auto" w:fill="auto"/>
                  <w:noWrap/>
                  <w:vAlign w:val="bottom"/>
                  <w:hideMark/>
                </w:tcPr>
                <w:p w14:paraId="2637D02A"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14:paraId="463997E0"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r>
            <w:tr w:rsidR="00A42DB1" w:rsidRPr="00A42DB1" w14:paraId="65FB0BA3" w14:textId="77777777" w:rsidTr="00A42DB1">
              <w:trPr>
                <w:trHeight w:val="300"/>
              </w:trPr>
              <w:tc>
                <w:tcPr>
                  <w:tcW w:w="5020" w:type="dxa"/>
                  <w:tcBorders>
                    <w:top w:val="nil"/>
                    <w:left w:val="single" w:sz="4" w:space="0" w:color="auto"/>
                    <w:bottom w:val="single" w:sz="4" w:space="0" w:color="auto"/>
                    <w:right w:val="single" w:sz="4" w:space="0" w:color="auto"/>
                  </w:tcBorders>
                  <w:shd w:val="clear" w:color="000000" w:fill="7030A0"/>
                  <w:vAlign w:val="center"/>
                  <w:hideMark/>
                </w:tcPr>
                <w:p w14:paraId="2F38E125" w14:textId="77777777" w:rsidR="00A42DB1" w:rsidRPr="00A42DB1" w:rsidRDefault="00A42DB1" w:rsidP="00A42DB1">
                  <w:pPr>
                    <w:spacing w:after="0" w:line="240" w:lineRule="auto"/>
                    <w:rPr>
                      <w:rFonts w:eastAsia="Times New Roman" w:cs="Arial"/>
                      <w:b/>
                      <w:bCs/>
                      <w:color w:val="FFFFFF"/>
                      <w:sz w:val="20"/>
                      <w:szCs w:val="20"/>
                    </w:rPr>
                  </w:pPr>
                  <w:r w:rsidRPr="00A42DB1">
                    <w:rPr>
                      <w:rFonts w:eastAsia="Times New Roman" w:cs="Arial"/>
                      <w:b/>
                      <w:bCs/>
                      <w:color w:val="FFFFFF"/>
                      <w:sz w:val="20"/>
                      <w:szCs w:val="20"/>
                    </w:rPr>
                    <w:t xml:space="preserve">Component 3: RSSH </w:t>
                  </w:r>
                </w:p>
              </w:tc>
              <w:tc>
                <w:tcPr>
                  <w:tcW w:w="1320" w:type="dxa"/>
                  <w:tcBorders>
                    <w:top w:val="nil"/>
                    <w:left w:val="nil"/>
                    <w:bottom w:val="single" w:sz="4" w:space="0" w:color="auto"/>
                    <w:right w:val="single" w:sz="4" w:space="0" w:color="auto"/>
                  </w:tcBorders>
                  <w:shd w:val="clear" w:color="000000" w:fill="7030A0"/>
                  <w:noWrap/>
                  <w:vAlign w:val="bottom"/>
                  <w:hideMark/>
                </w:tcPr>
                <w:p w14:paraId="34221E03" w14:textId="77777777" w:rsidR="00A42DB1" w:rsidRPr="00A42DB1" w:rsidRDefault="00A42DB1" w:rsidP="00A42DB1">
                  <w:pPr>
                    <w:spacing w:after="0" w:line="240" w:lineRule="auto"/>
                    <w:rPr>
                      <w:rFonts w:eastAsia="Times New Roman" w:cs="Arial"/>
                      <w:b/>
                      <w:bCs/>
                      <w:color w:val="FFFFFF"/>
                      <w:sz w:val="20"/>
                      <w:szCs w:val="20"/>
                    </w:rPr>
                  </w:pPr>
                  <w:r w:rsidRPr="00A42DB1">
                    <w:rPr>
                      <w:rFonts w:eastAsia="Times New Roman" w:cs="Arial"/>
                      <w:b/>
                      <w:bCs/>
                      <w:color w:val="FFFFFF"/>
                      <w:sz w:val="20"/>
                      <w:szCs w:val="20"/>
                    </w:rPr>
                    <w:t> </w:t>
                  </w:r>
                </w:p>
              </w:tc>
              <w:tc>
                <w:tcPr>
                  <w:tcW w:w="1220" w:type="dxa"/>
                  <w:tcBorders>
                    <w:top w:val="nil"/>
                    <w:left w:val="nil"/>
                    <w:bottom w:val="single" w:sz="4" w:space="0" w:color="auto"/>
                    <w:right w:val="single" w:sz="4" w:space="0" w:color="auto"/>
                  </w:tcBorders>
                  <w:shd w:val="clear" w:color="000000" w:fill="7030A0"/>
                  <w:noWrap/>
                  <w:vAlign w:val="bottom"/>
                  <w:hideMark/>
                </w:tcPr>
                <w:p w14:paraId="1BE61D34" w14:textId="77777777" w:rsidR="00A42DB1" w:rsidRPr="00A42DB1" w:rsidRDefault="00A42DB1" w:rsidP="00A42DB1">
                  <w:pPr>
                    <w:spacing w:after="0" w:line="240" w:lineRule="auto"/>
                    <w:rPr>
                      <w:rFonts w:eastAsia="Times New Roman" w:cs="Arial"/>
                      <w:b/>
                      <w:bCs/>
                      <w:color w:val="FFFFFF"/>
                      <w:sz w:val="20"/>
                      <w:szCs w:val="20"/>
                    </w:rPr>
                  </w:pPr>
                  <w:r w:rsidRPr="00A42DB1">
                    <w:rPr>
                      <w:rFonts w:eastAsia="Times New Roman" w:cs="Arial"/>
                      <w:b/>
                      <w:bCs/>
                      <w:color w:val="FFFFFF"/>
                      <w:sz w:val="20"/>
                      <w:szCs w:val="20"/>
                    </w:rPr>
                    <w:t> </w:t>
                  </w:r>
                </w:p>
              </w:tc>
            </w:tr>
            <w:tr w:rsidR="00A42DB1" w:rsidRPr="00A42DB1" w14:paraId="46D1D837" w14:textId="77777777" w:rsidTr="00A42DB1">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6AFA4B72" w14:textId="77777777" w:rsidR="00A42DB1" w:rsidRPr="00A42DB1" w:rsidRDefault="00A42DB1" w:rsidP="00A42DB1">
                  <w:pPr>
                    <w:spacing w:after="0" w:line="240" w:lineRule="auto"/>
                    <w:rPr>
                      <w:rFonts w:eastAsia="Times New Roman" w:cs="Arial"/>
                      <w:sz w:val="20"/>
                      <w:szCs w:val="20"/>
                    </w:rPr>
                  </w:pPr>
                  <w:r w:rsidRPr="00A42DB1">
                    <w:rPr>
                      <w:rFonts w:eastAsia="Times New Roman" w:cs="Arial"/>
                      <w:sz w:val="20"/>
                      <w:szCs w:val="20"/>
                    </w:rPr>
                    <w:t>RSSH: Health sector governance and planning</w:t>
                  </w:r>
                </w:p>
              </w:tc>
              <w:tc>
                <w:tcPr>
                  <w:tcW w:w="1320" w:type="dxa"/>
                  <w:tcBorders>
                    <w:top w:val="nil"/>
                    <w:left w:val="nil"/>
                    <w:bottom w:val="single" w:sz="4" w:space="0" w:color="auto"/>
                    <w:right w:val="single" w:sz="4" w:space="0" w:color="auto"/>
                  </w:tcBorders>
                  <w:shd w:val="clear" w:color="auto" w:fill="auto"/>
                  <w:noWrap/>
                  <w:vAlign w:val="bottom"/>
                  <w:hideMark/>
                </w:tcPr>
                <w:p w14:paraId="1F2D4F73"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14:paraId="284DAC25"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r>
            <w:tr w:rsidR="00A42DB1" w:rsidRPr="00A42DB1" w14:paraId="4E4B66D4" w14:textId="77777777" w:rsidTr="00A42DB1">
              <w:trPr>
                <w:trHeight w:val="51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7B608879" w14:textId="77777777" w:rsidR="00A42DB1" w:rsidRPr="00A42DB1" w:rsidRDefault="00A42DB1" w:rsidP="00A42DB1">
                  <w:pPr>
                    <w:spacing w:after="0" w:line="240" w:lineRule="auto"/>
                    <w:rPr>
                      <w:rFonts w:eastAsia="Times New Roman" w:cs="Arial"/>
                      <w:sz w:val="20"/>
                      <w:szCs w:val="20"/>
                    </w:rPr>
                  </w:pPr>
                  <w:r w:rsidRPr="00A42DB1">
                    <w:rPr>
                      <w:rFonts w:eastAsia="Times New Roman" w:cs="Arial"/>
                      <w:sz w:val="20"/>
                      <w:szCs w:val="20"/>
                    </w:rPr>
                    <w:t>RSSH: Integrated service delivery and quality improvement</w:t>
                  </w:r>
                </w:p>
              </w:tc>
              <w:tc>
                <w:tcPr>
                  <w:tcW w:w="1320" w:type="dxa"/>
                  <w:tcBorders>
                    <w:top w:val="nil"/>
                    <w:left w:val="nil"/>
                    <w:bottom w:val="single" w:sz="4" w:space="0" w:color="auto"/>
                    <w:right w:val="single" w:sz="4" w:space="0" w:color="auto"/>
                  </w:tcBorders>
                  <w:shd w:val="clear" w:color="auto" w:fill="auto"/>
                  <w:noWrap/>
                  <w:vAlign w:val="bottom"/>
                  <w:hideMark/>
                </w:tcPr>
                <w:p w14:paraId="416089A3"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14:paraId="2F8CF979"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r>
            <w:tr w:rsidR="00A42DB1" w:rsidRPr="00A42DB1" w14:paraId="143D952C" w14:textId="77777777" w:rsidTr="00A42DB1">
              <w:trPr>
                <w:trHeight w:val="51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3DB4C4FB" w14:textId="77777777" w:rsidR="00A42DB1" w:rsidRPr="00A42DB1" w:rsidRDefault="00A42DB1" w:rsidP="00A42DB1">
                  <w:pPr>
                    <w:spacing w:after="0" w:line="240" w:lineRule="auto"/>
                    <w:rPr>
                      <w:rFonts w:eastAsia="Times New Roman" w:cs="Arial"/>
                      <w:sz w:val="20"/>
                      <w:szCs w:val="20"/>
                    </w:rPr>
                  </w:pPr>
                  <w:r w:rsidRPr="00A42DB1">
                    <w:rPr>
                      <w:rFonts w:eastAsia="Times New Roman" w:cs="Arial"/>
                      <w:sz w:val="20"/>
                      <w:szCs w:val="20"/>
                    </w:rPr>
                    <w:t>RSSH: Human resources for health, including community health workers</w:t>
                  </w:r>
                </w:p>
              </w:tc>
              <w:tc>
                <w:tcPr>
                  <w:tcW w:w="1320" w:type="dxa"/>
                  <w:tcBorders>
                    <w:top w:val="nil"/>
                    <w:left w:val="nil"/>
                    <w:bottom w:val="single" w:sz="4" w:space="0" w:color="auto"/>
                    <w:right w:val="single" w:sz="4" w:space="0" w:color="auto"/>
                  </w:tcBorders>
                  <w:shd w:val="clear" w:color="auto" w:fill="auto"/>
                  <w:noWrap/>
                  <w:vAlign w:val="bottom"/>
                  <w:hideMark/>
                </w:tcPr>
                <w:p w14:paraId="5AF5B596"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14:paraId="1F44249E"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r>
            <w:tr w:rsidR="00A42DB1" w:rsidRPr="00A42DB1" w14:paraId="1551719D" w14:textId="77777777" w:rsidTr="00A42DB1">
              <w:trPr>
                <w:trHeight w:val="51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19906F4F" w14:textId="77777777" w:rsidR="00A42DB1" w:rsidRPr="00A42DB1" w:rsidRDefault="00A42DB1" w:rsidP="00A42DB1">
                  <w:pPr>
                    <w:spacing w:after="0" w:line="240" w:lineRule="auto"/>
                    <w:rPr>
                      <w:rFonts w:eastAsia="Times New Roman" w:cs="Arial"/>
                      <w:sz w:val="20"/>
                      <w:szCs w:val="20"/>
                    </w:rPr>
                  </w:pPr>
                  <w:r w:rsidRPr="00A42DB1">
                    <w:rPr>
                      <w:rFonts w:eastAsia="Times New Roman" w:cs="Arial"/>
                      <w:sz w:val="20"/>
                      <w:szCs w:val="20"/>
                    </w:rPr>
                    <w:t>RSSH: Health management information systems and M&amp;E</w:t>
                  </w:r>
                </w:p>
              </w:tc>
              <w:tc>
                <w:tcPr>
                  <w:tcW w:w="1320" w:type="dxa"/>
                  <w:tcBorders>
                    <w:top w:val="nil"/>
                    <w:left w:val="nil"/>
                    <w:bottom w:val="single" w:sz="4" w:space="0" w:color="auto"/>
                    <w:right w:val="single" w:sz="4" w:space="0" w:color="auto"/>
                  </w:tcBorders>
                  <w:shd w:val="clear" w:color="auto" w:fill="auto"/>
                  <w:noWrap/>
                  <w:vAlign w:val="bottom"/>
                  <w:hideMark/>
                </w:tcPr>
                <w:p w14:paraId="550AF7A0"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14:paraId="20CA8B5F"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r>
            <w:tr w:rsidR="00A42DB1" w:rsidRPr="00A42DB1" w14:paraId="4995282A" w14:textId="77777777" w:rsidTr="00A42DB1">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70804D0E" w14:textId="77777777" w:rsidR="00A42DB1" w:rsidRPr="00A42DB1" w:rsidRDefault="00A42DB1" w:rsidP="00A42DB1">
                  <w:pPr>
                    <w:spacing w:after="0" w:line="240" w:lineRule="auto"/>
                    <w:rPr>
                      <w:rFonts w:eastAsia="Times New Roman" w:cs="Arial"/>
                      <w:sz w:val="20"/>
                      <w:szCs w:val="20"/>
                    </w:rPr>
                  </w:pPr>
                  <w:r w:rsidRPr="00A42DB1">
                    <w:rPr>
                      <w:rFonts w:eastAsia="Times New Roman" w:cs="Arial"/>
                      <w:sz w:val="20"/>
                      <w:szCs w:val="20"/>
                    </w:rPr>
                    <w:lastRenderedPageBreak/>
                    <w:t>RSSH: Laboratory systems</w:t>
                  </w:r>
                </w:p>
              </w:tc>
              <w:tc>
                <w:tcPr>
                  <w:tcW w:w="1320" w:type="dxa"/>
                  <w:tcBorders>
                    <w:top w:val="nil"/>
                    <w:left w:val="nil"/>
                    <w:bottom w:val="single" w:sz="4" w:space="0" w:color="auto"/>
                    <w:right w:val="single" w:sz="4" w:space="0" w:color="auto"/>
                  </w:tcBorders>
                  <w:shd w:val="clear" w:color="auto" w:fill="auto"/>
                  <w:noWrap/>
                  <w:vAlign w:val="bottom"/>
                  <w:hideMark/>
                </w:tcPr>
                <w:p w14:paraId="0518F4B2"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14:paraId="297005A4"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r>
            <w:tr w:rsidR="00A42DB1" w:rsidRPr="00A42DB1" w14:paraId="198F7477" w14:textId="77777777" w:rsidTr="00A42DB1">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7A32A6F3" w14:textId="77777777" w:rsidR="00A42DB1" w:rsidRPr="00A42DB1" w:rsidRDefault="00A42DB1" w:rsidP="00A42DB1">
                  <w:pPr>
                    <w:spacing w:after="0" w:line="240" w:lineRule="auto"/>
                    <w:rPr>
                      <w:rFonts w:eastAsia="Times New Roman" w:cs="Arial"/>
                      <w:sz w:val="20"/>
                      <w:szCs w:val="20"/>
                    </w:rPr>
                  </w:pPr>
                  <w:r w:rsidRPr="00A42DB1">
                    <w:rPr>
                      <w:rFonts w:eastAsia="Times New Roman" w:cs="Arial"/>
                      <w:sz w:val="20"/>
                      <w:szCs w:val="20"/>
                    </w:rPr>
                    <w:t>RSSH: Health products management systems</w:t>
                  </w:r>
                </w:p>
              </w:tc>
              <w:tc>
                <w:tcPr>
                  <w:tcW w:w="1320" w:type="dxa"/>
                  <w:tcBorders>
                    <w:top w:val="nil"/>
                    <w:left w:val="nil"/>
                    <w:bottom w:val="single" w:sz="4" w:space="0" w:color="auto"/>
                    <w:right w:val="single" w:sz="4" w:space="0" w:color="auto"/>
                  </w:tcBorders>
                  <w:shd w:val="clear" w:color="auto" w:fill="auto"/>
                  <w:noWrap/>
                  <w:vAlign w:val="bottom"/>
                  <w:hideMark/>
                </w:tcPr>
                <w:p w14:paraId="043BB45D"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14:paraId="0182FF79"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r>
            <w:tr w:rsidR="00A42DB1" w:rsidRPr="00A42DB1" w14:paraId="253631FB" w14:textId="77777777" w:rsidTr="00A42DB1">
              <w:trPr>
                <w:trHeight w:val="300"/>
              </w:trPr>
              <w:tc>
                <w:tcPr>
                  <w:tcW w:w="5020" w:type="dxa"/>
                  <w:tcBorders>
                    <w:top w:val="nil"/>
                    <w:left w:val="single" w:sz="4" w:space="0" w:color="auto"/>
                    <w:bottom w:val="single" w:sz="4" w:space="0" w:color="auto"/>
                    <w:right w:val="single" w:sz="4" w:space="0" w:color="auto"/>
                  </w:tcBorders>
                  <w:shd w:val="clear" w:color="000000" w:fill="00B050"/>
                  <w:vAlign w:val="center"/>
                  <w:hideMark/>
                </w:tcPr>
                <w:p w14:paraId="2F73B2DA" w14:textId="77777777" w:rsidR="00A42DB1" w:rsidRPr="00A42DB1" w:rsidRDefault="00A42DB1" w:rsidP="00A42DB1">
                  <w:pPr>
                    <w:spacing w:after="0" w:line="240" w:lineRule="auto"/>
                    <w:rPr>
                      <w:rFonts w:eastAsia="Times New Roman" w:cs="Arial"/>
                      <w:b/>
                      <w:bCs/>
                      <w:color w:val="FFFFFF"/>
                      <w:sz w:val="20"/>
                      <w:szCs w:val="20"/>
                    </w:rPr>
                  </w:pPr>
                  <w:r w:rsidRPr="00A42DB1">
                    <w:rPr>
                      <w:rFonts w:eastAsia="Times New Roman" w:cs="Arial"/>
                      <w:b/>
                      <w:bCs/>
                      <w:color w:val="FFFFFF"/>
                      <w:sz w:val="20"/>
                      <w:szCs w:val="20"/>
                    </w:rPr>
                    <w:t>Component 4: CSS and HRG</w:t>
                  </w:r>
                </w:p>
              </w:tc>
              <w:tc>
                <w:tcPr>
                  <w:tcW w:w="1320" w:type="dxa"/>
                  <w:tcBorders>
                    <w:top w:val="nil"/>
                    <w:left w:val="nil"/>
                    <w:bottom w:val="single" w:sz="4" w:space="0" w:color="auto"/>
                    <w:right w:val="single" w:sz="4" w:space="0" w:color="auto"/>
                  </w:tcBorders>
                  <w:shd w:val="clear" w:color="000000" w:fill="00B050"/>
                  <w:noWrap/>
                  <w:vAlign w:val="bottom"/>
                  <w:hideMark/>
                </w:tcPr>
                <w:p w14:paraId="04A12E54"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c>
                <w:tcPr>
                  <w:tcW w:w="1220" w:type="dxa"/>
                  <w:tcBorders>
                    <w:top w:val="nil"/>
                    <w:left w:val="nil"/>
                    <w:bottom w:val="single" w:sz="4" w:space="0" w:color="auto"/>
                    <w:right w:val="single" w:sz="4" w:space="0" w:color="auto"/>
                  </w:tcBorders>
                  <w:shd w:val="clear" w:color="000000" w:fill="00B050"/>
                  <w:noWrap/>
                  <w:vAlign w:val="bottom"/>
                  <w:hideMark/>
                </w:tcPr>
                <w:p w14:paraId="367AEF2C"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r>
            <w:tr w:rsidR="00A42DB1" w:rsidRPr="00A42DB1" w14:paraId="5E89A68E" w14:textId="77777777" w:rsidTr="00A42DB1">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2B2834D0" w14:textId="77777777" w:rsidR="00A42DB1" w:rsidRPr="00A42DB1" w:rsidRDefault="00A42DB1" w:rsidP="00A42DB1">
                  <w:pPr>
                    <w:spacing w:after="0" w:line="240" w:lineRule="auto"/>
                    <w:rPr>
                      <w:rFonts w:eastAsia="Times New Roman" w:cs="Arial"/>
                      <w:sz w:val="20"/>
                      <w:szCs w:val="20"/>
                    </w:rPr>
                  </w:pPr>
                  <w:r w:rsidRPr="00A42DB1">
                    <w:rPr>
                      <w:rFonts w:eastAsia="Times New Roman" w:cs="Arial"/>
                      <w:sz w:val="20"/>
                      <w:szCs w:val="20"/>
                    </w:rPr>
                    <w:t>RSSH: Community systems strengthening</w:t>
                  </w:r>
                </w:p>
              </w:tc>
              <w:tc>
                <w:tcPr>
                  <w:tcW w:w="1320" w:type="dxa"/>
                  <w:tcBorders>
                    <w:top w:val="nil"/>
                    <w:left w:val="nil"/>
                    <w:bottom w:val="single" w:sz="4" w:space="0" w:color="auto"/>
                    <w:right w:val="single" w:sz="4" w:space="0" w:color="auto"/>
                  </w:tcBorders>
                  <w:shd w:val="clear" w:color="auto" w:fill="auto"/>
                  <w:noWrap/>
                  <w:vAlign w:val="bottom"/>
                  <w:hideMark/>
                </w:tcPr>
                <w:p w14:paraId="407EE61B"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14:paraId="5F4E6BC7"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r>
            <w:tr w:rsidR="00A42DB1" w:rsidRPr="00A42DB1" w14:paraId="44CD7C82" w14:textId="77777777" w:rsidTr="00A42DB1">
              <w:trPr>
                <w:trHeight w:val="51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61C779B0" w14:textId="77777777" w:rsidR="00A42DB1" w:rsidRPr="00A42DB1" w:rsidRDefault="00A42DB1" w:rsidP="00A42DB1">
                  <w:pPr>
                    <w:spacing w:after="0" w:line="240" w:lineRule="auto"/>
                    <w:rPr>
                      <w:rFonts w:eastAsia="Times New Roman" w:cs="Arial"/>
                      <w:sz w:val="20"/>
                      <w:szCs w:val="20"/>
                    </w:rPr>
                  </w:pPr>
                  <w:r w:rsidRPr="00A42DB1">
                    <w:rPr>
                      <w:rFonts w:eastAsia="Times New Roman" w:cs="Arial"/>
                      <w:sz w:val="20"/>
                      <w:szCs w:val="20"/>
                    </w:rPr>
                    <w:t>Reducing human rights-related barriers to HIV/TB services</w:t>
                  </w:r>
                </w:p>
              </w:tc>
              <w:tc>
                <w:tcPr>
                  <w:tcW w:w="1320" w:type="dxa"/>
                  <w:tcBorders>
                    <w:top w:val="nil"/>
                    <w:left w:val="nil"/>
                    <w:bottom w:val="single" w:sz="4" w:space="0" w:color="auto"/>
                    <w:right w:val="single" w:sz="4" w:space="0" w:color="auto"/>
                  </w:tcBorders>
                  <w:shd w:val="clear" w:color="auto" w:fill="auto"/>
                  <w:noWrap/>
                  <w:vAlign w:val="bottom"/>
                  <w:hideMark/>
                </w:tcPr>
                <w:p w14:paraId="3C94488D"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bottom"/>
                  <w:hideMark/>
                </w:tcPr>
                <w:p w14:paraId="1FB02D7B"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r>
            <w:tr w:rsidR="00A42DB1" w:rsidRPr="00A42DB1" w14:paraId="41927ED0" w14:textId="77777777" w:rsidTr="00A42DB1">
              <w:trPr>
                <w:trHeight w:val="300"/>
              </w:trPr>
              <w:tc>
                <w:tcPr>
                  <w:tcW w:w="5020" w:type="dxa"/>
                  <w:tcBorders>
                    <w:top w:val="nil"/>
                    <w:left w:val="nil"/>
                    <w:bottom w:val="nil"/>
                    <w:right w:val="nil"/>
                  </w:tcBorders>
                  <w:shd w:val="clear" w:color="000000" w:fill="FFC000"/>
                  <w:vAlign w:val="center"/>
                  <w:hideMark/>
                </w:tcPr>
                <w:p w14:paraId="1A2E633E" w14:textId="77777777" w:rsidR="00A42DB1" w:rsidRPr="00A42DB1" w:rsidRDefault="00A42DB1" w:rsidP="00A42DB1">
                  <w:pPr>
                    <w:spacing w:after="0" w:line="240" w:lineRule="auto"/>
                    <w:rPr>
                      <w:rFonts w:eastAsia="Times New Roman" w:cs="Arial"/>
                      <w:b/>
                      <w:bCs/>
                      <w:color w:val="FFFFFF"/>
                      <w:sz w:val="20"/>
                      <w:szCs w:val="20"/>
                    </w:rPr>
                  </w:pPr>
                  <w:r w:rsidRPr="00A42DB1">
                    <w:rPr>
                      <w:rFonts w:eastAsia="Times New Roman" w:cs="Arial"/>
                      <w:b/>
                      <w:bCs/>
                      <w:color w:val="FFFFFF"/>
                      <w:sz w:val="20"/>
                      <w:szCs w:val="20"/>
                    </w:rPr>
                    <w:t>Component 5: Program management</w:t>
                  </w:r>
                </w:p>
              </w:tc>
              <w:tc>
                <w:tcPr>
                  <w:tcW w:w="1320" w:type="dxa"/>
                  <w:tcBorders>
                    <w:top w:val="nil"/>
                    <w:left w:val="single" w:sz="4" w:space="0" w:color="auto"/>
                    <w:bottom w:val="nil"/>
                    <w:right w:val="single" w:sz="4" w:space="0" w:color="auto"/>
                  </w:tcBorders>
                  <w:shd w:val="clear" w:color="000000" w:fill="FFC000"/>
                  <w:noWrap/>
                  <w:vAlign w:val="bottom"/>
                  <w:hideMark/>
                </w:tcPr>
                <w:p w14:paraId="00A1F71A"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c>
                <w:tcPr>
                  <w:tcW w:w="1220" w:type="dxa"/>
                  <w:tcBorders>
                    <w:top w:val="nil"/>
                    <w:left w:val="nil"/>
                    <w:bottom w:val="nil"/>
                    <w:right w:val="nil"/>
                  </w:tcBorders>
                  <w:shd w:val="clear" w:color="000000" w:fill="FFC000"/>
                  <w:noWrap/>
                  <w:vAlign w:val="bottom"/>
                  <w:hideMark/>
                </w:tcPr>
                <w:p w14:paraId="60914F0D"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r>
            <w:tr w:rsidR="00A42DB1" w:rsidRPr="00A42DB1" w14:paraId="0A94E899" w14:textId="77777777" w:rsidTr="00A42DB1">
              <w:trPr>
                <w:trHeight w:val="300"/>
              </w:trPr>
              <w:tc>
                <w:tcPr>
                  <w:tcW w:w="5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7D5BE" w14:textId="77777777" w:rsidR="00A42DB1" w:rsidRPr="00A42DB1" w:rsidRDefault="00A42DB1" w:rsidP="00A42DB1">
                  <w:pPr>
                    <w:spacing w:after="0" w:line="240" w:lineRule="auto"/>
                    <w:rPr>
                      <w:rFonts w:eastAsia="Times New Roman" w:cs="Arial"/>
                      <w:sz w:val="20"/>
                      <w:szCs w:val="20"/>
                    </w:rPr>
                  </w:pPr>
                  <w:r w:rsidRPr="00A42DB1">
                    <w:rPr>
                      <w:rFonts w:eastAsia="Times New Roman" w:cs="Arial"/>
                      <w:sz w:val="20"/>
                      <w:szCs w:val="20"/>
                    </w:rPr>
                    <w:t>Grant Management</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296FAE3F" w14:textId="77777777" w:rsidR="00A42DB1" w:rsidRPr="00A42DB1" w:rsidRDefault="00A42DB1" w:rsidP="00A42DB1">
                  <w:pPr>
                    <w:spacing w:after="0" w:line="240" w:lineRule="auto"/>
                    <w:rPr>
                      <w:rFonts w:eastAsia="Times New Roman" w:cs="Arial"/>
                      <w:color w:val="000000"/>
                      <w:sz w:val="20"/>
                      <w:szCs w:val="20"/>
                    </w:rPr>
                  </w:pPr>
                  <w:r w:rsidRPr="00A42DB1">
                    <w:rPr>
                      <w:rFonts w:eastAsia="Times New Roman" w:cs="Arial"/>
                      <w:color w:val="000000"/>
                      <w:sz w:val="20"/>
                      <w:szCs w:val="20"/>
                    </w:rPr>
                    <w:t>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3C7C60A8" w14:textId="77777777" w:rsidR="00A42DB1" w:rsidRPr="00A42DB1" w:rsidRDefault="00A42DB1" w:rsidP="00A42DB1">
                  <w:pPr>
                    <w:spacing w:after="0" w:line="240" w:lineRule="auto"/>
                    <w:rPr>
                      <w:rFonts w:ascii="Calibri" w:eastAsia="Times New Roman" w:hAnsi="Calibri" w:cs="Calibri"/>
                      <w:color w:val="000000"/>
                    </w:rPr>
                  </w:pPr>
                  <w:r w:rsidRPr="00A42DB1">
                    <w:rPr>
                      <w:rFonts w:ascii="Calibri" w:eastAsia="Times New Roman" w:hAnsi="Calibri" w:cs="Calibri"/>
                      <w:color w:val="000000"/>
                    </w:rPr>
                    <w:t> </w:t>
                  </w:r>
                </w:p>
              </w:tc>
            </w:tr>
          </w:tbl>
          <w:p w14:paraId="117CC27B" w14:textId="77777777" w:rsidR="00A42DB1" w:rsidRDefault="00A42DB1" w:rsidP="00ED4670">
            <w:pPr>
              <w:autoSpaceDE w:val="0"/>
              <w:autoSpaceDN w:val="0"/>
              <w:adjustRightInd w:val="0"/>
              <w:spacing w:after="0" w:line="240" w:lineRule="auto"/>
              <w:jc w:val="both"/>
              <w:rPr>
                <w:rFonts w:cs="Arial"/>
                <w:sz w:val="20"/>
                <w:szCs w:val="20"/>
              </w:rPr>
            </w:pPr>
          </w:p>
          <w:p w14:paraId="1CF92B5E" w14:textId="15F534DD" w:rsidR="0015208B" w:rsidRDefault="0015208B" w:rsidP="00661C8B">
            <w:pPr>
              <w:spacing w:after="0"/>
              <w:rPr>
                <w:rFonts w:cs="Arial"/>
              </w:rPr>
            </w:pPr>
            <w:r w:rsidRPr="0015208B">
              <w:rPr>
                <w:rFonts w:cs="Arial"/>
                <w:sz w:val="20"/>
                <w:szCs w:val="20"/>
              </w:rPr>
              <w:t>The following tables summarize the alignment of prioritized interventions and activities structured by Modular Framework to WHO the End TB Strategy and UNAIDS Fast-Track Ending the AIDS epidemic by 2030 key priorities</w:t>
            </w:r>
            <w:r w:rsidR="00A42DB1">
              <w:rPr>
                <w:rFonts w:cs="Arial"/>
                <w:sz w:val="20"/>
                <w:szCs w:val="20"/>
              </w:rPr>
              <w:t>.</w:t>
            </w:r>
            <w:r>
              <w:rPr>
                <w:rFonts w:cs="Arial"/>
              </w:rPr>
              <w:t xml:space="preserve"> </w:t>
            </w:r>
          </w:p>
        </w:tc>
      </w:tr>
    </w:tbl>
    <w:tbl>
      <w:tblPr>
        <w:tblStyle w:val="ListTable3-Accent5"/>
        <w:tblpPr w:leftFromText="180" w:rightFromText="180" w:vertAnchor="text" w:horzAnchor="margin" w:tblpXSpec="center" w:tblpY="-4674"/>
        <w:tblW w:w="11340" w:type="dxa"/>
        <w:tblLook w:val="04A0" w:firstRow="1" w:lastRow="0" w:firstColumn="1" w:lastColumn="0" w:noHBand="0" w:noVBand="1"/>
      </w:tblPr>
      <w:tblGrid>
        <w:gridCol w:w="3060"/>
        <w:gridCol w:w="3060"/>
        <w:gridCol w:w="5220"/>
      </w:tblGrid>
      <w:tr w:rsidR="0015208B" w14:paraId="2599F3E8" w14:textId="77777777" w:rsidTr="001520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60" w:type="dxa"/>
          </w:tcPr>
          <w:p w14:paraId="0179824C" w14:textId="77777777" w:rsidR="0015208B" w:rsidRPr="003C12C7" w:rsidRDefault="0015208B" w:rsidP="0015208B">
            <w:pPr>
              <w:jc w:val="center"/>
              <w:rPr>
                <w:rFonts w:cs="Arial"/>
                <w:szCs w:val="20"/>
              </w:rPr>
            </w:pPr>
            <w:r w:rsidRPr="003C12C7">
              <w:rPr>
                <w:rFonts w:cs="Arial"/>
                <w:szCs w:val="20"/>
              </w:rPr>
              <w:lastRenderedPageBreak/>
              <w:t>End TB Pillars and Components</w:t>
            </w:r>
          </w:p>
        </w:tc>
        <w:tc>
          <w:tcPr>
            <w:tcW w:w="3060" w:type="dxa"/>
          </w:tcPr>
          <w:p w14:paraId="2D883FC7" w14:textId="77777777" w:rsidR="0015208B" w:rsidRPr="003C12C7" w:rsidRDefault="0015208B" w:rsidP="0015208B">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C12C7">
              <w:rPr>
                <w:rFonts w:cs="Arial"/>
                <w:szCs w:val="20"/>
              </w:rPr>
              <w:t>Modules and Interventions</w:t>
            </w:r>
          </w:p>
        </w:tc>
        <w:tc>
          <w:tcPr>
            <w:tcW w:w="5220" w:type="dxa"/>
          </w:tcPr>
          <w:p w14:paraId="5F03888A" w14:textId="77777777" w:rsidR="0015208B" w:rsidRPr="003C12C7" w:rsidRDefault="0015208B" w:rsidP="0015208B">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C12C7">
              <w:rPr>
                <w:rFonts w:cs="Arial"/>
                <w:szCs w:val="20"/>
              </w:rPr>
              <w:t>Activities</w:t>
            </w:r>
          </w:p>
        </w:tc>
      </w:tr>
      <w:tr w:rsidR="0015208B" w14:paraId="071313B5" w14:textId="77777777" w:rsidTr="00152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0" w:type="dxa"/>
            <w:gridSpan w:val="3"/>
            <w:shd w:val="clear" w:color="auto" w:fill="E8E8E9" w:themeFill="accent1" w:themeFillTint="66"/>
          </w:tcPr>
          <w:p w14:paraId="1E2EDE4E" w14:textId="77777777" w:rsidR="0015208B" w:rsidRPr="000D4EFC" w:rsidRDefault="0015208B" w:rsidP="0015208B">
            <w:pPr>
              <w:rPr>
                <w:rFonts w:cs="Arial"/>
                <w:b w:val="0"/>
                <w:color w:val="000000"/>
                <w:sz w:val="20"/>
                <w:szCs w:val="20"/>
              </w:rPr>
            </w:pPr>
            <w:r w:rsidRPr="008A15FB">
              <w:rPr>
                <w:rFonts w:cs="Arial"/>
                <w:color w:val="000000"/>
                <w:szCs w:val="20"/>
              </w:rPr>
              <w:t>1</w:t>
            </w:r>
            <w:r w:rsidRPr="000D4EFC">
              <w:rPr>
                <w:rFonts w:cs="Arial"/>
                <w:b w:val="0"/>
                <w:color w:val="000000"/>
                <w:sz w:val="20"/>
                <w:szCs w:val="20"/>
              </w:rPr>
              <w:t xml:space="preserve"> </w:t>
            </w:r>
            <w:r w:rsidRPr="008A15FB">
              <w:rPr>
                <w:rFonts w:cs="Arial"/>
                <w:color w:val="000000"/>
                <w:szCs w:val="20"/>
              </w:rPr>
              <w:t>Integrated People Centered Care and Prevention</w:t>
            </w:r>
          </w:p>
        </w:tc>
      </w:tr>
      <w:tr w:rsidR="0015208B" w14:paraId="4EDB536C" w14:textId="77777777" w:rsidTr="0015208B">
        <w:tc>
          <w:tcPr>
            <w:cnfStyle w:val="001000000000" w:firstRow="0" w:lastRow="0" w:firstColumn="1" w:lastColumn="0" w:oddVBand="0" w:evenVBand="0" w:oddHBand="0" w:evenHBand="0" w:firstRowFirstColumn="0" w:firstRowLastColumn="0" w:lastRowFirstColumn="0" w:lastRowLastColumn="0"/>
            <w:tcW w:w="3060" w:type="dxa"/>
          </w:tcPr>
          <w:p w14:paraId="01E7B12B" w14:textId="77777777" w:rsidR="0015208B" w:rsidRPr="000D4EFC" w:rsidRDefault="0015208B" w:rsidP="0015208B">
            <w:pPr>
              <w:rPr>
                <w:rFonts w:cs="Arial"/>
                <w:color w:val="000000"/>
                <w:sz w:val="20"/>
                <w:szCs w:val="20"/>
                <w:lang w:val="en-GB"/>
              </w:rPr>
            </w:pPr>
            <w:r w:rsidRPr="000D4EFC">
              <w:rPr>
                <w:rFonts w:cs="Arial"/>
                <w:color w:val="000000"/>
                <w:sz w:val="20"/>
                <w:szCs w:val="20"/>
                <w:lang w:val="en-GB"/>
              </w:rPr>
              <w:t>Early Diagnosis including universal DST and screening of contacts and high risk groups</w:t>
            </w:r>
          </w:p>
          <w:p w14:paraId="30846AC1" w14:textId="77777777" w:rsidR="0015208B" w:rsidRDefault="0015208B" w:rsidP="0015208B">
            <w:pPr>
              <w:rPr>
                <w:rFonts w:cs="Arial"/>
                <w:color w:val="000000"/>
                <w:sz w:val="20"/>
                <w:szCs w:val="20"/>
              </w:rPr>
            </w:pPr>
          </w:p>
        </w:tc>
        <w:tc>
          <w:tcPr>
            <w:tcW w:w="3060" w:type="dxa"/>
          </w:tcPr>
          <w:p w14:paraId="6300476E" w14:textId="77777777" w:rsidR="0015208B" w:rsidRDefault="0015208B" w:rsidP="0015208B">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5648C5">
              <w:rPr>
                <w:rFonts w:cs="Arial"/>
                <w:b/>
                <w:color w:val="000000"/>
                <w:sz w:val="20"/>
                <w:szCs w:val="20"/>
              </w:rPr>
              <w:t>MDR-TB</w:t>
            </w:r>
            <w:r>
              <w:rPr>
                <w:rFonts w:cs="Arial"/>
                <w:b/>
                <w:color w:val="000000"/>
                <w:sz w:val="20"/>
                <w:szCs w:val="20"/>
              </w:rPr>
              <w:t xml:space="preserve">: </w:t>
            </w:r>
            <w:r w:rsidRPr="005648C5">
              <w:rPr>
                <w:rFonts w:cs="Arial"/>
                <w:b/>
                <w:color w:val="000000"/>
                <w:sz w:val="20"/>
                <w:szCs w:val="20"/>
              </w:rPr>
              <w:t>Key Populations</w:t>
            </w:r>
            <w:r>
              <w:rPr>
                <w:rFonts w:cs="Arial"/>
                <w:b/>
                <w:color w:val="000000"/>
                <w:sz w:val="20"/>
                <w:szCs w:val="20"/>
              </w:rPr>
              <w:t xml:space="preserve"> other</w:t>
            </w:r>
          </w:p>
          <w:p w14:paraId="1CC12539" w14:textId="77777777" w:rsidR="0015208B" w:rsidRDefault="0015208B" w:rsidP="0015208B">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p>
          <w:p w14:paraId="38BDC284" w14:textId="77777777" w:rsidR="0015208B" w:rsidRDefault="0015208B" w:rsidP="0015208B">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p>
          <w:p w14:paraId="62DC0E61" w14:textId="77777777" w:rsidR="0015208B" w:rsidRPr="005648C5" w:rsidRDefault="0015208B" w:rsidP="0015208B">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5648C5">
              <w:rPr>
                <w:rFonts w:cs="Arial"/>
                <w:b/>
                <w:color w:val="000000"/>
                <w:sz w:val="20"/>
                <w:szCs w:val="20"/>
              </w:rPr>
              <w:t>MDR-TB</w:t>
            </w:r>
            <w:r>
              <w:rPr>
                <w:rFonts w:cs="Arial"/>
                <w:b/>
                <w:color w:val="000000"/>
                <w:sz w:val="20"/>
                <w:szCs w:val="20"/>
              </w:rPr>
              <w:t xml:space="preserve">: </w:t>
            </w:r>
            <w:r w:rsidRPr="005648C5">
              <w:rPr>
                <w:rFonts w:cs="Arial"/>
                <w:b/>
                <w:color w:val="000000"/>
                <w:sz w:val="20"/>
                <w:szCs w:val="20"/>
              </w:rPr>
              <w:t>Detection and diagnosis</w:t>
            </w:r>
          </w:p>
        </w:tc>
        <w:tc>
          <w:tcPr>
            <w:tcW w:w="5220" w:type="dxa"/>
          </w:tcPr>
          <w:p w14:paraId="2F208392" w14:textId="77777777" w:rsidR="0015208B" w:rsidRDefault="0015208B" w:rsidP="0015208B">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A</w:t>
            </w:r>
            <w:r w:rsidRPr="005648C5">
              <w:rPr>
                <w:rFonts w:cs="Arial"/>
                <w:color w:val="000000"/>
                <w:sz w:val="20"/>
                <w:szCs w:val="20"/>
              </w:rPr>
              <w:t>ctive case finding in key populations</w:t>
            </w:r>
            <w:r>
              <w:rPr>
                <w:rFonts w:cs="Arial"/>
                <w:color w:val="000000"/>
                <w:sz w:val="20"/>
                <w:szCs w:val="20"/>
              </w:rPr>
              <w:t xml:space="preserve"> (homeless PLHIV, PWID, hard to-reach)</w:t>
            </w:r>
            <w:r w:rsidRPr="005648C5">
              <w:rPr>
                <w:rFonts w:cs="Arial"/>
                <w:color w:val="000000"/>
                <w:sz w:val="20"/>
                <w:szCs w:val="20"/>
              </w:rPr>
              <w:t>, mobile X-ray with AI</w:t>
            </w:r>
            <w:r>
              <w:rPr>
                <w:rFonts w:cs="Arial"/>
                <w:color w:val="000000"/>
                <w:sz w:val="20"/>
                <w:szCs w:val="20"/>
              </w:rPr>
              <w:t>.</w:t>
            </w:r>
          </w:p>
          <w:p w14:paraId="0D6433D6" w14:textId="77777777" w:rsidR="0015208B" w:rsidRDefault="0015208B" w:rsidP="0015208B">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58254A45" w14:textId="77777777" w:rsidR="0015208B" w:rsidRDefault="0015208B" w:rsidP="0015208B">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R</w:t>
            </w:r>
            <w:r w:rsidRPr="005648C5">
              <w:rPr>
                <w:rFonts w:cs="Arial"/>
                <w:color w:val="000000"/>
                <w:sz w:val="20"/>
                <w:szCs w:val="20"/>
              </w:rPr>
              <w:t>apid molecular testing. Phe</w:t>
            </w:r>
            <w:r>
              <w:rPr>
                <w:rFonts w:cs="Arial"/>
                <w:color w:val="000000"/>
                <w:sz w:val="20"/>
                <w:szCs w:val="20"/>
              </w:rPr>
              <w:t xml:space="preserve">notypic and genotyping testing </w:t>
            </w:r>
            <w:r w:rsidRPr="005648C5">
              <w:rPr>
                <w:rFonts w:cs="Arial"/>
                <w:color w:val="000000"/>
                <w:sz w:val="20"/>
                <w:szCs w:val="20"/>
              </w:rPr>
              <w:t xml:space="preserve">maintenance of </w:t>
            </w:r>
            <w:r>
              <w:rPr>
                <w:rFonts w:cs="Arial"/>
                <w:color w:val="000000"/>
                <w:sz w:val="20"/>
                <w:szCs w:val="20"/>
              </w:rPr>
              <w:t xml:space="preserve">Xpert and other </w:t>
            </w:r>
            <w:r w:rsidRPr="005648C5">
              <w:rPr>
                <w:rFonts w:cs="Arial"/>
                <w:color w:val="000000"/>
                <w:sz w:val="20"/>
                <w:szCs w:val="20"/>
              </w:rPr>
              <w:t>equipment</w:t>
            </w:r>
          </w:p>
          <w:p w14:paraId="299F1561" w14:textId="45E0744D" w:rsidR="0015208B" w:rsidRPr="000873DD" w:rsidRDefault="000873DD" w:rsidP="0015208B">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 xml:space="preserve">Procurement of </w:t>
            </w:r>
            <w:r w:rsidRPr="000873DD">
              <w:rPr>
                <w:rFonts w:cs="Arial"/>
                <w:color w:val="000000"/>
                <w:sz w:val="20"/>
                <w:szCs w:val="20"/>
              </w:rPr>
              <w:t>Xpert for XDR</w:t>
            </w:r>
            <w:r>
              <w:rPr>
                <w:rFonts w:cs="Arial"/>
                <w:color w:val="000000"/>
                <w:sz w:val="20"/>
                <w:szCs w:val="20"/>
              </w:rPr>
              <w:t xml:space="preserve"> 4 RRLs.</w:t>
            </w:r>
            <w:r w:rsidR="0015208B" w:rsidRPr="000873DD">
              <w:rPr>
                <w:rFonts w:cs="Arial"/>
                <w:color w:val="000000"/>
                <w:sz w:val="20"/>
                <w:szCs w:val="20"/>
              </w:rPr>
              <w:t xml:space="preserve"> </w:t>
            </w:r>
          </w:p>
          <w:p w14:paraId="5703FBAF" w14:textId="2A4CCBDB" w:rsidR="0015208B" w:rsidRPr="00A7025D" w:rsidRDefault="0015208B" w:rsidP="000873DD">
            <w:pPr>
              <w:cnfStyle w:val="000000000000" w:firstRow="0" w:lastRow="0" w:firstColumn="0" w:lastColumn="0" w:oddVBand="0" w:evenVBand="0" w:oddHBand="0" w:evenHBand="0" w:firstRowFirstColumn="0" w:firstRowLastColumn="0" w:lastRowFirstColumn="0" w:lastRowLastColumn="0"/>
              <w:rPr>
                <w:rFonts w:cs="Arial"/>
                <w:i/>
                <w:color w:val="000000"/>
                <w:sz w:val="20"/>
                <w:szCs w:val="20"/>
              </w:rPr>
            </w:pPr>
            <w:r w:rsidRPr="00A7025D">
              <w:rPr>
                <w:rFonts w:cs="Arial"/>
                <w:i/>
                <w:color w:val="000000"/>
                <w:sz w:val="20"/>
                <w:szCs w:val="20"/>
              </w:rPr>
              <w:t xml:space="preserve">PAAR: </w:t>
            </w:r>
            <w:r w:rsidR="000873DD">
              <w:rPr>
                <w:rFonts w:cs="Arial"/>
                <w:color w:val="000000"/>
                <w:sz w:val="20"/>
                <w:szCs w:val="20"/>
              </w:rPr>
              <w:t xml:space="preserve"> </w:t>
            </w:r>
            <w:r w:rsidR="000873DD" w:rsidRPr="0018464A">
              <w:rPr>
                <w:rFonts w:cs="Arial"/>
                <w:i/>
                <w:color w:val="000000"/>
                <w:sz w:val="20"/>
                <w:szCs w:val="20"/>
              </w:rPr>
              <w:t>Procurement of genomic sequencer</w:t>
            </w:r>
          </w:p>
        </w:tc>
      </w:tr>
      <w:tr w:rsidR="0015208B" w14:paraId="41C77420" w14:textId="77777777" w:rsidTr="00152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4F1C30D2" w14:textId="77777777" w:rsidR="0015208B" w:rsidRPr="000D4EFC" w:rsidRDefault="0015208B" w:rsidP="0015208B">
            <w:pPr>
              <w:rPr>
                <w:rFonts w:cs="Arial"/>
                <w:color w:val="000000"/>
                <w:sz w:val="20"/>
                <w:szCs w:val="20"/>
                <w:lang w:val="en-GB"/>
              </w:rPr>
            </w:pPr>
            <w:r w:rsidRPr="000D4EFC">
              <w:rPr>
                <w:rFonts w:cs="Arial"/>
                <w:color w:val="000000"/>
                <w:sz w:val="20"/>
                <w:szCs w:val="20"/>
                <w:lang w:val="en-GB"/>
              </w:rPr>
              <w:t>Treatment of all people with TB including patient support</w:t>
            </w:r>
          </w:p>
        </w:tc>
        <w:tc>
          <w:tcPr>
            <w:tcW w:w="3060" w:type="dxa"/>
          </w:tcPr>
          <w:p w14:paraId="0789D949" w14:textId="77777777" w:rsidR="0015208B" w:rsidRDefault="0015208B" w:rsidP="0015208B">
            <w:pPr>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5648C5">
              <w:rPr>
                <w:rFonts w:cs="Arial"/>
                <w:b/>
                <w:color w:val="000000"/>
                <w:sz w:val="20"/>
                <w:szCs w:val="20"/>
              </w:rPr>
              <w:t>MDR-TB</w:t>
            </w:r>
            <w:r>
              <w:rPr>
                <w:rFonts w:cs="Arial"/>
                <w:b/>
                <w:color w:val="000000"/>
                <w:sz w:val="20"/>
                <w:szCs w:val="20"/>
              </w:rPr>
              <w:t xml:space="preserve">: </w:t>
            </w:r>
            <w:r w:rsidRPr="005648C5">
              <w:rPr>
                <w:rFonts w:cs="Arial"/>
                <w:b/>
                <w:color w:val="000000"/>
                <w:sz w:val="20"/>
                <w:szCs w:val="20"/>
              </w:rPr>
              <w:t>Treatment</w:t>
            </w:r>
          </w:p>
          <w:p w14:paraId="4E6175B3" w14:textId="77777777" w:rsidR="0015208B" w:rsidRDefault="0015208B" w:rsidP="0015208B">
            <w:pPr>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p>
          <w:p w14:paraId="0BED2601" w14:textId="77777777" w:rsidR="0015208B" w:rsidRDefault="0015208B" w:rsidP="0015208B">
            <w:pPr>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p>
          <w:p w14:paraId="23D79CE7" w14:textId="77777777" w:rsidR="0015208B" w:rsidRDefault="0015208B" w:rsidP="0015208B">
            <w:pPr>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p>
          <w:p w14:paraId="21AB07A9" w14:textId="77777777" w:rsidR="0015208B" w:rsidRDefault="0015208B" w:rsidP="0015208B">
            <w:pPr>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Pr>
                <w:rFonts w:cs="Arial"/>
                <w:b/>
                <w:color w:val="000000"/>
                <w:sz w:val="20"/>
                <w:szCs w:val="20"/>
              </w:rPr>
              <w:t xml:space="preserve">MDR TB: </w:t>
            </w:r>
            <w:r w:rsidRPr="005648C5">
              <w:rPr>
                <w:rFonts w:cs="Arial"/>
                <w:b/>
                <w:color w:val="000000"/>
                <w:sz w:val="20"/>
                <w:szCs w:val="20"/>
              </w:rPr>
              <w:t>Key populations</w:t>
            </w:r>
            <w:r>
              <w:rPr>
                <w:b/>
              </w:rPr>
              <w:t xml:space="preserve"> </w:t>
            </w:r>
            <w:r w:rsidRPr="0000338D">
              <w:rPr>
                <w:rFonts w:cs="Arial"/>
                <w:b/>
                <w:color w:val="000000"/>
                <w:sz w:val="20"/>
                <w:szCs w:val="20"/>
              </w:rPr>
              <w:t>Prisoners</w:t>
            </w:r>
          </w:p>
          <w:p w14:paraId="02E13F65" w14:textId="77777777" w:rsidR="0015208B" w:rsidRDefault="0015208B" w:rsidP="0015208B">
            <w:pPr>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00338D">
              <w:rPr>
                <w:rFonts w:cs="Arial"/>
                <w:b/>
                <w:color w:val="000000"/>
                <w:sz w:val="20"/>
                <w:szCs w:val="20"/>
              </w:rPr>
              <w:t>MDR TB: Key populations  Migrants</w:t>
            </w:r>
          </w:p>
          <w:p w14:paraId="5CA5F01D" w14:textId="77777777" w:rsidR="006E4BAC" w:rsidRDefault="006E4BAC" w:rsidP="0015208B">
            <w:pPr>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p>
          <w:p w14:paraId="3951ABA5" w14:textId="5ECFD78A" w:rsidR="006E4BAC" w:rsidRDefault="006E4BAC" w:rsidP="0015208B">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b/>
                <w:color w:val="000000"/>
                <w:sz w:val="20"/>
                <w:szCs w:val="20"/>
              </w:rPr>
              <w:t xml:space="preserve">MDR TB: </w:t>
            </w:r>
            <w:r>
              <w:t xml:space="preserve"> </w:t>
            </w:r>
            <w:r w:rsidRPr="00160499">
              <w:rPr>
                <w:rFonts w:cs="Arial"/>
                <w:b/>
                <w:color w:val="000000"/>
                <w:sz w:val="20"/>
                <w:szCs w:val="20"/>
              </w:rPr>
              <w:t>Collaborative activities with other programs and sectors</w:t>
            </w:r>
          </w:p>
        </w:tc>
        <w:tc>
          <w:tcPr>
            <w:tcW w:w="5220" w:type="dxa"/>
          </w:tcPr>
          <w:p w14:paraId="0D32BD33" w14:textId="77777777" w:rsidR="0015208B" w:rsidRDefault="0015208B" w:rsidP="0015208B">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P</w:t>
            </w:r>
            <w:r w:rsidRPr="008B64BE">
              <w:rPr>
                <w:rFonts w:cs="Arial"/>
                <w:color w:val="000000"/>
                <w:sz w:val="20"/>
                <w:szCs w:val="20"/>
              </w:rPr>
              <w:t>rovision of all</w:t>
            </w:r>
            <w:r>
              <w:rPr>
                <w:rFonts w:cs="Arial"/>
                <w:color w:val="000000"/>
                <w:sz w:val="20"/>
                <w:szCs w:val="20"/>
              </w:rPr>
              <w:t>-oral DR-</w:t>
            </w:r>
            <w:r w:rsidRPr="008B64BE">
              <w:rPr>
                <w:rFonts w:cs="Arial"/>
                <w:color w:val="000000"/>
                <w:sz w:val="20"/>
                <w:szCs w:val="20"/>
              </w:rPr>
              <w:t xml:space="preserve">TB treatment regimens (including pediatric) </w:t>
            </w:r>
          </w:p>
          <w:p w14:paraId="6E910259" w14:textId="77777777" w:rsidR="0015208B" w:rsidRDefault="0015208B" w:rsidP="0015208B">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A</w:t>
            </w:r>
            <w:r w:rsidRPr="008B64BE">
              <w:rPr>
                <w:rFonts w:cs="Arial"/>
                <w:color w:val="000000"/>
                <w:sz w:val="20"/>
                <w:szCs w:val="20"/>
              </w:rPr>
              <w:t xml:space="preserve">dherence support (multidisciplinary approach and case-management, peer-to-peer), </w:t>
            </w:r>
          </w:p>
          <w:p w14:paraId="4C1412B5" w14:textId="2FD07205" w:rsidR="0015208B" w:rsidRDefault="0015208B" w:rsidP="0015208B">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B64BE">
              <w:rPr>
                <w:rFonts w:cs="Arial"/>
                <w:color w:val="000000"/>
                <w:sz w:val="20"/>
                <w:szCs w:val="20"/>
              </w:rPr>
              <w:t>VOT nationwide scale-up.</w:t>
            </w:r>
            <w:r w:rsidR="00C4686B">
              <w:rPr>
                <w:rFonts w:cs="Arial"/>
                <w:color w:val="000000"/>
                <w:sz w:val="20"/>
                <w:szCs w:val="20"/>
              </w:rPr>
              <w:t xml:space="preserve"> </w:t>
            </w:r>
            <w:r w:rsidR="00C4686B" w:rsidRPr="008E4748">
              <w:rPr>
                <w:rFonts w:cs="Arial"/>
                <w:sz w:val="20"/>
                <w:szCs w:val="20"/>
              </w:rPr>
              <w:t>Community-based DOT</w:t>
            </w:r>
          </w:p>
          <w:p w14:paraId="391E85B1" w14:textId="77777777" w:rsidR="0015208B" w:rsidRDefault="0015208B" w:rsidP="0015208B">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62FBAC45" w14:textId="77777777" w:rsidR="0015208B" w:rsidRDefault="0015208B" w:rsidP="0015208B">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E</w:t>
            </w:r>
            <w:r w:rsidRPr="005648C5">
              <w:rPr>
                <w:rFonts w:cs="Arial"/>
                <w:color w:val="000000"/>
                <w:sz w:val="20"/>
                <w:szCs w:val="20"/>
              </w:rPr>
              <w:t>nsuring treatment adherence and p</w:t>
            </w:r>
            <w:r>
              <w:rPr>
                <w:rFonts w:cs="Arial"/>
                <w:color w:val="000000"/>
                <w:sz w:val="20"/>
                <w:szCs w:val="20"/>
              </w:rPr>
              <w:t>re and p</w:t>
            </w:r>
            <w:r w:rsidRPr="005648C5">
              <w:rPr>
                <w:rFonts w:cs="Arial"/>
                <w:color w:val="000000"/>
                <w:sz w:val="20"/>
                <w:szCs w:val="20"/>
              </w:rPr>
              <w:t>ost-release case-management</w:t>
            </w:r>
          </w:p>
          <w:p w14:paraId="6C0CAC27" w14:textId="77777777" w:rsidR="0015208B" w:rsidRPr="008B64BE" w:rsidRDefault="0015208B" w:rsidP="0015208B">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2B1384D2" w14:textId="77777777" w:rsidR="0015208B" w:rsidRDefault="0015208B" w:rsidP="0015208B">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D</w:t>
            </w:r>
            <w:r w:rsidRPr="0000338D">
              <w:rPr>
                <w:rFonts w:cs="Arial"/>
                <w:color w:val="000000"/>
                <w:sz w:val="20"/>
                <w:szCs w:val="20"/>
              </w:rPr>
              <w:t>evelop standard operating procedure for TB case-management for those requesting political asylum and trans</w:t>
            </w:r>
            <w:r>
              <w:rPr>
                <w:rFonts w:cs="Arial"/>
                <w:color w:val="000000"/>
                <w:sz w:val="20"/>
                <w:szCs w:val="20"/>
              </w:rPr>
              <w:t>-</w:t>
            </w:r>
            <w:r w:rsidRPr="0000338D">
              <w:rPr>
                <w:rFonts w:cs="Arial"/>
                <w:color w:val="000000"/>
                <w:sz w:val="20"/>
                <w:szCs w:val="20"/>
              </w:rPr>
              <w:t xml:space="preserve">border transfer </w:t>
            </w:r>
          </w:p>
          <w:p w14:paraId="6326E242" w14:textId="77777777" w:rsidR="006E4BAC" w:rsidRDefault="006E4BAC" w:rsidP="0015208B">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3D35533F" w14:textId="76A02344" w:rsidR="006E4BAC" w:rsidRDefault="006E4BAC" w:rsidP="0015208B">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60499">
              <w:rPr>
                <w:rFonts w:cs="Arial"/>
                <w:i/>
                <w:color w:val="000000"/>
                <w:sz w:val="20"/>
                <w:szCs w:val="20"/>
              </w:rPr>
              <w:t>PAAR: Reintegration and rehabilitation of TB patients with CSO support</w:t>
            </w:r>
          </w:p>
        </w:tc>
      </w:tr>
      <w:tr w:rsidR="0015208B" w14:paraId="4DB93335" w14:textId="77777777" w:rsidTr="0015208B">
        <w:tc>
          <w:tcPr>
            <w:cnfStyle w:val="001000000000" w:firstRow="0" w:lastRow="0" w:firstColumn="1" w:lastColumn="0" w:oddVBand="0" w:evenVBand="0" w:oddHBand="0" w:evenHBand="0" w:firstRowFirstColumn="0" w:firstRowLastColumn="0" w:lastRowFirstColumn="0" w:lastRowLastColumn="0"/>
            <w:tcW w:w="3060" w:type="dxa"/>
          </w:tcPr>
          <w:p w14:paraId="1BBEBA1B" w14:textId="77777777" w:rsidR="0015208B" w:rsidRPr="000D4EFC" w:rsidRDefault="0015208B" w:rsidP="0015208B">
            <w:pPr>
              <w:rPr>
                <w:rFonts w:cs="Arial"/>
                <w:color w:val="000000"/>
                <w:sz w:val="20"/>
                <w:szCs w:val="20"/>
                <w:lang w:val="en-GB"/>
              </w:rPr>
            </w:pPr>
            <w:r w:rsidRPr="000D4EFC">
              <w:rPr>
                <w:rFonts w:cs="Arial"/>
                <w:color w:val="000000"/>
                <w:sz w:val="20"/>
                <w:szCs w:val="20"/>
                <w:lang w:val="en-GB"/>
              </w:rPr>
              <w:t>Collaborative TB/HIV and co-morbidities</w:t>
            </w:r>
          </w:p>
        </w:tc>
        <w:tc>
          <w:tcPr>
            <w:tcW w:w="3060" w:type="dxa"/>
          </w:tcPr>
          <w:p w14:paraId="7EF66669" w14:textId="77777777" w:rsidR="0015208B" w:rsidRDefault="0015208B" w:rsidP="0015208B">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b/>
                <w:bCs/>
                <w:color w:val="000000"/>
                <w:sz w:val="20"/>
                <w:szCs w:val="20"/>
              </w:rPr>
              <w:t>RSSH -</w:t>
            </w:r>
            <w:r w:rsidRPr="0000338D">
              <w:rPr>
                <w:rFonts w:cs="Arial"/>
                <w:b/>
                <w:bCs/>
                <w:color w:val="000000"/>
                <w:sz w:val="20"/>
                <w:szCs w:val="20"/>
              </w:rPr>
              <w:t xml:space="preserve"> Integrated service delivery and quality improvement</w:t>
            </w:r>
          </w:p>
        </w:tc>
        <w:tc>
          <w:tcPr>
            <w:tcW w:w="5220" w:type="dxa"/>
          </w:tcPr>
          <w:p w14:paraId="4DC3CAB9" w14:textId="77777777" w:rsidR="0015208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w:t>
            </w:r>
            <w:r w:rsidRPr="0000338D">
              <w:rPr>
                <w:rFonts w:cs="Arial"/>
                <w:sz w:val="20"/>
                <w:szCs w:val="20"/>
              </w:rPr>
              <w:t>ntegrated platform for managing co-morbidities of TB/HIV</w:t>
            </w:r>
            <w:r>
              <w:rPr>
                <w:rFonts w:cs="Arial"/>
                <w:sz w:val="20"/>
                <w:szCs w:val="20"/>
              </w:rPr>
              <w:t xml:space="preserve">, Hepatitis OST; </w:t>
            </w:r>
          </w:p>
          <w:p w14:paraId="6B44E95B" w14:textId="77777777" w:rsidR="0015208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sz w:val="20"/>
                <w:szCs w:val="20"/>
              </w:rPr>
              <w:t>C</w:t>
            </w:r>
            <w:r w:rsidRPr="0000338D">
              <w:rPr>
                <w:rFonts w:cs="Arial"/>
                <w:sz w:val="20"/>
                <w:szCs w:val="20"/>
              </w:rPr>
              <w:t>ollaborative to improve TB with co-infections: TB/HIV, mental disease, diabetes, including key populations</w:t>
            </w:r>
          </w:p>
        </w:tc>
      </w:tr>
      <w:tr w:rsidR="0015208B" w14:paraId="38FBDB38" w14:textId="77777777" w:rsidTr="00152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54EE4880" w14:textId="77777777" w:rsidR="0015208B" w:rsidRPr="000D4EFC" w:rsidRDefault="0015208B" w:rsidP="0015208B">
            <w:pPr>
              <w:rPr>
                <w:rFonts w:cs="Arial"/>
                <w:color w:val="000000"/>
                <w:sz w:val="20"/>
                <w:szCs w:val="20"/>
                <w:lang w:val="en-GB"/>
              </w:rPr>
            </w:pPr>
            <w:r w:rsidRPr="000D4EFC">
              <w:rPr>
                <w:rFonts w:cs="Arial"/>
                <w:color w:val="000000"/>
                <w:sz w:val="20"/>
                <w:szCs w:val="20"/>
                <w:lang w:val="en-GB"/>
              </w:rPr>
              <w:t>Preventive treatment of persons at high risk</w:t>
            </w:r>
          </w:p>
        </w:tc>
        <w:tc>
          <w:tcPr>
            <w:tcW w:w="3060" w:type="dxa"/>
          </w:tcPr>
          <w:p w14:paraId="546044F2" w14:textId="77777777" w:rsidR="0015208B" w:rsidRDefault="0015208B" w:rsidP="0015208B">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00338D">
              <w:rPr>
                <w:rFonts w:cs="Arial"/>
                <w:b/>
                <w:sz w:val="20"/>
                <w:szCs w:val="20"/>
              </w:rPr>
              <w:t>TB care and prevention</w:t>
            </w:r>
            <w:r>
              <w:rPr>
                <w:rFonts w:cs="Arial"/>
                <w:b/>
                <w:sz w:val="20"/>
                <w:szCs w:val="20"/>
              </w:rPr>
              <w:t>-prevention</w:t>
            </w:r>
          </w:p>
          <w:p w14:paraId="0C41C7B7" w14:textId="77777777" w:rsidR="0015208B" w:rsidRDefault="0015208B" w:rsidP="0015208B">
            <w:pPr>
              <w:cnfStyle w:val="000000100000" w:firstRow="0" w:lastRow="0" w:firstColumn="0" w:lastColumn="0" w:oddVBand="0" w:evenVBand="0" w:oddHBand="1" w:evenHBand="0" w:firstRowFirstColumn="0" w:firstRowLastColumn="0" w:lastRowFirstColumn="0" w:lastRowLastColumn="0"/>
              <w:rPr>
                <w:rFonts w:cs="Arial"/>
                <w:b/>
                <w:sz w:val="20"/>
                <w:szCs w:val="20"/>
              </w:rPr>
            </w:pPr>
          </w:p>
          <w:p w14:paraId="52977C1D" w14:textId="77777777" w:rsidR="0015208B" w:rsidRDefault="0015208B" w:rsidP="0015208B">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0338D">
              <w:rPr>
                <w:rFonts w:cs="Arial"/>
                <w:b/>
                <w:sz w:val="20"/>
                <w:szCs w:val="20"/>
              </w:rPr>
              <w:t>TB care and prevention</w:t>
            </w:r>
            <w:r>
              <w:rPr>
                <w:rFonts w:cs="Arial"/>
                <w:b/>
                <w:color w:val="000000"/>
                <w:sz w:val="20"/>
                <w:szCs w:val="20"/>
              </w:rPr>
              <w:t xml:space="preserve"> - community care delivery</w:t>
            </w:r>
          </w:p>
        </w:tc>
        <w:tc>
          <w:tcPr>
            <w:tcW w:w="5220" w:type="dxa"/>
          </w:tcPr>
          <w:p w14:paraId="18814D10" w14:textId="77777777" w:rsidR="0015208B" w:rsidRDefault="0015208B" w:rsidP="0015208B">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D</w:t>
            </w:r>
            <w:r w:rsidRPr="0000338D">
              <w:rPr>
                <w:rFonts w:cs="Arial"/>
                <w:sz w:val="20"/>
                <w:szCs w:val="20"/>
              </w:rPr>
              <w:t xml:space="preserve">evelop </w:t>
            </w:r>
            <w:r>
              <w:rPr>
                <w:rFonts w:cs="Arial"/>
                <w:sz w:val="20"/>
                <w:szCs w:val="20"/>
              </w:rPr>
              <w:t>TPT</w:t>
            </w:r>
            <w:r w:rsidRPr="0000338D">
              <w:rPr>
                <w:rFonts w:cs="Arial"/>
                <w:sz w:val="20"/>
                <w:szCs w:val="20"/>
              </w:rPr>
              <w:t xml:space="preserve"> guide in line with new </w:t>
            </w:r>
            <w:r>
              <w:rPr>
                <w:rFonts w:cs="Arial"/>
                <w:sz w:val="20"/>
                <w:szCs w:val="20"/>
              </w:rPr>
              <w:t>normative guidance;</w:t>
            </w:r>
            <w:r w:rsidRPr="0000338D">
              <w:rPr>
                <w:rFonts w:cs="Arial"/>
                <w:sz w:val="20"/>
                <w:szCs w:val="20"/>
              </w:rPr>
              <w:t xml:space="preserve"> LTBI testing using IGRA.</w:t>
            </w:r>
          </w:p>
          <w:p w14:paraId="33762133" w14:textId="77777777" w:rsidR="0015208B" w:rsidRDefault="0015208B" w:rsidP="0015208B">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55E478D1" w14:textId="77777777" w:rsidR="0015208B" w:rsidRDefault="0015208B" w:rsidP="0015208B">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A</w:t>
            </w:r>
            <w:r w:rsidRPr="0000338D">
              <w:rPr>
                <w:rFonts w:cs="Arial"/>
                <w:color w:val="000000"/>
                <w:sz w:val="20"/>
                <w:szCs w:val="20"/>
              </w:rPr>
              <w:t>dvocacy, communi</w:t>
            </w:r>
            <w:r>
              <w:rPr>
                <w:rFonts w:cs="Arial"/>
                <w:color w:val="000000"/>
                <w:sz w:val="20"/>
                <w:szCs w:val="20"/>
              </w:rPr>
              <w:t>c</w:t>
            </w:r>
            <w:r w:rsidRPr="0000338D">
              <w:rPr>
                <w:rFonts w:cs="Arial"/>
                <w:color w:val="000000"/>
                <w:sz w:val="20"/>
                <w:szCs w:val="20"/>
              </w:rPr>
              <w:t>ation and social mobilization activities (national and community level), informational materials for key populations</w:t>
            </w:r>
            <w:r>
              <w:rPr>
                <w:rFonts w:cs="Arial"/>
                <w:color w:val="000000"/>
                <w:sz w:val="20"/>
                <w:szCs w:val="20"/>
              </w:rPr>
              <w:t>.</w:t>
            </w:r>
          </w:p>
        </w:tc>
      </w:tr>
      <w:tr w:rsidR="0015208B" w14:paraId="2A5C6D8B" w14:textId="77777777" w:rsidTr="0015208B">
        <w:tc>
          <w:tcPr>
            <w:cnfStyle w:val="001000000000" w:firstRow="0" w:lastRow="0" w:firstColumn="1" w:lastColumn="0" w:oddVBand="0" w:evenVBand="0" w:oddHBand="0" w:evenHBand="0" w:firstRowFirstColumn="0" w:firstRowLastColumn="0" w:lastRowFirstColumn="0" w:lastRowLastColumn="0"/>
            <w:tcW w:w="11340" w:type="dxa"/>
            <w:gridSpan w:val="3"/>
            <w:shd w:val="clear" w:color="auto" w:fill="E8E8E9" w:themeFill="accent1" w:themeFillTint="66"/>
          </w:tcPr>
          <w:p w14:paraId="3115BF66" w14:textId="77777777" w:rsidR="0015208B" w:rsidRPr="008A15FB" w:rsidRDefault="0015208B" w:rsidP="0015208B">
            <w:pPr>
              <w:rPr>
                <w:rFonts w:cs="Arial"/>
                <w:color w:val="000000"/>
                <w:sz w:val="20"/>
                <w:szCs w:val="20"/>
              </w:rPr>
            </w:pPr>
            <w:r w:rsidRPr="008A15FB">
              <w:rPr>
                <w:rFonts w:cs="Arial"/>
                <w:color w:val="000000"/>
                <w:szCs w:val="20"/>
              </w:rPr>
              <w:t>2 Bold Policies and Supportive Systems</w:t>
            </w:r>
          </w:p>
        </w:tc>
      </w:tr>
      <w:tr w:rsidR="0015208B" w14:paraId="35724C2F" w14:textId="77777777" w:rsidTr="00152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36E33DE5" w14:textId="77777777" w:rsidR="0015208B" w:rsidRPr="00665BD9" w:rsidRDefault="0015208B" w:rsidP="0015208B">
            <w:pPr>
              <w:rPr>
                <w:rFonts w:cs="Arial"/>
                <w:color w:val="000000"/>
                <w:sz w:val="20"/>
                <w:szCs w:val="20"/>
              </w:rPr>
            </w:pPr>
            <w:r>
              <w:rPr>
                <w:rFonts w:cs="Arial"/>
                <w:color w:val="000000"/>
                <w:sz w:val="20"/>
                <w:szCs w:val="20"/>
              </w:rPr>
              <w:t>A Political commitment with adequate resources</w:t>
            </w:r>
          </w:p>
        </w:tc>
        <w:tc>
          <w:tcPr>
            <w:tcW w:w="3060" w:type="dxa"/>
          </w:tcPr>
          <w:p w14:paraId="46CA5036" w14:textId="77777777"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Pr>
                <w:rFonts w:cs="Arial"/>
                <w:b/>
                <w:bCs/>
                <w:color w:val="000000"/>
                <w:sz w:val="20"/>
                <w:szCs w:val="20"/>
              </w:rPr>
              <w:t xml:space="preserve">RSSH - </w:t>
            </w:r>
            <w:r w:rsidRPr="0000338D">
              <w:rPr>
                <w:rFonts w:cs="Arial"/>
                <w:b/>
                <w:bCs/>
                <w:color w:val="000000"/>
                <w:sz w:val="20"/>
                <w:szCs w:val="20"/>
              </w:rPr>
              <w:t>Health sector governance and planning</w:t>
            </w:r>
            <w:r>
              <w:rPr>
                <w:rFonts w:cs="Arial"/>
                <w:b/>
                <w:bCs/>
                <w:color w:val="000000"/>
                <w:sz w:val="20"/>
                <w:szCs w:val="20"/>
              </w:rPr>
              <w:t xml:space="preserve"> </w:t>
            </w:r>
          </w:p>
          <w:p w14:paraId="5A73EF2C" w14:textId="77777777" w:rsidR="0015208B" w:rsidRDefault="0015208B" w:rsidP="0015208B">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5220" w:type="dxa"/>
          </w:tcPr>
          <w:p w14:paraId="2CAB56BC" w14:textId="77777777" w:rsidR="0015208B" w:rsidRPr="00C032CD" w:rsidRDefault="0015208B" w:rsidP="0015208B">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032CD">
              <w:rPr>
                <w:rFonts w:cs="Arial"/>
                <w:color w:val="000000"/>
                <w:sz w:val="20"/>
                <w:szCs w:val="20"/>
              </w:rPr>
              <w:t>Hospital optimization</w:t>
            </w:r>
            <w:r>
              <w:rPr>
                <w:rFonts w:cs="Arial"/>
                <w:color w:val="000000"/>
                <w:sz w:val="20"/>
                <w:szCs w:val="20"/>
              </w:rPr>
              <w:t xml:space="preserve"> and strengthened outpatient care</w:t>
            </w:r>
          </w:p>
          <w:p w14:paraId="442B256A" w14:textId="77777777" w:rsidR="0015208B" w:rsidRPr="00C032CD" w:rsidRDefault="0015208B" w:rsidP="0015208B">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032CD">
              <w:rPr>
                <w:rFonts w:cs="Arial"/>
                <w:color w:val="000000"/>
                <w:sz w:val="20"/>
                <w:szCs w:val="20"/>
              </w:rPr>
              <w:t xml:space="preserve">Costed TB service package and contracting mechanisms: PHC, specialist, hospital, CSO. </w:t>
            </w:r>
          </w:p>
          <w:p w14:paraId="46473969" w14:textId="77777777" w:rsidR="0015208B" w:rsidRDefault="0015208B" w:rsidP="0015208B">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032CD">
              <w:rPr>
                <w:rFonts w:cs="Arial"/>
                <w:color w:val="000000"/>
                <w:sz w:val="20"/>
                <w:szCs w:val="20"/>
              </w:rPr>
              <w:t xml:space="preserve">Actual </w:t>
            </w:r>
            <w:r>
              <w:rPr>
                <w:rFonts w:cs="Arial"/>
                <w:color w:val="000000"/>
                <w:sz w:val="20"/>
                <w:szCs w:val="20"/>
              </w:rPr>
              <w:t xml:space="preserve">health </w:t>
            </w:r>
            <w:r w:rsidRPr="00C032CD">
              <w:rPr>
                <w:rFonts w:cs="Arial"/>
                <w:color w:val="000000"/>
                <w:sz w:val="20"/>
                <w:szCs w:val="20"/>
              </w:rPr>
              <w:t>expenditure reporting</w:t>
            </w:r>
            <w:r>
              <w:rPr>
                <w:rFonts w:cs="Arial"/>
                <w:color w:val="000000"/>
                <w:sz w:val="20"/>
                <w:szCs w:val="20"/>
              </w:rPr>
              <w:t xml:space="preserve"> for TB</w:t>
            </w:r>
            <w:r w:rsidRPr="00C032CD">
              <w:rPr>
                <w:rFonts w:cs="Arial"/>
                <w:color w:val="000000"/>
                <w:sz w:val="20"/>
                <w:szCs w:val="20"/>
              </w:rPr>
              <w:t xml:space="preserve"> </w:t>
            </w:r>
          </w:p>
        </w:tc>
      </w:tr>
      <w:tr w:rsidR="0015208B" w14:paraId="71118047" w14:textId="77777777" w:rsidTr="0015208B">
        <w:tc>
          <w:tcPr>
            <w:cnfStyle w:val="001000000000" w:firstRow="0" w:lastRow="0" w:firstColumn="1" w:lastColumn="0" w:oddVBand="0" w:evenVBand="0" w:oddHBand="0" w:evenHBand="0" w:firstRowFirstColumn="0" w:firstRowLastColumn="0" w:lastRowFirstColumn="0" w:lastRowLastColumn="0"/>
            <w:tcW w:w="3060" w:type="dxa"/>
          </w:tcPr>
          <w:p w14:paraId="7CE17525" w14:textId="77777777" w:rsidR="0015208B" w:rsidRDefault="0015208B" w:rsidP="0015208B">
            <w:pPr>
              <w:rPr>
                <w:rFonts w:cs="Arial"/>
                <w:color w:val="000000"/>
                <w:sz w:val="20"/>
                <w:szCs w:val="20"/>
              </w:rPr>
            </w:pPr>
            <w:r>
              <w:rPr>
                <w:rFonts w:cs="Arial"/>
                <w:color w:val="000000"/>
                <w:sz w:val="20"/>
                <w:szCs w:val="20"/>
              </w:rPr>
              <w:t>B. Engagement of communities CSOs and public providers</w:t>
            </w:r>
          </w:p>
        </w:tc>
        <w:tc>
          <w:tcPr>
            <w:tcW w:w="3060" w:type="dxa"/>
          </w:tcPr>
          <w:p w14:paraId="705816FB" w14:textId="77777777" w:rsidR="0015208B" w:rsidRDefault="0015208B" w:rsidP="0015208B">
            <w:pPr>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00338D">
              <w:rPr>
                <w:rFonts w:cs="Arial"/>
                <w:b/>
                <w:bCs/>
                <w:color w:val="000000"/>
                <w:sz w:val="20"/>
                <w:szCs w:val="20"/>
              </w:rPr>
              <w:t xml:space="preserve">RSSH: </w:t>
            </w:r>
            <w:r>
              <w:rPr>
                <w:rFonts w:cs="Arial"/>
                <w:b/>
                <w:bCs/>
                <w:color w:val="000000"/>
                <w:sz w:val="20"/>
                <w:szCs w:val="20"/>
              </w:rPr>
              <w:t>CSS</w:t>
            </w:r>
            <w:r w:rsidRPr="0000338D">
              <w:rPr>
                <w:rFonts w:cs="Arial"/>
                <w:b/>
                <w:bCs/>
                <w:color w:val="000000"/>
                <w:sz w:val="20"/>
                <w:szCs w:val="20"/>
              </w:rPr>
              <w:t xml:space="preserve"> / Social mobilization, building community linkage and </w:t>
            </w:r>
            <w:r>
              <w:rPr>
                <w:rFonts w:cs="Arial"/>
                <w:b/>
                <w:bCs/>
                <w:color w:val="000000"/>
                <w:sz w:val="20"/>
                <w:szCs w:val="20"/>
              </w:rPr>
              <w:t>coordination</w:t>
            </w:r>
          </w:p>
          <w:p w14:paraId="7E7695D6" w14:textId="77777777" w:rsidR="0015208B" w:rsidRPr="0000338D"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00338D">
              <w:rPr>
                <w:rFonts w:cs="Arial"/>
                <w:b/>
                <w:bCs/>
                <w:color w:val="000000"/>
                <w:sz w:val="20"/>
                <w:szCs w:val="20"/>
              </w:rPr>
              <w:t xml:space="preserve">RSSH: </w:t>
            </w:r>
            <w:r>
              <w:rPr>
                <w:rFonts w:cs="Arial"/>
                <w:b/>
                <w:bCs/>
                <w:color w:val="000000"/>
                <w:sz w:val="20"/>
                <w:szCs w:val="20"/>
              </w:rPr>
              <w:t>CSS</w:t>
            </w:r>
            <w:r w:rsidRPr="0000338D">
              <w:rPr>
                <w:rFonts w:cs="Arial"/>
                <w:b/>
                <w:bCs/>
                <w:color w:val="000000"/>
                <w:sz w:val="20"/>
                <w:szCs w:val="20"/>
              </w:rPr>
              <w:t xml:space="preserve"> / Community-based monitoring </w:t>
            </w:r>
          </w:p>
          <w:p w14:paraId="265F4049" w14:textId="77777777" w:rsidR="0015208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00338D">
              <w:rPr>
                <w:rFonts w:cs="Arial"/>
                <w:b/>
                <w:bCs/>
                <w:color w:val="000000"/>
                <w:sz w:val="20"/>
                <w:szCs w:val="20"/>
              </w:rPr>
              <w:t>Reducing human rights-related barriers to HIV/TB services</w:t>
            </w:r>
            <w:r>
              <w:rPr>
                <w:rFonts w:cs="Arial"/>
                <w:b/>
                <w:bCs/>
                <w:color w:val="000000"/>
                <w:sz w:val="20"/>
                <w:szCs w:val="20"/>
              </w:rPr>
              <w:t xml:space="preserve">: </w:t>
            </w:r>
          </w:p>
          <w:p w14:paraId="48A96032" w14:textId="77777777" w:rsidR="0015208B" w:rsidRDefault="0015208B" w:rsidP="0015208B">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5490640F" w14:textId="77777777" w:rsidR="002B4065" w:rsidRDefault="002B4065" w:rsidP="0015208B">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52375A2D" w14:textId="77777777" w:rsidR="002B4065" w:rsidRDefault="002B4065" w:rsidP="0015208B">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3FF0FFBA" w14:textId="77777777" w:rsidR="002B4065" w:rsidRDefault="002B4065" w:rsidP="002B4065">
            <w:pPr>
              <w:spacing w:after="0" w:line="240" w:lineRule="auto"/>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00338D">
              <w:rPr>
                <w:rFonts w:cs="Arial"/>
                <w:b/>
                <w:bCs/>
                <w:color w:val="000000"/>
                <w:sz w:val="20"/>
                <w:szCs w:val="20"/>
              </w:rPr>
              <w:t xml:space="preserve">RSSH: </w:t>
            </w:r>
            <w:r>
              <w:rPr>
                <w:rFonts w:cs="Arial"/>
                <w:b/>
                <w:bCs/>
                <w:color w:val="000000"/>
                <w:sz w:val="20"/>
                <w:szCs w:val="20"/>
              </w:rPr>
              <w:t>CSS</w:t>
            </w:r>
            <w:r w:rsidRPr="0000338D">
              <w:rPr>
                <w:rFonts w:cs="Arial"/>
                <w:b/>
                <w:bCs/>
                <w:color w:val="000000"/>
                <w:sz w:val="20"/>
                <w:szCs w:val="20"/>
              </w:rPr>
              <w:t xml:space="preserve"> </w:t>
            </w:r>
            <w:r>
              <w:rPr>
                <w:rFonts w:cs="Arial"/>
                <w:b/>
                <w:bCs/>
                <w:color w:val="000000"/>
                <w:sz w:val="20"/>
                <w:szCs w:val="20"/>
              </w:rPr>
              <w:t xml:space="preserve">/ </w:t>
            </w:r>
            <w:r w:rsidRPr="00066882">
              <w:rPr>
                <w:rFonts w:cs="Arial"/>
                <w:b/>
                <w:bCs/>
                <w:color w:val="000000"/>
                <w:sz w:val="20"/>
                <w:szCs w:val="20"/>
              </w:rPr>
              <w:t>Institutional capacity building, planning and leadership development</w:t>
            </w:r>
          </w:p>
          <w:p w14:paraId="1B8F4CD4" w14:textId="77777777" w:rsidR="002B4065" w:rsidRDefault="002B4065" w:rsidP="002B4065">
            <w:pPr>
              <w:spacing w:after="0" w:line="240" w:lineRule="auto"/>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p>
          <w:p w14:paraId="638314B7" w14:textId="77777777" w:rsidR="002B4065" w:rsidRDefault="002B4065" w:rsidP="002B4065">
            <w:pPr>
              <w:spacing w:after="0" w:line="240" w:lineRule="auto"/>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p>
          <w:p w14:paraId="36BE970F" w14:textId="77777777" w:rsidR="002B4065" w:rsidRDefault="002B4065" w:rsidP="002B4065">
            <w:pPr>
              <w:spacing w:after="0" w:line="240" w:lineRule="auto"/>
              <w:cnfStyle w:val="000000000000" w:firstRow="0" w:lastRow="0" w:firstColumn="0" w:lastColumn="0" w:oddVBand="0" w:evenVBand="0" w:oddHBand="0" w:evenHBand="0" w:firstRowFirstColumn="0" w:firstRowLastColumn="0" w:lastRowFirstColumn="0" w:lastRowLastColumn="0"/>
              <w:rPr>
                <w:rFonts w:cs="Arial"/>
                <w:b/>
                <w:bCs/>
                <w:color w:val="000000"/>
                <w:sz w:val="20"/>
                <w:szCs w:val="20"/>
              </w:rPr>
            </w:pPr>
            <w:r w:rsidRPr="0000338D">
              <w:rPr>
                <w:rFonts w:cs="Arial"/>
                <w:b/>
                <w:bCs/>
                <w:color w:val="000000"/>
                <w:sz w:val="20"/>
                <w:szCs w:val="20"/>
              </w:rPr>
              <w:lastRenderedPageBreak/>
              <w:t xml:space="preserve">RSSH: </w:t>
            </w:r>
            <w:r>
              <w:rPr>
                <w:rFonts w:cs="Arial"/>
                <w:b/>
                <w:bCs/>
                <w:color w:val="000000"/>
                <w:sz w:val="20"/>
                <w:szCs w:val="20"/>
              </w:rPr>
              <w:t>CSS</w:t>
            </w:r>
            <w:r w:rsidRPr="0000338D">
              <w:rPr>
                <w:rFonts w:cs="Arial"/>
                <w:b/>
                <w:bCs/>
                <w:color w:val="000000"/>
                <w:sz w:val="20"/>
                <w:szCs w:val="20"/>
              </w:rPr>
              <w:t xml:space="preserve"> /</w:t>
            </w:r>
            <w:r>
              <w:t xml:space="preserve"> </w:t>
            </w:r>
            <w:r w:rsidRPr="00066882">
              <w:rPr>
                <w:rFonts w:cs="Arial"/>
                <w:b/>
                <w:bCs/>
                <w:color w:val="000000"/>
                <w:sz w:val="20"/>
                <w:szCs w:val="20"/>
              </w:rPr>
              <w:t>Community-led advocacy and research</w:t>
            </w:r>
          </w:p>
          <w:p w14:paraId="2F31E8A4" w14:textId="1A97F24E" w:rsidR="002B4065" w:rsidRDefault="002B4065" w:rsidP="0015208B">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5220" w:type="dxa"/>
          </w:tcPr>
          <w:p w14:paraId="28B6B74B" w14:textId="77777777" w:rsidR="0015208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bCs/>
                <w:color w:val="000000"/>
                <w:sz w:val="20"/>
                <w:szCs w:val="20"/>
              </w:rPr>
            </w:pPr>
            <w:r w:rsidRPr="0000338D">
              <w:rPr>
                <w:rFonts w:cs="Arial"/>
                <w:bCs/>
                <w:color w:val="000000"/>
                <w:sz w:val="20"/>
                <w:szCs w:val="20"/>
              </w:rPr>
              <w:lastRenderedPageBreak/>
              <w:t xml:space="preserve">Develop and implement social contracting mechanisms for </w:t>
            </w:r>
            <w:r>
              <w:rPr>
                <w:rFonts w:cs="Arial"/>
                <w:bCs/>
                <w:color w:val="000000"/>
                <w:sz w:val="20"/>
                <w:szCs w:val="20"/>
              </w:rPr>
              <w:t xml:space="preserve">TB supportive services </w:t>
            </w:r>
            <w:r w:rsidRPr="0000338D">
              <w:rPr>
                <w:rFonts w:cs="Arial"/>
                <w:bCs/>
                <w:color w:val="000000"/>
                <w:sz w:val="20"/>
                <w:szCs w:val="20"/>
              </w:rPr>
              <w:t>active case finding and case-management</w:t>
            </w:r>
          </w:p>
          <w:p w14:paraId="3AB3D8C6" w14:textId="77777777" w:rsidR="00C4686B" w:rsidRDefault="00C4686B" w:rsidP="0015208B">
            <w:pPr>
              <w:cnfStyle w:val="000000000000" w:firstRow="0" w:lastRow="0" w:firstColumn="0" w:lastColumn="0" w:oddVBand="0" w:evenVBand="0" w:oddHBand="0" w:evenHBand="0" w:firstRowFirstColumn="0" w:firstRowLastColumn="0" w:lastRowFirstColumn="0" w:lastRowLastColumn="0"/>
              <w:rPr>
                <w:rFonts w:cs="Arial"/>
                <w:bCs/>
                <w:color w:val="000000"/>
                <w:sz w:val="20"/>
                <w:szCs w:val="20"/>
              </w:rPr>
            </w:pPr>
          </w:p>
          <w:p w14:paraId="67EE5426" w14:textId="66FA6728" w:rsidR="0015208B" w:rsidRPr="007F2F62" w:rsidRDefault="0015208B" w:rsidP="0015208B">
            <w:pPr>
              <w:cnfStyle w:val="000000000000" w:firstRow="0" w:lastRow="0" w:firstColumn="0" w:lastColumn="0" w:oddVBand="0" w:evenVBand="0" w:oddHBand="0" w:evenHBand="0" w:firstRowFirstColumn="0" w:firstRowLastColumn="0" w:lastRowFirstColumn="0" w:lastRowLastColumn="0"/>
              <w:rPr>
                <w:rFonts w:cs="Arial"/>
                <w:bCs/>
                <w:color w:val="000000"/>
                <w:sz w:val="20"/>
                <w:szCs w:val="20"/>
              </w:rPr>
            </w:pPr>
            <w:r>
              <w:rPr>
                <w:rFonts w:cs="Arial"/>
                <w:bCs/>
                <w:color w:val="000000"/>
                <w:sz w:val="20"/>
                <w:szCs w:val="20"/>
              </w:rPr>
              <w:t>D</w:t>
            </w:r>
            <w:r w:rsidRPr="0000338D">
              <w:rPr>
                <w:rFonts w:cs="Arial"/>
                <w:bCs/>
                <w:color w:val="000000"/>
                <w:sz w:val="20"/>
                <w:szCs w:val="20"/>
              </w:rPr>
              <w:t xml:space="preserve">ocument structural and access barriers to TB (gender, human rights, financial, stigma); involve </w:t>
            </w:r>
            <w:r>
              <w:rPr>
                <w:rFonts w:cs="Arial"/>
                <w:bCs/>
                <w:color w:val="000000"/>
                <w:sz w:val="20"/>
                <w:szCs w:val="20"/>
              </w:rPr>
              <w:t>NGO</w:t>
            </w:r>
            <w:r w:rsidRPr="0000338D">
              <w:rPr>
                <w:rFonts w:cs="Arial"/>
                <w:bCs/>
                <w:color w:val="000000"/>
                <w:sz w:val="20"/>
                <w:szCs w:val="20"/>
              </w:rPr>
              <w:t xml:space="preserve">s in removing barriers and increase access and linkage to care for key populations; human rights </w:t>
            </w:r>
            <w:r>
              <w:rPr>
                <w:rFonts w:cs="Arial"/>
                <w:bCs/>
                <w:color w:val="000000"/>
                <w:sz w:val="20"/>
                <w:szCs w:val="20"/>
              </w:rPr>
              <w:t>literacy; community-based monitoring for TB</w:t>
            </w:r>
            <w:r w:rsidRPr="007F2F62">
              <w:rPr>
                <w:rFonts w:cs="Arial"/>
                <w:bCs/>
                <w:color w:val="000000"/>
                <w:sz w:val="20"/>
                <w:szCs w:val="20"/>
              </w:rPr>
              <w:t>;</w:t>
            </w:r>
            <w:r w:rsidR="00C4686B" w:rsidRPr="007F2F62">
              <w:rPr>
                <w:rFonts w:cs="Arial"/>
                <w:bCs/>
                <w:color w:val="000000"/>
                <w:sz w:val="20"/>
                <w:szCs w:val="20"/>
              </w:rPr>
              <w:t xml:space="preserve"> community and CSO audit</w:t>
            </w:r>
          </w:p>
          <w:p w14:paraId="28C1F12B" w14:textId="1983EFBA" w:rsidR="002B4065" w:rsidRDefault="0015208B" w:rsidP="00500903">
            <w:pPr>
              <w:cnfStyle w:val="000000000000" w:firstRow="0" w:lastRow="0" w:firstColumn="0" w:lastColumn="0" w:oddVBand="0" w:evenVBand="0" w:oddHBand="0" w:evenHBand="0" w:firstRowFirstColumn="0" w:firstRowLastColumn="0" w:lastRowFirstColumn="0" w:lastRowLastColumn="0"/>
              <w:rPr>
                <w:rFonts w:cs="Arial"/>
                <w:bCs/>
                <w:color w:val="000000"/>
                <w:sz w:val="20"/>
                <w:szCs w:val="20"/>
              </w:rPr>
            </w:pPr>
            <w:r w:rsidRPr="007F2F62">
              <w:rPr>
                <w:rFonts w:cs="Arial"/>
                <w:bCs/>
                <w:color w:val="000000"/>
                <w:sz w:val="20"/>
                <w:szCs w:val="20"/>
              </w:rPr>
              <w:t>TB stigma index, legal aid, paralegal network, legal aid and strategic litigation</w:t>
            </w:r>
          </w:p>
          <w:p w14:paraId="15B96AE8" w14:textId="77777777" w:rsidR="002B4065" w:rsidRDefault="002B4065" w:rsidP="002B4065">
            <w:pPr>
              <w:cnfStyle w:val="000000000000" w:firstRow="0" w:lastRow="0" w:firstColumn="0" w:lastColumn="0" w:oddVBand="0" w:evenVBand="0" w:oddHBand="0" w:evenHBand="0" w:firstRowFirstColumn="0" w:firstRowLastColumn="0" w:lastRowFirstColumn="0" w:lastRowLastColumn="0"/>
              <w:rPr>
                <w:rFonts w:cs="Arial"/>
                <w:bCs/>
                <w:i/>
                <w:color w:val="000000"/>
                <w:sz w:val="20"/>
                <w:szCs w:val="20"/>
              </w:rPr>
            </w:pPr>
            <w:r w:rsidRPr="00EE5669">
              <w:rPr>
                <w:rFonts w:cs="Arial"/>
                <w:bCs/>
                <w:i/>
                <w:color w:val="000000"/>
                <w:sz w:val="20"/>
                <w:szCs w:val="20"/>
              </w:rPr>
              <w:t>PAAR: organization capacity, leadership and sustainability, strategic planning, fund raising</w:t>
            </w:r>
          </w:p>
          <w:p w14:paraId="0546F80A" w14:textId="77777777" w:rsidR="002B4065" w:rsidRDefault="002B4065" w:rsidP="002B4065">
            <w:pPr>
              <w:cnfStyle w:val="000000000000" w:firstRow="0" w:lastRow="0" w:firstColumn="0" w:lastColumn="0" w:oddVBand="0" w:evenVBand="0" w:oddHBand="0" w:evenHBand="0" w:firstRowFirstColumn="0" w:firstRowLastColumn="0" w:lastRowFirstColumn="0" w:lastRowLastColumn="0"/>
              <w:rPr>
                <w:rFonts w:cs="Arial"/>
                <w:bCs/>
                <w:i/>
                <w:color w:val="000000"/>
                <w:sz w:val="20"/>
                <w:szCs w:val="20"/>
              </w:rPr>
            </w:pPr>
          </w:p>
          <w:p w14:paraId="3D1F33C2" w14:textId="0EA63C20" w:rsidR="002B4065" w:rsidRDefault="002B4065" w:rsidP="002B4065">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bCs/>
                <w:i/>
                <w:color w:val="000000"/>
                <w:sz w:val="20"/>
                <w:szCs w:val="20"/>
              </w:rPr>
              <w:lastRenderedPageBreak/>
              <w:t>PAAR: Sociological analysis - NGOs involvement in TB response</w:t>
            </w:r>
          </w:p>
        </w:tc>
      </w:tr>
      <w:tr w:rsidR="0015208B" w14:paraId="44DC6A77" w14:textId="77777777" w:rsidTr="00152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477305B9" w14:textId="77777777" w:rsidR="0015208B" w:rsidRDefault="0015208B" w:rsidP="0015208B">
            <w:pPr>
              <w:rPr>
                <w:rFonts w:cs="Arial"/>
                <w:color w:val="000000"/>
                <w:sz w:val="20"/>
                <w:szCs w:val="20"/>
              </w:rPr>
            </w:pPr>
            <w:r>
              <w:rPr>
                <w:rFonts w:cs="Arial"/>
                <w:color w:val="000000"/>
                <w:sz w:val="20"/>
                <w:szCs w:val="20"/>
              </w:rPr>
              <w:lastRenderedPageBreak/>
              <w:t>C Universal Health coverage policy and regulatory frameworks</w:t>
            </w:r>
          </w:p>
        </w:tc>
        <w:tc>
          <w:tcPr>
            <w:tcW w:w="3060" w:type="dxa"/>
          </w:tcPr>
          <w:p w14:paraId="22AF73A2" w14:textId="77777777"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Pr>
                <w:rFonts w:cs="Arial"/>
                <w:b/>
                <w:bCs/>
                <w:color w:val="000000"/>
                <w:sz w:val="20"/>
                <w:szCs w:val="20"/>
              </w:rPr>
              <w:t xml:space="preserve">RSSH - </w:t>
            </w:r>
            <w:r w:rsidRPr="0000338D">
              <w:rPr>
                <w:rFonts w:cs="Arial"/>
                <w:b/>
                <w:bCs/>
                <w:color w:val="000000"/>
                <w:sz w:val="20"/>
                <w:szCs w:val="20"/>
              </w:rPr>
              <w:t>Health sector governance and planning</w:t>
            </w:r>
            <w:r>
              <w:rPr>
                <w:rFonts w:cs="Arial"/>
                <w:b/>
                <w:bCs/>
                <w:color w:val="000000"/>
                <w:sz w:val="20"/>
                <w:szCs w:val="20"/>
              </w:rPr>
              <w:t xml:space="preserve"> </w:t>
            </w:r>
          </w:p>
          <w:p w14:paraId="3FF3D722" w14:textId="17A0ACAB"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p>
          <w:p w14:paraId="0890FF8F" w14:textId="77777777" w:rsidR="0015208B" w:rsidRPr="0000338D"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b/>
                <w:bCs/>
                <w:color w:val="000000"/>
                <w:sz w:val="20"/>
                <w:szCs w:val="20"/>
              </w:rPr>
              <w:t>RSSH -</w:t>
            </w:r>
            <w:r w:rsidRPr="0000338D">
              <w:rPr>
                <w:rFonts w:cs="Arial"/>
                <w:b/>
                <w:bCs/>
                <w:color w:val="000000"/>
                <w:sz w:val="20"/>
                <w:szCs w:val="20"/>
              </w:rPr>
              <w:t xml:space="preserve"> Integrated service delivery and quality improvement</w:t>
            </w:r>
            <w:r w:rsidRPr="0000338D">
              <w:rPr>
                <w:rFonts w:cs="Arial"/>
                <w:sz w:val="20"/>
                <w:szCs w:val="20"/>
              </w:rPr>
              <w:t xml:space="preserve">: </w:t>
            </w:r>
          </w:p>
          <w:p w14:paraId="3E45B8C9" w14:textId="77777777" w:rsidR="00C4686B" w:rsidRPr="0000338D" w:rsidRDefault="00C4686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p>
          <w:p w14:paraId="0CF4CD40" w14:textId="77777777" w:rsidR="0015208B" w:rsidRPr="0000338D"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bCs/>
                <w:color w:val="000000"/>
                <w:sz w:val="20"/>
                <w:szCs w:val="20"/>
              </w:rPr>
            </w:pPr>
            <w:r>
              <w:rPr>
                <w:rFonts w:cs="Arial"/>
                <w:b/>
                <w:bCs/>
                <w:color w:val="000000"/>
                <w:sz w:val="20"/>
                <w:szCs w:val="20"/>
              </w:rPr>
              <w:t>RSSH -</w:t>
            </w:r>
            <w:r w:rsidRPr="0000338D">
              <w:rPr>
                <w:rFonts w:cs="Arial"/>
                <w:b/>
                <w:bCs/>
                <w:color w:val="000000"/>
                <w:sz w:val="20"/>
                <w:szCs w:val="20"/>
              </w:rPr>
              <w:t xml:space="preserve"> Health Managem</w:t>
            </w:r>
            <w:r>
              <w:rPr>
                <w:rFonts w:cs="Arial"/>
                <w:b/>
                <w:bCs/>
                <w:color w:val="000000"/>
                <w:sz w:val="20"/>
                <w:szCs w:val="20"/>
              </w:rPr>
              <w:t xml:space="preserve">ent Information Systems and M&amp;E: </w:t>
            </w:r>
          </w:p>
          <w:p w14:paraId="1B55AD8C" w14:textId="53AF837E" w:rsidR="0015208B" w:rsidRPr="0000338D"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bCs/>
                <w:color w:val="000000"/>
                <w:sz w:val="20"/>
                <w:szCs w:val="20"/>
              </w:rPr>
            </w:pPr>
            <w:r w:rsidRPr="0000338D">
              <w:rPr>
                <w:rFonts w:cs="Arial"/>
                <w:b/>
                <w:bCs/>
                <w:color w:val="000000"/>
                <w:sz w:val="20"/>
                <w:szCs w:val="20"/>
              </w:rPr>
              <w:t>RSSH: Human resources for health, including community health workers</w:t>
            </w:r>
            <w:r>
              <w:rPr>
                <w:rFonts w:cs="Arial"/>
                <w:bCs/>
                <w:color w:val="000000"/>
                <w:sz w:val="20"/>
                <w:szCs w:val="20"/>
              </w:rPr>
              <w:t xml:space="preserve">: </w:t>
            </w:r>
          </w:p>
          <w:p w14:paraId="40EF9665" w14:textId="77777777"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p>
          <w:p w14:paraId="426985EB" w14:textId="6E6C424B"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p>
          <w:p w14:paraId="4A381D26" w14:textId="6CD24D08" w:rsidR="00230476" w:rsidRDefault="00230476"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p>
          <w:p w14:paraId="5AE2145B" w14:textId="77777777" w:rsidR="00230476" w:rsidRDefault="00230476"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p>
          <w:p w14:paraId="6543716B" w14:textId="77777777"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00338D">
              <w:rPr>
                <w:rFonts w:cs="Arial"/>
                <w:b/>
                <w:bCs/>
                <w:color w:val="000000"/>
                <w:sz w:val="20"/>
                <w:szCs w:val="20"/>
              </w:rPr>
              <w:t>RSSH: Health products management systems</w:t>
            </w:r>
            <w:r>
              <w:rPr>
                <w:rFonts w:cs="Arial"/>
                <w:b/>
                <w:bCs/>
                <w:color w:val="000000"/>
                <w:sz w:val="20"/>
                <w:szCs w:val="20"/>
              </w:rPr>
              <w:t xml:space="preserve">: </w:t>
            </w:r>
          </w:p>
          <w:p w14:paraId="67630909" w14:textId="77777777"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p>
          <w:p w14:paraId="5D5E7F13" w14:textId="77777777" w:rsidR="0015208B" w:rsidRPr="0000338D"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bCs/>
                <w:color w:val="000000"/>
                <w:sz w:val="20"/>
                <w:szCs w:val="20"/>
              </w:rPr>
            </w:pPr>
          </w:p>
          <w:p w14:paraId="0D3DEFD2" w14:textId="77777777"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b/>
                <w:bCs/>
                <w:color w:val="000000"/>
                <w:sz w:val="20"/>
                <w:szCs w:val="20"/>
              </w:rPr>
            </w:pPr>
            <w:r w:rsidRPr="0000338D">
              <w:rPr>
                <w:rFonts w:cs="Arial"/>
                <w:b/>
                <w:bCs/>
                <w:color w:val="000000"/>
                <w:sz w:val="20"/>
                <w:szCs w:val="20"/>
              </w:rPr>
              <w:t>RSSH - Laboratory systems</w:t>
            </w:r>
            <w:r>
              <w:rPr>
                <w:rFonts w:cs="Arial"/>
                <w:b/>
                <w:bCs/>
                <w:color w:val="000000"/>
                <w:sz w:val="20"/>
                <w:szCs w:val="20"/>
              </w:rPr>
              <w:t xml:space="preserve"> </w:t>
            </w:r>
          </w:p>
          <w:p w14:paraId="1C25FEB1" w14:textId="77777777" w:rsidR="0015208B" w:rsidRDefault="0015208B" w:rsidP="0015208B">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5220" w:type="dxa"/>
          </w:tcPr>
          <w:p w14:paraId="78A89700" w14:textId="77777777" w:rsidR="0015208B" w:rsidRDefault="0015208B" w:rsidP="0015208B">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MAF: </w:t>
            </w:r>
            <w:r w:rsidRPr="0000338D">
              <w:rPr>
                <w:rFonts w:cs="Arial"/>
                <w:sz w:val="20"/>
                <w:szCs w:val="20"/>
              </w:rPr>
              <w:t>multi</w:t>
            </w:r>
            <w:r>
              <w:rPr>
                <w:rFonts w:cs="Arial"/>
                <w:sz w:val="20"/>
                <w:szCs w:val="20"/>
              </w:rPr>
              <w:t>-</w:t>
            </w:r>
            <w:r w:rsidRPr="0000338D">
              <w:rPr>
                <w:rFonts w:cs="Arial"/>
                <w:sz w:val="20"/>
                <w:szCs w:val="20"/>
              </w:rPr>
              <w:t>sectorial coordination mechanism for TB</w:t>
            </w:r>
          </w:p>
          <w:p w14:paraId="5A88ACA1" w14:textId="77777777" w:rsidR="00C4686B" w:rsidRDefault="00C4686B" w:rsidP="0015208B">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76B5DEDF" w14:textId="13951D10" w:rsidR="0015208B" w:rsidRDefault="0015208B" w:rsidP="0015208B">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R</w:t>
            </w:r>
            <w:r w:rsidRPr="0000338D">
              <w:rPr>
                <w:rFonts w:cs="Arial"/>
                <w:sz w:val="20"/>
                <w:szCs w:val="20"/>
              </w:rPr>
              <w:t>esponse at national level; collaborative partnerships at community level; develop integrat</w:t>
            </w:r>
            <w:r>
              <w:rPr>
                <w:rFonts w:cs="Arial"/>
                <w:sz w:val="20"/>
                <w:szCs w:val="20"/>
              </w:rPr>
              <w:t>ed service delivery regulation</w:t>
            </w:r>
          </w:p>
          <w:p w14:paraId="3A34053A" w14:textId="77777777"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bCs/>
                <w:color w:val="000000"/>
                <w:sz w:val="20"/>
                <w:szCs w:val="20"/>
              </w:rPr>
            </w:pPr>
          </w:p>
          <w:p w14:paraId="6C095473" w14:textId="77777777" w:rsidR="00C4686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bCs/>
                <w:color w:val="000000"/>
                <w:sz w:val="20"/>
                <w:szCs w:val="20"/>
              </w:rPr>
            </w:pPr>
            <w:r>
              <w:rPr>
                <w:rFonts w:cs="Arial"/>
                <w:bCs/>
                <w:color w:val="000000"/>
                <w:sz w:val="20"/>
                <w:szCs w:val="20"/>
              </w:rPr>
              <w:t>R</w:t>
            </w:r>
            <w:r w:rsidRPr="0000338D">
              <w:rPr>
                <w:rFonts w:cs="Arial"/>
                <w:bCs/>
                <w:color w:val="000000"/>
                <w:sz w:val="20"/>
                <w:szCs w:val="20"/>
              </w:rPr>
              <w:t xml:space="preserve">edesign electronic informational system SIME TB (add </w:t>
            </w:r>
            <w:r>
              <w:rPr>
                <w:rFonts w:cs="Arial"/>
                <w:bCs/>
                <w:color w:val="000000"/>
                <w:sz w:val="20"/>
                <w:szCs w:val="20"/>
              </w:rPr>
              <w:t xml:space="preserve">lab and CF </w:t>
            </w:r>
            <w:r w:rsidRPr="0000338D">
              <w:rPr>
                <w:rFonts w:cs="Arial"/>
                <w:bCs/>
                <w:color w:val="000000"/>
                <w:sz w:val="20"/>
                <w:szCs w:val="20"/>
              </w:rPr>
              <w:t>modules, ensure interoperability)</w:t>
            </w:r>
            <w:r>
              <w:rPr>
                <w:rFonts w:cs="Arial"/>
                <w:bCs/>
                <w:color w:val="000000"/>
                <w:sz w:val="20"/>
                <w:szCs w:val="20"/>
              </w:rPr>
              <w:t>,</w:t>
            </w:r>
          </w:p>
          <w:p w14:paraId="78B9516B" w14:textId="5E6D6F4A" w:rsidR="0015208B" w:rsidRDefault="00C4686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bCs/>
                <w:color w:val="000000"/>
                <w:sz w:val="20"/>
                <w:szCs w:val="20"/>
              </w:rPr>
            </w:pPr>
            <w:r>
              <w:rPr>
                <w:rFonts w:cs="Arial"/>
                <w:bCs/>
                <w:color w:val="000000"/>
                <w:sz w:val="20"/>
                <w:szCs w:val="20"/>
              </w:rPr>
              <w:t>Ensure core M&amp;E visits with CSO engagement</w:t>
            </w:r>
            <w:r w:rsidR="0015208B">
              <w:rPr>
                <w:rFonts w:cs="Arial"/>
                <w:bCs/>
                <w:color w:val="000000"/>
                <w:sz w:val="20"/>
                <w:szCs w:val="20"/>
              </w:rPr>
              <w:t xml:space="preserve"> </w:t>
            </w:r>
          </w:p>
          <w:p w14:paraId="498DD346" w14:textId="5F7C61AD" w:rsidR="0015208B" w:rsidRDefault="0015208B" w:rsidP="00A83924">
            <w:pPr>
              <w:spacing w:after="0" w:line="240" w:lineRule="auto"/>
              <w:cnfStyle w:val="000000100000" w:firstRow="0" w:lastRow="0" w:firstColumn="0" w:lastColumn="0" w:oddVBand="0" w:evenVBand="0" w:oddHBand="1" w:evenHBand="0" w:firstRowFirstColumn="0" w:firstRowLastColumn="0" w:lastRowFirstColumn="0" w:lastRowLastColumn="0"/>
              <w:rPr>
                <w:rFonts w:cs="Arial"/>
                <w:bCs/>
                <w:color w:val="000000"/>
                <w:sz w:val="20"/>
                <w:szCs w:val="20"/>
              </w:rPr>
            </w:pPr>
            <w:r>
              <w:rPr>
                <w:rFonts w:cs="Arial"/>
                <w:bCs/>
                <w:color w:val="000000"/>
                <w:sz w:val="20"/>
                <w:szCs w:val="20"/>
              </w:rPr>
              <w:t>Human resource planning</w:t>
            </w:r>
            <w:r w:rsidR="00A83924">
              <w:rPr>
                <w:rFonts w:cs="Arial"/>
                <w:bCs/>
                <w:color w:val="000000"/>
                <w:sz w:val="20"/>
                <w:szCs w:val="20"/>
              </w:rPr>
              <w:t xml:space="preserve"> (needs-based medium term),</w:t>
            </w:r>
            <w:r>
              <w:rPr>
                <w:rFonts w:cs="Arial"/>
                <w:bCs/>
                <w:color w:val="000000"/>
                <w:sz w:val="20"/>
                <w:szCs w:val="20"/>
              </w:rPr>
              <w:t xml:space="preserve"> capacity building national TB program unit staff, integration in-service training into continuous medical education using digital platforms, integrating in-service training of non-medical staff on digital platforms. </w:t>
            </w:r>
          </w:p>
          <w:p w14:paraId="48FFBC3A" w14:textId="77777777" w:rsidR="00A122B2" w:rsidRDefault="00A122B2" w:rsidP="0015208B">
            <w:pPr>
              <w:cnfStyle w:val="000000100000" w:firstRow="0" w:lastRow="0" w:firstColumn="0" w:lastColumn="0" w:oddVBand="0" w:evenVBand="0" w:oddHBand="1" w:evenHBand="0" w:firstRowFirstColumn="0" w:firstRowLastColumn="0" w:lastRowFirstColumn="0" w:lastRowLastColumn="0"/>
              <w:rPr>
                <w:rFonts w:cs="Arial"/>
                <w:bCs/>
                <w:color w:val="000000"/>
                <w:sz w:val="20"/>
                <w:szCs w:val="20"/>
              </w:rPr>
            </w:pPr>
          </w:p>
          <w:p w14:paraId="49DD02EA" w14:textId="6F7DD275" w:rsidR="0015208B" w:rsidRDefault="0015208B" w:rsidP="0015208B">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bCs/>
                <w:color w:val="000000"/>
                <w:sz w:val="20"/>
                <w:szCs w:val="20"/>
              </w:rPr>
              <w:t>E</w:t>
            </w:r>
            <w:r w:rsidRPr="0000338D">
              <w:rPr>
                <w:rFonts w:cs="Arial"/>
                <w:bCs/>
                <w:color w:val="000000"/>
                <w:sz w:val="20"/>
                <w:szCs w:val="20"/>
              </w:rPr>
              <w:t>nsuring access to medicines for preventing adverse reactions during TB treatment, pharmacovigilance,</w:t>
            </w:r>
          </w:p>
          <w:p w14:paraId="3EC59B1B" w14:textId="77777777"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bCs/>
                <w:color w:val="000000"/>
                <w:sz w:val="20"/>
                <w:szCs w:val="20"/>
              </w:rPr>
            </w:pPr>
          </w:p>
          <w:p w14:paraId="3DDC3B51" w14:textId="77777777"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0338D">
              <w:rPr>
                <w:rFonts w:cs="Arial"/>
                <w:bCs/>
                <w:color w:val="000000"/>
                <w:sz w:val="20"/>
                <w:szCs w:val="20"/>
              </w:rPr>
              <w:t>TB lab strengthening (quality management, external quality assessment, biosecurity standards)</w:t>
            </w:r>
          </w:p>
        </w:tc>
      </w:tr>
      <w:tr w:rsidR="0015208B" w14:paraId="0D8FDA48" w14:textId="77777777" w:rsidTr="0015208B">
        <w:tc>
          <w:tcPr>
            <w:cnfStyle w:val="001000000000" w:firstRow="0" w:lastRow="0" w:firstColumn="1" w:lastColumn="0" w:oddVBand="0" w:evenVBand="0" w:oddHBand="0" w:evenHBand="0" w:firstRowFirstColumn="0" w:firstRowLastColumn="0" w:lastRowFirstColumn="0" w:lastRowLastColumn="0"/>
            <w:tcW w:w="3060" w:type="dxa"/>
          </w:tcPr>
          <w:p w14:paraId="56ED417A" w14:textId="77777777" w:rsidR="0015208B" w:rsidRDefault="0015208B" w:rsidP="0015208B">
            <w:pPr>
              <w:rPr>
                <w:rFonts w:cs="Arial"/>
                <w:color w:val="000000"/>
                <w:sz w:val="20"/>
                <w:szCs w:val="20"/>
              </w:rPr>
            </w:pPr>
            <w:r>
              <w:rPr>
                <w:rFonts w:cs="Arial"/>
                <w:color w:val="000000"/>
                <w:sz w:val="20"/>
                <w:szCs w:val="20"/>
              </w:rPr>
              <w:t>D social protection and action on determinants</w:t>
            </w:r>
          </w:p>
        </w:tc>
        <w:tc>
          <w:tcPr>
            <w:tcW w:w="3060" w:type="dxa"/>
          </w:tcPr>
          <w:p w14:paraId="66F5D4E3" w14:textId="77777777" w:rsidR="0015208B" w:rsidRDefault="0015208B" w:rsidP="0015208B">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5220" w:type="dxa"/>
          </w:tcPr>
          <w:p w14:paraId="1FEDD294" w14:textId="77777777" w:rsidR="0015208B" w:rsidRDefault="006D106F" w:rsidP="006D106F">
            <w:pPr>
              <w:cnfStyle w:val="000000000000" w:firstRow="0" w:lastRow="0" w:firstColumn="0" w:lastColumn="0" w:oddVBand="0" w:evenVBand="0" w:oddHBand="0" w:evenHBand="0" w:firstRowFirstColumn="0" w:firstRowLastColumn="0" w:lastRowFirstColumn="0" w:lastRowLastColumn="0"/>
              <w:rPr>
                <w:rFonts w:cs="Arial"/>
                <w:i/>
                <w:color w:val="000000"/>
                <w:sz w:val="20"/>
                <w:szCs w:val="20"/>
              </w:rPr>
            </w:pPr>
            <w:r>
              <w:rPr>
                <w:rFonts w:cs="Arial"/>
                <w:color w:val="000000"/>
                <w:sz w:val="20"/>
                <w:szCs w:val="20"/>
              </w:rPr>
              <w:t xml:space="preserve"> </w:t>
            </w:r>
            <w:r w:rsidR="0015208B">
              <w:rPr>
                <w:rFonts w:cs="Arial"/>
                <w:color w:val="000000"/>
                <w:sz w:val="20"/>
                <w:szCs w:val="20"/>
              </w:rPr>
              <w:t>(</w:t>
            </w:r>
            <w:r w:rsidRPr="006D106F">
              <w:rPr>
                <w:rFonts w:cs="Arial"/>
                <w:i/>
                <w:color w:val="000000"/>
                <w:sz w:val="20"/>
                <w:szCs w:val="20"/>
              </w:rPr>
              <w:t xml:space="preserve">UHC and incentives </w:t>
            </w:r>
            <w:r>
              <w:rPr>
                <w:rFonts w:cs="Arial"/>
                <w:i/>
                <w:color w:val="000000"/>
                <w:sz w:val="20"/>
                <w:szCs w:val="20"/>
              </w:rPr>
              <w:t xml:space="preserve">fully </w:t>
            </w:r>
            <w:r w:rsidR="0015208B" w:rsidRPr="006D106F">
              <w:rPr>
                <w:rFonts w:cs="Arial"/>
                <w:i/>
                <w:color w:val="000000"/>
                <w:sz w:val="20"/>
                <w:szCs w:val="20"/>
              </w:rPr>
              <w:t>covered through public funding)</w:t>
            </w:r>
          </w:p>
          <w:p w14:paraId="7343DD5B" w14:textId="10005EC2" w:rsidR="00C4686B" w:rsidRPr="00C4686B" w:rsidRDefault="00C4686B" w:rsidP="006D106F">
            <w:pPr>
              <w:cnfStyle w:val="000000000000" w:firstRow="0" w:lastRow="0" w:firstColumn="0" w:lastColumn="0" w:oddVBand="0" w:evenVBand="0" w:oddHBand="0" w:evenHBand="0" w:firstRowFirstColumn="0" w:firstRowLastColumn="0" w:lastRowFirstColumn="0" w:lastRowLastColumn="0"/>
              <w:rPr>
                <w:rFonts w:cs="Arial"/>
                <w:i/>
                <w:color w:val="000000"/>
                <w:sz w:val="20"/>
                <w:szCs w:val="20"/>
              </w:rPr>
            </w:pPr>
            <w:r w:rsidRPr="00C4686B">
              <w:rPr>
                <w:rFonts w:cs="Arial"/>
                <w:i/>
                <w:color w:val="FF0000"/>
                <w:sz w:val="20"/>
                <w:szCs w:val="20"/>
              </w:rPr>
              <w:t>Ensuring  collaborative, CSO, LPG and Social Service etc.</w:t>
            </w:r>
          </w:p>
        </w:tc>
      </w:tr>
      <w:tr w:rsidR="0015208B" w14:paraId="703F1E97" w14:textId="77777777" w:rsidTr="00152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0" w:type="dxa"/>
            <w:gridSpan w:val="3"/>
            <w:shd w:val="clear" w:color="auto" w:fill="E8E8E9" w:themeFill="accent1" w:themeFillTint="66"/>
          </w:tcPr>
          <w:p w14:paraId="62B5B71F" w14:textId="77777777" w:rsidR="0015208B" w:rsidRPr="000D4EFC" w:rsidRDefault="0015208B" w:rsidP="0015208B">
            <w:pPr>
              <w:rPr>
                <w:rFonts w:cs="Arial"/>
                <w:b w:val="0"/>
                <w:color w:val="000000"/>
                <w:sz w:val="20"/>
                <w:szCs w:val="20"/>
              </w:rPr>
            </w:pPr>
            <w:r w:rsidRPr="008A15FB">
              <w:rPr>
                <w:rFonts w:cs="Arial"/>
                <w:color w:val="000000"/>
                <w:szCs w:val="20"/>
              </w:rPr>
              <w:t>3</w:t>
            </w:r>
            <w:r w:rsidRPr="000D4EFC">
              <w:rPr>
                <w:rFonts w:cs="Arial"/>
                <w:b w:val="0"/>
                <w:color w:val="000000"/>
                <w:sz w:val="20"/>
                <w:szCs w:val="20"/>
              </w:rPr>
              <w:t xml:space="preserve"> </w:t>
            </w:r>
            <w:r w:rsidRPr="008A15FB">
              <w:rPr>
                <w:rFonts w:cs="Arial"/>
                <w:color w:val="000000"/>
                <w:szCs w:val="20"/>
              </w:rPr>
              <w:t>Intensified research and innovation</w:t>
            </w:r>
          </w:p>
        </w:tc>
      </w:tr>
      <w:tr w:rsidR="0015208B" w14:paraId="5CD62EB7" w14:textId="77777777" w:rsidTr="0015208B">
        <w:tc>
          <w:tcPr>
            <w:cnfStyle w:val="001000000000" w:firstRow="0" w:lastRow="0" w:firstColumn="1" w:lastColumn="0" w:oddVBand="0" w:evenVBand="0" w:oddHBand="0" w:evenHBand="0" w:firstRowFirstColumn="0" w:firstRowLastColumn="0" w:lastRowFirstColumn="0" w:lastRowLastColumn="0"/>
            <w:tcW w:w="3060" w:type="dxa"/>
          </w:tcPr>
          <w:p w14:paraId="40856A23" w14:textId="77777777" w:rsidR="0015208B" w:rsidRPr="00665BD9" w:rsidRDefault="0015208B" w:rsidP="0015208B">
            <w:pPr>
              <w:rPr>
                <w:rFonts w:cs="Arial"/>
                <w:color w:val="000000"/>
                <w:sz w:val="20"/>
                <w:szCs w:val="20"/>
              </w:rPr>
            </w:pPr>
            <w:r w:rsidRPr="00665BD9">
              <w:rPr>
                <w:rFonts w:cs="Arial"/>
                <w:color w:val="000000"/>
                <w:sz w:val="20"/>
                <w:szCs w:val="20"/>
              </w:rPr>
              <w:t>Discovery development and rapid uptake of tools</w:t>
            </w:r>
          </w:p>
        </w:tc>
        <w:tc>
          <w:tcPr>
            <w:tcW w:w="3060" w:type="dxa"/>
          </w:tcPr>
          <w:p w14:paraId="59458E1D" w14:textId="77777777" w:rsidR="0015208B" w:rsidRDefault="0015208B" w:rsidP="0015208B">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b/>
                <w:bCs/>
                <w:color w:val="000000"/>
                <w:sz w:val="20"/>
                <w:szCs w:val="20"/>
              </w:rPr>
              <w:t>RSSH -</w:t>
            </w:r>
            <w:r w:rsidRPr="0000338D">
              <w:rPr>
                <w:rFonts w:cs="Arial"/>
                <w:b/>
                <w:bCs/>
                <w:color w:val="000000"/>
                <w:sz w:val="20"/>
                <w:szCs w:val="20"/>
              </w:rPr>
              <w:t xml:space="preserve"> Health Managem</w:t>
            </w:r>
            <w:r>
              <w:rPr>
                <w:rFonts w:cs="Arial"/>
                <w:b/>
                <w:bCs/>
                <w:color w:val="000000"/>
                <w:sz w:val="20"/>
                <w:szCs w:val="20"/>
              </w:rPr>
              <w:t>ent Information Systems and M&amp;E</w:t>
            </w:r>
          </w:p>
        </w:tc>
        <w:tc>
          <w:tcPr>
            <w:tcW w:w="5220" w:type="dxa"/>
          </w:tcPr>
          <w:p w14:paraId="5C69E0B9" w14:textId="77777777" w:rsidR="0015208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bCs/>
                <w:color w:val="000000"/>
                <w:sz w:val="20"/>
                <w:szCs w:val="20"/>
              </w:rPr>
            </w:pPr>
            <w:r>
              <w:rPr>
                <w:rFonts w:cs="Arial"/>
                <w:bCs/>
                <w:color w:val="000000"/>
                <w:sz w:val="20"/>
                <w:szCs w:val="20"/>
              </w:rPr>
              <w:t>AI X-ray operational research</w:t>
            </w:r>
          </w:p>
          <w:p w14:paraId="64DF1284" w14:textId="77777777" w:rsidR="0015208B" w:rsidRDefault="0015208B" w:rsidP="0015208B">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15208B" w14:paraId="002D8BD3" w14:textId="77777777" w:rsidTr="00152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1FCAF760" w14:textId="77777777" w:rsidR="0015208B" w:rsidRPr="00665BD9" w:rsidRDefault="0015208B" w:rsidP="0015208B">
            <w:pPr>
              <w:rPr>
                <w:rFonts w:cs="Arial"/>
                <w:color w:val="000000"/>
                <w:sz w:val="20"/>
                <w:szCs w:val="20"/>
              </w:rPr>
            </w:pPr>
            <w:r>
              <w:rPr>
                <w:rFonts w:cs="Arial"/>
                <w:color w:val="000000"/>
                <w:sz w:val="20"/>
                <w:szCs w:val="20"/>
              </w:rPr>
              <w:t>Research to optimize implementation and impact</w:t>
            </w:r>
          </w:p>
        </w:tc>
        <w:tc>
          <w:tcPr>
            <w:tcW w:w="3060" w:type="dxa"/>
          </w:tcPr>
          <w:p w14:paraId="4880EFFF" w14:textId="77777777" w:rsidR="0015208B" w:rsidRDefault="0015208B" w:rsidP="0015208B">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b/>
                <w:bCs/>
                <w:color w:val="000000"/>
                <w:sz w:val="20"/>
                <w:szCs w:val="20"/>
              </w:rPr>
              <w:t>RSSH -</w:t>
            </w:r>
            <w:r w:rsidRPr="0000338D">
              <w:rPr>
                <w:rFonts w:cs="Arial"/>
                <w:b/>
                <w:bCs/>
                <w:color w:val="000000"/>
                <w:sz w:val="20"/>
                <w:szCs w:val="20"/>
              </w:rPr>
              <w:t xml:space="preserve"> Health Managem</w:t>
            </w:r>
            <w:r>
              <w:rPr>
                <w:rFonts w:cs="Arial"/>
                <w:b/>
                <w:bCs/>
                <w:color w:val="000000"/>
                <w:sz w:val="20"/>
                <w:szCs w:val="20"/>
              </w:rPr>
              <w:t>ent Information Systems and M&amp;E</w:t>
            </w:r>
          </w:p>
        </w:tc>
        <w:tc>
          <w:tcPr>
            <w:tcW w:w="5220" w:type="dxa"/>
          </w:tcPr>
          <w:p w14:paraId="1583E67A" w14:textId="685FF3B4" w:rsidR="0015208B" w:rsidRDefault="0015208B" w:rsidP="007273BE">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bCs/>
                <w:color w:val="000000"/>
                <w:sz w:val="20"/>
                <w:szCs w:val="20"/>
              </w:rPr>
              <w:t xml:space="preserve">Catastrophic TB costs survey, KAP TB, </w:t>
            </w:r>
            <w:r w:rsidR="007273BE">
              <w:rPr>
                <w:rFonts w:cs="Arial"/>
                <w:bCs/>
                <w:color w:val="000000"/>
                <w:sz w:val="20"/>
                <w:szCs w:val="20"/>
              </w:rPr>
              <w:t xml:space="preserve"> TB/HIV </w:t>
            </w:r>
            <w:r>
              <w:rPr>
                <w:rFonts w:cs="Arial"/>
                <w:bCs/>
                <w:color w:val="000000"/>
                <w:sz w:val="20"/>
                <w:szCs w:val="20"/>
              </w:rPr>
              <w:t xml:space="preserve">clinical audit </w:t>
            </w:r>
          </w:p>
        </w:tc>
      </w:tr>
    </w:tbl>
    <w:p w14:paraId="31104C5C" w14:textId="2611B920" w:rsidR="0015208B" w:rsidRDefault="0015208B" w:rsidP="008C21CF">
      <w:pPr>
        <w:spacing w:after="0"/>
        <w:rPr>
          <w:rFonts w:cs="Arial"/>
        </w:rPr>
      </w:pPr>
    </w:p>
    <w:p w14:paraId="10F7CB2F" w14:textId="77777777" w:rsidR="0015208B" w:rsidRDefault="0015208B">
      <w:pPr>
        <w:spacing w:after="160" w:line="0" w:lineRule="auto"/>
        <w:rPr>
          <w:rFonts w:cs="Arial"/>
        </w:rPr>
      </w:pPr>
      <w:r>
        <w:rPr>
          <w:rFonts w:cs="Arial"/>
        </w:rPr>
        <w:br w:type="page"/>
      </w:r>
    </w:p>
    <w:tbl>
      <w:tblPr>
        <w:tblStyle w:val="ListTable3-Accent4"/>
        <w:tblpPr w:leftFromText="180" w:rightFromText="180" w:horzAnchor="margin" w:tblpXSpec="center" w:tblpY="-720"/>
        <w:tblW w:w="11250" w:type="dxa"/>
        <w:tblLook w:val="04A0" w:firstRow="1" w:lastRow="0" w:firstColumn="1" w:lastColumn="0" w:noHBand="0" w:noVBand="1"/>
      </w:tblPr>
      <w:tblGrid>
        <w:gridCol w:w="2970"/>
        <w:gridCol w:w="3060"/>
        <w:gridCol w:w="5220"/>
      </w:tblGrid>
      <w:tr w:rsidR="0015208B" w14:paraId="0C49CDEC" w14:textId="77777777" w:rsidTr="000873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0" w:type="dxa"/>
          </w:tcPr>
          <w:p w14:paraId="02B29257" w14:textId="77777777" w:rsidR="0015208B" w:rsidRPr="000873DD" w:rsidRDefault="0015208B" w:rsidP="0015208B">
            <w:pPr>
              <w:jc w:val="center"/>
              <w:rPr>
                <w:rFonts w:cs="Arial"/>
                <w:szCs w:val="20"/>
              </w:rPr>
            </w:pPr>
            <w:r w:rsidRPr="000873DD">
              <w:rPr>
                <w:rFonts w:cs="Arial"/>
                <w:szCs w:val="20"/>
              </w:rPr>
              <w:lastRenderedPageBreak/>
              <w:t>Fast-Track Targets</w:t>
            </w:r>
          </w:p>
        </w:tc>
        <w:tc>
          <w:tcPr>
            <w:tcW w:w="3060" w:type="dxa"/>
          </w:tcPr>
          <w:p w14:paraId="17A4D518" w14:textId="77777777" w:rsidR="0015208B" w:rsidRPr="000873DD" w:rsidRDefault="0015208B" w:rsidP="0015208B">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0873DD">
              <w:rPr>
                <w:rFonts w:cs="Arial"/>
                <w:szCs w:val="20"/>
              </w:rPr>
              <w:t>Modules and Interventions</w:t>
            </w:r>
          </w:p>
        </w:tc>
        <w:tc>
          <w:tcPr>
            <w:tcW w:w="5220" w:type="dxa"/>
          </w:tcPr>
          <w:p w14:paraId="298FCA1F" w14:textId="77777777" w:rsidR="0015208B" w:rsidRPr="000873DD" w:rsidRDefault="0015208B" w:rsidP="0015208B">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0873DD">
              <w:rPr>
                <w:rFonts w:cs="Arial"/>
                <w:szCs w:val="20"/>
              </w:rPr>
              <w:t>Activities</w:t>
            </w:r>
          </w:p>
        </w:tc>
      </w:tr>
      <w:tr w:rsidR="0015208B" w14:paraId="35029847" w14:textId="77777777" w:rsidTr="00087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0" w:type="dxa"/>
            <w:gridSpan w:val="3"/>
            <w:shd w:val="clear" w:color="auto" w:fill="D9D9D9" w:themeFill="background1" w:themeFillShade="D9"/>
          </w:tcPr>
          <w:p w14:paraId="066D953A" w14:textId="77777777" w:rsidR="0015208B" w:rsidRPr="000873DD" w:rsidRDefault="0015208B" w:rsidP="0015208B">
            <w:pPr>
              <w:rPr>
                <w:rFonts w:cs="Arial"/>
                <w:b w:val="0"/>
                <w:color w:val="000000"/>
                <w:szCs w:val="20"/>
              </w:rPr>
            </w:pPr>
            <w:r w:rsidRPr="000873DD">
              <w:rPr>
                <w:rFonts w:cs="Arial"/>
                <w:color w:val="000000"/>
                <w:szCs w:val="20"/>
              </w:rPr>
              <w:t>1</w:t>
            </w:r>
            <w:r w:rsidRPr="000873DD">
              <w:rPr>
                <w:rFonts w:cs="Arial"/>
                <w:b w:val="0"/>
                <w:color w:val="000000"/>
                <w:szCs w:val="20"/>
              </w:rPr>
              <w:t xml:space="preserve"> </w:t>
            </w:r>
            <w:r w:rsidRPr="000873DD">
              <w:rPr>
                <w:rFonts w:cs="Arial"/>
                <w:color w:val="000000"/>
                <w:szCs w:val="20"/>
              </w:rPr>
              <w:t xml:space="preserve">Prevent new cases of HIV </w:t>
            </w:r>
          </w:p>
        </w:tc>
      </w:tr>
      <w:tr w:rsidR="0015208B" w14:paraId="7E306F66" w14:textId="77777777" w:rsidTr="000873DD">
        <w:tc>
          <w:tcPr>
            <w:cnfStyle w:val="001000000000" w:firstRow="0" w:lastRow="0" w:firstColumn="1" w:lastColumn="0" w:oddVBand="0" w:evenVBand="0" w:oddHBand="0" w:evenHBand="0" w:firstRowFirstColumn="0" w:firstRowLastColumn="0" w:lastRowFirstColumn="0" w:lastRowLastColumn="0"/>
            <w:tcW w:w="2970" w:type="dxa"/>
          </w:tcPr>
          <w:p w14:paraId="3F98BD33" w14:textId="77777777" w:rsidR="0015208B" w:rsidRPr="000C5EEB" w:rsidRDefault="0015208B" w:rsidP="0015208B">
            <w:pPr>
              <w:spacing w:after="0" w:line="240" w:lineRule="auto"/>
              <w:rPr>
                <w:rFonts w:cs="Arial"/>
                <w:color w:val="000000"/>
                <w:sz w:val="20"/>
                <w:szCs w:val="20"/>
              </w:rPr>
            </w:pPr>
            <w:r w:rsidRPr="000C5EEB">
              <w:rPr>
                <w:rFonts w:cs="Arial"/>
                <w:color w:val="000000"/>
                <w:sz w:val="20"/>
                <w:szCs w:val="20"/>
                <w:lang w:val="en-GB"/>
              </w:rPr>
              <w:t>Scale up prevention in KPs</w:t>
            </w:r>
          </w:p>
        </w:tc>
        <w:tc>
          <w:tcPr>
            <w:tcW w:w="3060" w:type="dxa"/>
          </w:tcPr>
          <w:p w14:paraId="619F2C76" w14:textId="77777777" w:rsidR="0015208B" w:rsidRPr="000C5EEB" w:rsidRDefault="0015208B" w:rsidP="0015208B">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MSM / Behavior change interventions</w:t>
            </w:r>
          </w:p>
          <w:p w14:paraId="32798A07" w14:textId="77777777" w:rsidR="0015208B" w:rsidRPr="000C5EEB" w:rsidRDefault="0015208B" w:rsidP="0015208B">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7BB0FC3E" w14:textId="77777777" w:rsidR="0015208B" w:rsidRPr="000C5EEB" w:rsidRDefault="0015208B" w:rsidP="0015208B">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Transgender people / Behavior change interventions</w:t>
            </w:r>
          </w:p>
          <w:p w14:paraId="4FC9BE39" w14:textId="77777777" w:rsidR="0015208B" w:rsidRPr="000C5EEB" w:rsidRDefault="0015208B" w:rsidP="0015208B">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09937989" w14:textId="77777777" w:rsidR="0015208B" w:rsidRPr="000C5EEB" w:rsidRDefault="0015208B" w:rsidP="0015208B">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 xml:space="preserve">PWID and their partners: Needle and syringe programs drug dependence treatment </w:t>
            </w:r>
          </w:p>
          <w:p w14:paraId="79AA34AA" w14:textId="77777777" w:rsidR="0015208B" w:rsidRPr="000C5EEB" w:rsidRDefault="0015208B" w:rsidP="0015208B">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11B34AEE" w14:textId="77777777" w:rsidR="0015208B" w:rsidRDefault="0015208B" w:rsidP="0015208B">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264E58F7" w14:textId="77777777" w:rsidR="0015208B" w:rsidRPr="000C5EEB" w:rsidRDefault="0015208B" w:rsidP="0015208B">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26B7C0AB" w14:textId="77777777" w:rsidR="0015208B" w:rsidRPr="000C5EEB" w:rsidRDefault="0015208B" w:rsidP="0015208B">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Sex workers and their clients/ Behavior change interventions</w:t>
            </w:r>
          </w:p>
          <w:p w14:paraId="726717CA" w14:textId="77777777" w:rsidR="0015208B" w:rsidRDefault="0015208B" w:rsidP="0015208B">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78089F02" w14:textId="77777777" w:rsidR="0015208B" w:rsidRPr="000C5EEB" w:rsidRDefault="0015208B" w:rsidP="0015208B">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4344AB0F" w14:textId="77777777" w:rsidR="0015208B" w:rsidRDefault="0015208B" w:rsidP="0015208B">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People in prisons and other closed settings / Behavior change interventions</w:t>
            </w:r>
          </w:p>
          <w:p w14:paraId="7DC90F07" w14:textId="5BF4393C" w:rsidR="005653B2" w:rsidRPr="000C5EEB" w:rsidRDefault="005653B2" w:rsidP="0015208B">
            <w:pPr>
              <w:shd w:val="clear" w:color="auto" w:fill="FFFFFF" w:themeFill="background1"/>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5220" w:type="dxa"/>
          </w:tcPr>
          <w:p w14:paraId="542E648A" w14:textId="77777777" w:rsidR="005653B2" w:rsidRPr="000C5EEB" w:rsidRDefault="005653B2" w:rsidP="005653B2">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Basic prevention package for MSM</w:t>
            </w:r>
          </w:p>
          <w:p w14:paraId="12D3E378" w14:textId="77777777" w:rsidR="005653B2" w:rsidRPr="000C5EEB" w:rsidRDefault="005653B2" w:rsidP="005653B2">
            <w:pPr>
              <w:spacing w:after="0" w:line="240" w:lineRule="auto"/>
              <w:cnfStyle w:val="000000000000" w:firstRow="0" w:lastRow="0" w:firstColumn="0" w:lastColumn="0" w:oddVBand="0" w:evenVBand="0" w:oddHBand="0" w:evenHBand="0" w:firstRowFirstColumn="0" w:firstRowLastColumn="0" w:lastRowFirstColumn="0" w:lastRowLastColumn="0"/>
              <w:rPr>
                <w:rFonts w:cs="Arial"/>
                <w:i/>
                <w:color w:val="000000"/>
                <w:sz w:val="20"/>
                <w:szCs w:val="20"/>
              </w:rPr>
            </w:pPr>
            <w:r w:rsidRPr="000C5EEB">
              <w:rPr>
                <w:rFonts w:cs="Arial"/>
                <w:i/>
                <w:color w:val="000000"/>
                <w:sz w:val="20"/>
                <w:szCs w:val="20"/>
              </w:rPr>
              <w:t>PAAR Extended package MSM</w:t>
            </w:r>
          </w:p>
          <w:p w14:paraId="65CA2432" w14:textId="77777777" w:rsidR="005653B2" w:rsidRPr="000C5EEB" w:rsidRDefault="005653B2" w:rsidP="005653B2">
            <w:pPr>
              <w:spacing w:after="0" w:line="240" w:lineRule="auto"/>
              <w:cnfStyle w:val="000000000000" w:firstRow="0" w:lastRow="0" w:firstColumn="0" w:lastColumn="0" w:oddVBand="0" w:evenVBand="0" w:oddHBand="0" w:evenHBand="0" w:firstRowFirstColumn="0" w:firstRowLastColumn="0" w:lastRowFirstColumn="0" w:lastRowLastColumn="0"/>
              <w:rPr>
                <w:rFonts w:cs="Arial"/>
                <w:i/>
                <w:color w:val="000000"/>
                <w:sz w:val="20"/>
                <w:szCs w:val="20"/>
              </w:rPr>
            </w:pPr>
            <w:r w:rsidRPr="000C5EEB">
              <w:rPr>
                <w:rFonts w:cs="Arial"/>
                <w:i/>
                <w:color w:val="000000"/>
                <w:sz w:val="20"/>
                <w:szCs w:val="20"/>
              </w:rPr>
              <w:t>PAAR: attractive services new beneficiaries</w:t>
            </w:r>
          </w:p>
          <w:p w14:paraId="16DB7572" w14:textId="77777777" w:rsidR="005653B2" w:rsidRPr="000C5EEB" w:rsidRDefault="005653B2" w:rsidP="005653B2">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w:t>
            </w:r>
            <w:r w:rsidRPr="000C5EEB">
              <w:rPr>
                <w:rFonts w:cs="Arial"/>
                <w:color w:val="000000"/>
                <w:sz w:val="20"/>
                <w:szCs w:val="20"/>
              </w:rPr>
              <w:t>roject in TG</w:t>
            </w:r>
          </w:p>
          <w:p w14:paraId="7C3563BD" w14:textId="77777777" w:rsidR="005653B2" w:rsidRPr="000C5EEB" w:rsidRDefault="005653B2" w:rsidP="005653B2">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274034E2" w14:textId="77777777" w:rsidR="005653B2" w:rsidRPr="000C5EEB" w:rsidRDefault="005653B2" w:rsidP="005653B2">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6539993E" w14:textId="77777777" w:rsidR="005653B2" w:rsidRPr="000C5EEB" w:rsidRDefault="005653B2" w:rsidP="005653B2">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Basic prevention package for PWID</w:t>
            </w:r>
          </w:p>
          <w:p w14:paraId="6DB8C2E0" w14:textId="77777777" w:rsidR="005653B2" w:rsidRPr="000C5EEB" w:rsidRDefault="005653B2" w:rsidP="005653B2">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OD Naloxone (Left Bank)</w:t>
            </w:r>
          </w:p>
          <w:p w14:paraId="64190608" w14:textId="77777777" w:rsidR="005653B2" w:rsidRPr="000C5EEB" w:rsidRDefault="005653B2" w:rsidP="005653B2">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OST scale-up (penitentiary, Left Bank)</w:t>
            </w:r>
          </w:p>
          <w:p w14:paraId="2F094815" w14:textId="77777777" w:rsidR="005653B2" w:rsidRPr="002E112A" w:rsidRDefault="005653B2" w:rsidP="005653B2">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2E112A">
              <w:rPr>
                <w:rFonts w:cs="Arial"/>
                <w:color w:val="000000"/>
                <w:sz w:val="20"/>
                <w:szCs w:val="20"/>
              </w:rPr>
              <w:t>Gender-sensitive package PWID</w:t>
            </w:r>
          </w:p>
          <w:p w14:paraId="121F2C0B" w14:textId="77777777" w:rsidR="005653B2" w:rsidRDefault="005653B2" w:rsidP="005653B2">
            <w:pPr>
              <w:spacing w:after="0" w:line="240" w:lineRule="auto"/>
              <w:cnfStyle w:val="000000000000" w:firstRow="0" w:lastRow="0" w:firstColumn="0" w:lastColumn="0" w:oddVBand="0" w:evenVBand="0" w:oddHBand="0" w:evenHBand="0" w:firstRowFirstColumn="0" w:firstRowLastColumn="0" w:lastRowFirstColumn="0" w:lastRowLastColumn="0"/>
              <w:rPr>
                <w:rFonts w:cs="Arial"/>
                <w:i/>
                <w:color w:val="000000"/>
                <w:sz w:val="20"/>
                <w:szCs w:val="20"/>
              </w:rPr>
            </w:pPr>
            <w:r w:rsidRPr="000C5EEB">
              <w:rPr>
                <w:rFonts w:cs="Arial"/>
                <w:i/>
                <w:color w:val="000000"/>
                <w:sz w:val="20"/>
                <w:szCs w:val="20"/>
              </w:rPr>
              <w:t>PAAR Extended package PWID</w:t>
            </w:r>
          </w:p>
          <w:p w14:paraId="50E95060" w14:textId="77777777" w:rsidR="005653B2" w:rsidRPr="000C5EEB" w:rsidRDefault="005653B2" w:rsidP="005653B2">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21BD5D6D" w14:textId="77777777" w:rsidR="005653B2" w:rsidRPr="000C5EEB" w:rsidRDefault="005653B2" w:rsidP="005653B2">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Basic prevention package for SWs</w:t>
            </w:r>
          </w:p>
          <w:p w14:paraId="78B5DD4F" w14:textId="77777777" w:rsidR="005653B2" w:rsidRPr="000C5EEB" w:rsidRDefault="005653B2" w:rsidP="005653B2">
            <w:pPr>
              <w:spacing w:after="0" w:line="240" w:lineRule="auto"/>
              <w:cnfStyle w:val="000000000000" w:firstRow="0" w:lastRow="0" w:firstColumn="0" w:lastColumn="0" w:oddVBand="0" w:evenVBand="0" w:oddHBand="0" w:evenHBand="0" w:firstRowFirstColumn="0" w:firstRowLastColumn="0" w:lastRowFirstColumn="0" w:lastRowLastColumn="0"/>
              <w:rPr>
                <w:rFonts w:cs="Arial"/>
                <w:i/>
                <w:color w:val="000000"/>
                <w:sz w:val="20"/>
                <w:szCs w:val="20"/>
              </w:rPr>
            </w:pPr>
            <w:r w:rsidRPr="000C5EEB">
              <w:rPr>
                <w:rFonts w:cs="Arial"/>
                <w:i/>
                <w:color w:val="000000"/>
                <w:sz w:val="20"/>
                <w:szCs w:val="20"/>
              </w:rPr>
              <w:t xml:space="preserve">PAAR Extended package </w:t>
            </w:r>
            <w:r w:rsidRPr="000C5EEB">
              <w:rPr>
                <w:rFonts w:cs="Arial"/>
                <w:color w:val="000000"/>
                <w:sz w:val="20"/>
                <w:szCs w:val="20"/>
              </w:rPr>
              <w:t>SWs</w:t>
            </w:r>
          </w:p>
          <w:p w14:paraId="73F8212C" w14:textId="77777777" w:rsidR="005653B2" w:rsidRPr="000C5EEB" w:rsidRDefault="005653B2" w:rsidP="005653B2">
            <w:pPr>
              <w:spacing w:after="0" w:line="240" w:lineRule="auto"/>
              <w:cnfStyle w:val="000000000000" w:firstRow="0" w:lastRow="0" w:firstColumn="0" w:lastColumn="0" w:oddVBand="0" w:evenVBand="0" w:oddHBand="0" w:evenHBand="0" w:firstRowFirstColumn="0" w:firstRowLastColumn="0" w:lastRowFirstColumn="0" w:lastRowLastColumn="0"/>
              <w:rPr>
                <w:rFonts w:cs="Arial"/>
                <w:i/>
                <w:color w:val="000000"/>
                <w:sz w:val="20"/>
                <w:szCs w:val="20"/>
              </w:rPr>
            </w:pPr>
            <w:r w:rsidRPr="000C5EEB">
              <w:rPr>
                <w:rFonts w:cs="Arial"/>
                <w:i/>
                <w:color w:val="000000"/>
                <w:sz w:val="20"/>
                <w:szCs w:val="20"/>
              </w:rPr>
              <w:t>PAAR: attractive services new beneficiaries</w:t>
            </w:r>
          </w:p>
          <w:p w14:paraId="111D9065" w14:textId="77777777" w:rsidR="005653B2" w:rsidRPr="000C5EEB" w:rsidRDefault="005653B2" w:rsidP="005653B2">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36392C76" w14:textId="77777777" w:rsidR="005653B2" w:rsidRPr="000C5EEB" w:rsidRDefault="005653B2" w:rsidP="005653B2">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NSP prisons</w:t>
            </w:r>
          </w:p>
          <w:p w14:paraId="4A6B866E" w14:textId="77777777" w:rsidR="005653B2" w:rsidRPr="000C5EEB" w:rsidRDefault="005653B2" w:rsidP="005653B2">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Basic prevention package for prisons</w:t>
            </w:r>
          </w:p>
          <w:p w14:paraId="0F9FBD5E" w14:textId="1A110274" w:rsidR="0015208B" w:rsidRPr="000C5EEB" w:rsidRDefault="005653B2" w:rsidP="005653B2">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C75C33">
              <w:rPr>
                <w:rFonts w:cs="Arial"/>
                <w:color w:val="000000"/>
                <w:sz w:val="20"/>
                <w:szCs w:val="20"/>
              </w:rPr>
              <w:t>Training for staff in prisons</w:t>
            </w:r>
          </w:p>
        </w:tc>
      </w:tr>
      <w:tr w:rsidR="0015208B" w14:paraId="4310C527" w14:textId="77777777" w:rsidTr="00087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232E9B5C" w14:textId="77777777" w:rsidR="0015208B" w:rsidRPr="000C5EEB" w:rsidRDefault="0015208B" w:rsidP="0015208B">
            <w:pPr>
              <w:spacing w:after="0" w:line="240" w:lineRule="auto"/>
              <w:rPr>
                <w:rFonts w:cs="Arial"/>
                <w:color w:val="000000"/>
                <w:sz w:val="20"/>
                <w:szCs w:val="20"/>
                <w:lang w:val="en-GB"/>
              </w:rPr>
            </w:pPr>
            <w:r w:rsidRPr="000C5EEB">
              <w:rPr>
                <w:rFonts w:cs="Arial"/>
                <w:color w:val="000000"/>
                <w:sz w:val="20"/>
                <w:szCs w:val="20"/>
                <w:lang w:val="en-GB"/>
              </w:rPr>
              <w:t>Scale up combination prevention in all KPs- PrEP and innovative approaches</w:t>
            </w:r>
          </w:p>
        </w:tc>
        <w:tc>
          <w:tcPr>
            <w:tcW w:w="3060" w:type="dxa"/>
          </w:tcPr>
          <w:p w14:paraId="4E0AE346" w14:textId="77777777" w:rsidR="0015208B" w:rsidRPr="000C5EEB" w:rsidRDefault="0015208B" w:rsidP="0015208B">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color w:val="000000"/>
                <w:sz w:val="20"/>
                <w:szCs w:val="20"/>
              </w:rPr>
              <w:t>MSM/Behavior change interventions PrEP</w:t>
            </w:r>
          </w:p>
          <w:p w14:paraId="12BDDFE1" w14:textId="6442FA9A" w:rsidR="0015208B" w:rsidRDefault="0015208B" w:rsidP="0015208B">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color w:val="000000"/>
                <w:sz w:val="20"/>
                <w:szCs w:val="20"/>
              </w:rPr>
              <w:t>Other populations</w:t>
            </w:r>
          </w:p>
          <w:p w14:paraId="7894D91B" w14:textId="711499CD" w:rsidR="005653B2" w:rsidRDefault="005653B2" w:rsidP="0015208B">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3E5D4CC7" w14:textId="2A1617B8" w:rsidR="005653B2" w:rsidRDefault="005653B2" w:rsidP="0015208B">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2C98B9D3" w14:textId="0B9398EB" w:rsidR="005653B2" w:rsidRDefault="005653B2" w:rsidP="0015208B">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385E2638" w14:textId="33B071F0" w:rsidR="005653B2" w:rsidRDefault="005653B2" w:rsidP="0015208B">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130FE286" w14:textId="41BDE3B8" w:rsidR="005653B2" w:rsidRDefault="005653B2" w:rsidP="0015208B">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2CD5E901" w14:textId="5833A08D" w:rsidR="005653B2" w:rsidRDefault="005653B2" w:rsidP="0015208B">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1AFC5D72" w14:textId="77777777" w:rsidR="005653B2" w:rsidRDefault="005653B2" w:rsidP="005653B2">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7F5B11">
              <w:rPr>
                <w:rFonts w:cs="Arial"/>
                <w:color w:val="000000"/>
                <w:sz w:val="20"/>
                <w:szCs w:val="20"/>
              </w:rPr>
              <w:t>Interventions for young key populations</w:t>
            </w:r>
          </w:p>
          <w:p w14:paraId="5E998D3E" w14:textId="77777777" w:rsidR="005653B2" w:rsidRDefault="005653B2" w:rsidP="005653B2">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4FA3318A" w14:textId="43CC7185" w:rsidR="005653B2" w:rsidRPr="000C5EEB" w:rsidRDefault="005653B2" w:rsidP="005653B2">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Addressing stigma, discrimination and violence</w:t>
            </w:r>
          </w:p>
          <w:p w14:paraId="19428059"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c>
          <w:tcPr>
            <w:tcW w:w="5220" w:type="dxa"/>
          </w:tcPr>
          <w:p w14:paraId="10EC9848" w14:textId="77777777" w:rsidR="005653B2" w:rsidRPr="000C5EEB" w:rsidRDefault="005653B2" w:rsidP="005653B2">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color w:val="000000"/>
                <w:sz w:val="20"/>
                <w:szCs w:val="20"/>
              </w:rPr>
              <w:t>PrEP scale up</w:t>
            </w:r>
          </w:p>
          <w:p w14:paraId="5F9AC704" w14:textId="77777777" w:rsidR="005653B2" w:rsidRPr="000C5EEB" w:rsidRDefault="005653B2" w:rsidP="005653B2">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color w:val="000000"/>
                <w:sz w:val="20"/>
                <w:szCs w:val="20"/>
              </w:rPr>
              <w:t>Incentives for friendly physicians</w:t>
            </w:r>
          </w:p>
          <w:p w14:paraId="4FD1BB85" w14:textId="77777777" w:rsidR="005653B2" w:rsidRPr="008926CF" w:rsidRDefault="005653B2" w:rsidP="005653B2">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926CF">
              <w:rPr>
                <w:rFonts w:cs="Arial"/>
                <w:color w:val="000000"/>
                <w:sz w:val="20"/>
                <w:szCs w:val="20"/>
              </w:rPr>
              <w:t>Mobile clinics</w:t>
            </w:r>
          </w:p>
          <w:p w14:paraId="3C13B9B4" w14:textId="77777777" w:rsidR="005653B2" w:rsidRPr="00563563" w:rsidRDefault="005653B2" w:rsidP="005653B2">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926CF">
              <w:rPr>
                <w:rFonts w:cs="Arial"/>
                <w:color w:val="000000"/>
                <w:sz w:val="20"/>
                <w:szCs w:val="20"/>
              </w:rPr>
              <w:t xml:space="preserve">Advocacy for safe injection - 1 </w:t>
            </w:r>
            <w:r>
              <w:rPr>
                <w:rFonts w:cs="Arial"/>
                <w:color w:val="000000"/>
                <w:sz w:val="20"/>
                <w:szCs w:val="20"/>
              </w:rPr>
              <w:t>project</w:t>
            </w:r>
          </w:p>
          <w:p w14:paraId="5BC806CE" w14:textId="77777777" w:rsidR="005653B2" w:rsidRPr="00C75C33" w:rsidRDefault="005653B2" w:rsidP="005653B2">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75C33">
              <w:rPr>
                <w:rFonts w:cs="Arial"/>
                <w:color w:val="000000"/>
                <w:sz w:val="20"/>
                <w:szCs w:val="20"/>
              </w:rPr>
              <w:t>Developing regulatory basis for PrEP in health facility</w:t>
            </w:r>
          </w:p>
          <w:p w14:paraId="23B9F391" w14:textId="77777777" w:rsidR="005653B2" w:rsidRPr="00C75C33" w:rsidRDefault="005653B2" w:rsidP="005653B2">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75C33">
              <w:rPr>
                <w:rFonts w:cs="Arial"/>
                <w:color w:val="000000"/>
                <w:sz w:val="20"/>
                <w:szCs w:val="20"/>
              </w:rPr>
              <w:t>Costing of PrEP service</w:t>
            </w:r>
          </w:p>
          <w:p w14:paraId="2FC1B647" w14:textId="77777777" w:rsidR="005653B2" w:rsidRPr="00C75C33" w:rsidRDefault="005653B2" w:rsidP="005653B2">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C75C33">
              <w:rPr>
                <w:rFonts w:cs="Arial"/>
                <w:color w:val="000000"/>
                <w:sz w:val="20"/>
                <w:szCs w:val="20"/>
              </w:rPr>
              <w:t>Informational campaigns PrEP</w:t>
            </w:r>
          </w:p>
          <w:p w14:paraId="357A88E7" w14:textId="77777777" w:rsidR="005653B2" w:rsidRDefault="005653B2" w:rsidP="005653B2">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63563">
              <w:rPr>
                <w:rFonts w:cs="Arial"/>
                <w:color w:val="000000"/>
                <w:sz w:val="20"/>
                <w:szCs w:val="20"/>
              </w:rPr>
              <w:t>Staff training</w:t>
            </w:r>
          </w:p>
          <w:p w14:paraId="38E2C7DB" w14:textId="77777777" w:rsidR="005653B2" w:rsidRDefault="005653B2" w:rsidP="005653B2">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6F19F067" w14:textId="77777777" w:rsidR="005653B2" w:rsidRPr="00EE0BC1" w:rsidRDefault="005653B2" w:rsidP="005653B2">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i/>
                <w:color w:val="000000"/>
                <w:sz w:val="20"/>
                <w:szCs w:val="20"/>
              </w:rPr>
            </w:pPr>
            <w:r w:rsidRPr="00EE0BC1">
              <w:rPr>
                <w:rFonts w:cs="Arial"/>
                <w:i/>
                <w:color w:val="000000"/>
                <w:sz w:val="20"/>
                <w:szCs w:val="20"/>
              </w:rPr>
              <w:t>PAAR: Young KPs non-injecting PWUD package</w:t>
            </w:r>
          </w:p>
          <w:p w14:paraId="51288312" w14:textId="77777777" w:rsidR="005653B2" w:rsidRDefault="005653B2" w:rsidP="005653B2">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i/>
                <w:color w:val="000000"/>
                <w:sz w:val="20"/>
                <w:szCs w:val="20"/>
              </w:rPr>
            </w:pPr>
          </w:p>
          <w:p w14:paraId="1A3939DC" w14:textId="77777777" w:rsidR="005653B2" w:rsidRDefault="005653B2" w:rsidP="005653B2">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i/>
                <w:color w:val="000000"/>
                <w:sz w:val="20"/>
                <w:szCs w:val="20"/>
              </w:rPr>
            </w:pPr>
          </w:p>
          <w:p w14:paraId="206D6B1D" w14:textId="77777777" w:rsidR="005653B2" w:rsidRPr="00CC056E" w:rsidRDefault="005653B2" w:rsidP="005653B2">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i/>
                <w:color w:val="000000"/>
                <w:sz w:val="20"/>
                <w:szCs w:val="20"/>
              </w:rPr>
            </w:pPr>
            <w:r w:rsidRPr="00CC056E">
              <w:rPr>
                <w:rFonts w:cs="Arial"/>
                <w:i/>
                <w:color w:val="000000"/>
                <w:sz w:val="20"/>
                <w:szCs w:val="20"/>
              </w:rPr>
              <w:t xml:space="preserve">PAAR: Sets for personal protection against infection with </w:t>
            </w:r>
            <w:r>
              <w:rPr>
                <w:rFonts w:cs="Arial"/>
                <w:i/>
                <w:color w:val="000000"/>
                <w:sz w:val="20"/>
                <w:szCs w:val="20"/>
              </w:rPr>
              <w:t>HI</w:t>
            </w:r>
            <w:r w:rsidRPr="00CC056E">
              <w:rPr>
                <w:rFonts w:cs="Arial"/>
                <w:i/>
                <w:color w:val="000000"/>
                <w:sz w:val="20"/>
                <w:szCs w:val="20"/>
              </w:rPr>
              <w:t>V for General Police Inspectorate staff</w:t>
            </w:r>
          </w:p>
          <w:p w14:paraId="17B2D7E2" w14:textId="7DD5DF83" w:rsidR="0015208B" w:rsidRPr="000C5EEB" w:rsidRDefault="0015208B" w:rsidP="0015208B">
            <w:p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tc>
      </w:tr>
      <w:tr w:rsidR="0015208B" w14:paraId="446C8D39" w14:textId="77777777" w:rsidTr="000873DD">
        <w:tc>
          <w:tcPr>
            <w:cnfStyle w:val="001000000000" w:firstRow="0" w:lastRow="0" w:firstColumn="1" w:lastColumn="0" w:oddVBand="0" w:evenVBand="0" w:oddHBand="0" w:evenHBand="0" w:firstRowFirstColumn="0" w:firstRowLastColumn="0" w:lastRowFirstColumn="0" w:lastRowLastColumn="0"/>
            <w:tcW w:w="2970" w:type="dxa"/>
          </w:tcPr>
          <w:p w14:paraId="75685104" w14:textId="77777777" w:rsidR="0015208B" w:rsidRPr="000C5EEB" w:rsidRDefault="0015208B" w:rsidP="0015208B">
            <w:pPr>
              <w:spacing w:after="0" w:line="240" w:lineRule="auto"/>
              <w:rPr>
                <w:rFonts w:cs="Arial"/>
                <w:color w:val="000000"/>
                <w:sz w:val="20"/>
                <w:szCs w:val="20"/>
                <w:lang w:val="en-GB"/>
              </w:rPr>
            </w:pPr>
            <w:r w:rsidRPr="000C5EEB">
              <w:rPr>
                <w:rFonts w:cs="Arial"/>
                <w:color w:val="000000"/>
                <w:sz w:val="20"/>
                <w:szCs w:val="20"/>
                <w:lang w:val="en-GB"/>
              </w:rPr>
              <w:t>Eliminate MTCT transmission</w:t>
            </w:r>
          </w:p>
        </w:tc>
        <w:tc>
          <w:tcPr>
            <w:tcW w:w="3060" w:type="dxa"/>
          </w:tcPr>
          <w:p w14:paraId="3DF8FD37" w14:textId="77777777" w:rsidR="0015208B" w:rsidRPr="000C5EE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 xml:space="preserve">PMTCT / Preventing vertical HIV transmission </w:t>
            </w:r>
            <w:r w:rsidRPr="000C5EEB">
              <w:rPr>
                <w:rFonts w:cs="Arial"/>
                <w:sz w:val="20"/>
                <w:szCs w:val="20"/>
              </w:rPr>
              <w:t>Prong 4</w:t>
            </w:r>
          </w:p>
        </w:tc>
        <w:tc>
          <w:tcPr>
            <w:tcW w:w="5220" w:type="dxa"/>
          </w:tcPr>
          <w:p w14:paraId="1416FD13" w14:textId="77777777" w:rsidR="0015208B" w:rsidRPr="000C5EE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Xpert cartridges for EID</w:t>
            </w:r>
          </w:p>
          <w:p w14:paraId="50F7906D" w14:textId="77777777" w:rsidR="0015208B" w:rsidRPr="000C5EE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r>
      <w:tr w:rsidR="0015208B" w14:paraId="304667B2" w14:textId="77777777" w:rsidTr="00087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0" w:type="dxa"/>
            <w:gridSpan w:val="3"/>
            <w:shd w:val="clear" w:color="auto" w:fill="D9D9D9" w:themeFill="background1" w:themeFillShade="D9"/>
          </w:tcPr>
          <w:p w14:paraId="1372A591" w14:textId="77777777" w:rsidR="0015208B" w:rsidRPr="000873DD" w:rsidRDefault="0015208B" w:rsidP="0015208B">
            <w:pPr>
              <w:spacing w:after="0" w:line="240" w:lineRule="auto"/>
              <w:rPr>
                <w:rFonts w:cs="Arial"/>
                <w:color w:val="000000"/>
                <w:szCs w:val="20"/>
              </w:rPr>
            </w:pPr>
            <w:r w:rsidRPr="000873DD">
              <w:rPr>
                <w:rFonts w:cs="Arial"/>
                <w:color w:val="000000"/>
                <w:szCs w:val="20"/>
              </w:rPr>
              <w:t>2 90-90-90</w:t>
            </w:r>
          </w:p>
        </w:tc>
      </w:tr>
      <w:tr w:rsidR="0015208B" w14:paraId="34D74F9A" w14:textId="77777777" w:rsidTr="000873DD">
        <w:tc>
          <w:tcPr>
            <w:cnfStyle w:val="001000000000" w:firstRow="0" w:lastRow="0" w:firstColumn="1" w:lastColumn="0" w:oddVBand="0" w:evenVBand="0" w:oddHBand="0" w:evenHBand="0" w:firstRowFirstColumn="0" w:firstRowLastColumn="0" w:lastRowFirstColumn="0" w:lastRowLastColumn="0"/>
            <w:tcW w:w="2970" w:type="dxa"/>
          </w:tcPr>
          <w:p w14:paraId="1804DE19" w14:textId="3EB6B3A4" w:rsidR="0015208B" w:rsidRPr="000C5EEB" w:rsidRDefault="0015208B" w:rsidP="0015208B">
            <w:pPr>
              <w:spacing w:after="0" w:line="240" w:lineRule="auto"/>
              <w:rPr>
                <w:rFonts w:cs="Arial"/>
                <w:color w:val="000000"/>
                <w:sz w:val="20"/>
                <w:szCs w:val="20"/>
              </w:rPr>
            </w:pPr>
            <w:r>
              <w:rPr>
                <w:rFonts w:cs="Arial"/>
                <w:color w:val="000000"/>
                <w:sz w:val="20"/>
                <w:szCs w:val="20"/>
              </w:rPr>
              <w:t>1</w:t>
            </w:r>
            <w:r w:rsidRPr="0015208B">
              <w:rPr>
                <w:rFonts w:cs="Arial"/>
                <w:color w:val="000000"/>
                <w:sz w:val="20"/>
                <w:szCs w:val="20"/>
                <w:vertAlign w:val="superscript"/>
              </w:rPr>
              <w:t>st</w:t>
            </w:r>
            <w:r>
              <w:rPr>
                <w:rFonts w:cs="Arial"/>
                <w:color w:val="000000"/>
                <w:sz w:val="20"/>
                <w:szCs w:val="20"/>
              </w:rPr>
              <w:t xml:space="preserve"> </w:t>
            </w:r>
            <w:r w:rsidRPr="000C5EEB">
              <w:rPr>
                <w:rFonts w:cs="Arial"/>
                <w:color w:val="000000"/>
                <w:sz w:val="20"/>
                <w:szCs w:val="20"/>
              </w:rPr>
              <w:t>90  find the positives</w:t>
            </w:r>
          </w:p>
        </w:tc>
        <w:tc>
          <w:tcPr>
            <w:tcW w:w="3060" w:type="dxa"/>
          </w:tcPr>
          <w:p w14:paraId="0DC93509" w14:textId="77777777" w:rsidR="0015208B" w:rsidRPr="000C5EE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Differentiated HIV Testing Services: MSM TG, SWs, PWID, Prisons / Community-based testing / Self-testing / Facility based testing</w:t>
            </w:r>
          </w:p>
        </w:tc>
        <w:tc>
          <w:tcPr>
            <w:tcW w:w="5220" w:type="dxa"/>
          </w:tcPr>
          <w:p w14:paraId="7B044679" w14:textId="77777777" w:rsidR="0015208B" w:rsidRPr="000C5EE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Procurement of RDTs for differentiated testing: index, PITC, network-based, KP-led</w:t>
            </w:r>
          </w:p>
          <w:p w14:paraId="6E10969A" w14:textId="77777777" w:rsidR="0015208B" w:rsidRPr="000C5EE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Self-testing in general population</w:t>
            </w:r>
          </w:p>
          <w:p w14:paraId="0D6E7B86" w14:textId="77777777" w:rsidR="0015208B" w:rsidRPr="000C5EE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Incentives for CSOs and PHC for each detected case</w:t>
            </w:r>
          </w:p>
          <w:p w14:paraId="6285749B" w14:textId="77777777" w:rsidR="0015208B" w:rsidRPr="000C5EE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Assessment and r</w:t>
            </w:r>
            <w:r w:rsidRPr="000C5EEB">
              <w:rPr>
                <w:rFonts w:cs="Arial"/>
                <w:color w:val="000000"/>
                <w:sz w:val="20"/>
                <w:szCs w:val="20"/>
              </w:rPr>
              <w:t>evision of National Testing Guide</w:t>
            </w:r>
          </w:p>
        </w:tc>
      </w:tr>
      <w:tr w:rsidR="0015208B" w14:paraId="186A5009" w14:textId="77777777" w:rsidTr="00087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431592FF" w14:textId="77777777" w:rsidR="0015208B" w:rsidRPr="000C5EEB" w:rsidRDefault="0015208B" w:rsidP="0015208B">
            <w:pPr>
              <w:spacing w:after="0" w:line="240" w:lineRule="auto"/>
              <w:rPr>
                <w:rFonts w:cs="Arial"/>
                <w:color w:val="000000"/>
                <w:sz w:val="20"/>
                <w:szCs w:val="20"/>
              </w:rPr>
            </w:pPr>
            <w:r w:rsidRPr="000C5EEB">
              <w:rPr>
                <w:rFonts w:cs="Arial"/>
                <w:color w:val="000000"/>
                <w:sz w:val="20"/>
                <w:szCs w:val="20"/>
              </w:rPr>
              <w:t>Improve the cascade Reduce leakage</w:t>
            </w:r>
          </w:p>
          <w:p w14:paraId="2DB5287D" w14:textId="77777777" w:rsidR="0015208B" w:rsidRPr="000C5EEB" w:rsidRDefault="0015208B" w:rsidP="0015208B">
            <w:pPr>
              <w:spacing w:after="0" w:line="240" w:lineRule="auto"/>
              <w:rPr>
                <w:rFonts w:cs="Arial"/>
                <w:color w:val="000000"/>
                <w:sz w:val="20"/>
                <w:szCs w:val="20"/>
              </w:rPr>
            </w:pPr>
            <w:r w:rsidRPr="000C5EEB">
              <w:rPr>
                <w:rFonts w:cs="Arial"/>
                <w:color w:val="000000"/>
                <w:sz w:val="20"/>
                <w:szCs w:val="20"/>
              </w:rPr>
              <w:t>2</w:t>
            </w:r>
            <w:r w:rsidRPr="000C5EEB">
              <w:rPr>
                <w:rFonts w:cs="Arial"/>
                <w:color w:val="000000"/>
                <w:sz w:val="20"/>
                <w:szCs w:val="20"/>
                <w:vertAlign w:val="superscript"/>
              </w:rPr>
              <w:t>nd</w:t>
            </w:r>
            <w:r w:rsidRPr="000C5EEB">
              <w:rPr>
                <w:rFonts w:cs="Arial"/>
                <w:color w:val="000000"/>
                <w:sz w:val="20"/>
                <w:szCs w:val="20"/>
              </w:rPr>
              <w:t xml:space="preserve"> 90 sustainable systems for early treatment initiation </w:t>
            </w:r>
          </w:p>
        </w:tc>
        <w:tc>
          <w:tcPr>
            <w:tcW w:w="3060" w:type="dxa"/>
          </w:tcPr>
          <w:p w14:paraId="19DF13D0"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sz w:val="20"/>
                <w:szCs w:val="20"/>
              </w:rPr>
              <w:t>Treatment, care and support/ all people living with HIV: Differentiated ART service delivery and HIV care</w:t>
            </w:r>
          </w:p>
        </w:tc>
        <w:tc>
          <w:tcPr>
            <w:tcW w:w="5220" w:type="dxa"/>
          </w:tcPr>
          <w:p w14:paraId="1E07C238"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color w:val="000000"/>
                <w:sz w:val="20"/>
                <w:szCs w:val="20"/>
              </w:rPr>
              <w:t xml:space="preserve">TA to develop differentiated model and regulations </w:t>
            </w:r>
          </w:p>
          <w:p w14:paraId="2AB2A5E7"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color w:val="000000"/>
                <w:sz w:val="20"/>
                <w:szCs w:val="20"/>
              </w:rPr>
              <w:t>Develop and cost packages of services across continuum for all levels of health care</w:t>
            </w:r>
          </w:p>
          <w:p w14:paraId="2293544E"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color w:val="000000"/>
                <w:sz w:val="20"/>
                <w:szCs w:val="20"/>
              </w:rPr>
              <w:t>Support to ART decentralization: coordination, equipping, training, MDT approach</w:t>
            </w:r>
          </w:p>
          <w:p w14:paraId="0915EF75"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i/>
                <w:color w:val="000000"/>
                <w:sz w:val="20"/>
                <w:szCs w:val="20"/>
              </w:rPr>
            </w:pPr>
            <w:r w:rsidRPr="000C5EEB">
              <w:rPr>
                <w:rFonts w:cs="Arial"/>
                <w:i/>
                <w:color w:val="000000"/>
                <w:sz w:val="20"/>
                <w:szCs w:val="20"/>
              </w:rPr>
              <w:t>PAAR: Improve quality of services, clinical audit of ART, develop standards</w:t>
            </w:r>
          </w:p>
          <w:p w14:paraId="29901B0B" w14:textId="6E2E17ED"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color w:val="000000"/>
                <w:sz w:val="20"/>
                <w:szCs w:val="20"/>
              </w:rPr>
              <w:t>Linkage to care: regulation on referral for a co-infected HIV, syphilis, Hep</w:t>
            </w:r>
            <w:r w:rsidR="00500903">
              <w:rPr>
                <w:rFonts w:cs="Arial"/>
                <w:color w:val="000000"/>
                <w:sz w:val="20"/>
                <w:szCs w:val="20"/>
              </w:rPr>
              <w:t>atitis</w:t>
            </w:r>
            <w:r w:rsidRPr="000C5EEB">
              <w:rPr>
                <w:rFonts w:cs="Arial"/>
                <w:color w:val="000000"/>
                <w:sz w:val="20"/>
                <w:szCs w:val="20"/>
              </w:rPr>
              <w:t xml:space="preserve"> service</w:t>
            </w:r>
            <w:r w:rsidR="00500903">
              <w:rPr>
                <w:rFonts w:cs="Arial"/>
                <w:color w:val="000000"/>
                <w:sz w:val="20"/>
                <w:szCs w:val="20"/>
              </w:rPr>
              <w:t>s</w:t>
            </w:r>
          </w:p>
        </w:tc>
      </w:tr>
      <w:tr w:rsidR="0015208B" w14:paraId="6DF7D358" w14:textId="77777777" w:rsidTr="000873DD">
        <w:tc>
          <w:tcPr>
            <w:cnfStyle w:val="001000000000" w:firstRow="0" w:lastRow="0" w:firstColumn="1" w:lastColumn="0" w:oddVBand="0" w:evenVBand="0" w:oddHBand="0" w:evenHBand="0" w:firstRowFirstColumn="0" w:firstRowLastColumn="0" w:lastRowFirstColumn="0" w:lastRowLastColumn="0"/>
            <w:tcW w:w="2970" w:type="dxa"/>
          </w:tcPr>
          <w:p w14:paraId="418D3758" w14:textId="77777777" w:rsidR="0015208B" w:rsidRPr="000C5EEB" w:rsidRDefault="0015208B" w:rsidP="0015208B">
            <w:pPr>
              <w:spacing w:after="0" w:line="240" w:lineRule="auto"/>
              <w:rPr>
                <w:rFonts w:cs="Arial"/>
                <w:color w:val="000000"/>
                <w:sz w:val="20"/>
                <w:szCs w:val="20"/>
              </w:rPr>
            </w:pPr>
            <w:r w:rsidRPr="000C5EEB">
              <w:rPr>
                <w:rFonts w:cs="Arial"/>
                <w:color w:val="000000"/>
                <w:sz w:val="20"/>
                <w:szCs w:val="20"/>
              </w:rPr>
              <w:t>3</w:t>
            </w:r>
            <w:r w:rsidRPr="000C5EEB">
              <w:rPr>
                <w:rFonts w:cs="Arial"/>
                <w:color w:val="000000"/>
                <w:sz w:val="20"/>
                <w:szCs w:val="20"/>
                <w:vertAlign w:val="superscript"/>
              </w:rPr>
              <w:t>rd</w:t>
            </w:r>
            <w:r w:rsidRPr="000C5EEB">
              <w:rPr>
                <w:rFonts w:cs="Arial"/>
                <w:color w:val="000000"/>
                <w:sz w:val="20"/>
                <w:szCs w:val="20"/>
              </w:rPr>
              <w:t xml:space="preserve"> 90 improve treatment retention and viral suppression</w:t>
            </w:r>
          </w:p>
        </w:tc>
        <w:tc>
          <w:tcPr>
            <w:tcW w:w="3060" w:type="dxa"/>
          </w:tcPr>
          <w:p w14:paraId="61910F25" w14:textId="77777777" w:rsidR="0015208B" w:rsidRPr="000C5EEB" w:rsidRDefault="0015208B" w:rsidP="0015208B">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C5EEB">
              <w:rPr>
                <w:sz w:val="20"/>
                <w:szCs w:val="20"/>
              </w:rPr>
              <w:t xml:space="preserve">Treatment, care and support: Counseling and psycho-social support </w:t>
            </w:r>
          </w:p>
          <w:p w14:paraId="14FEF907" w14:textId="77777777" w:rsidR="0015208B" w:rsidRPr="000C5EE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14A43B51" w14:textId="77777777" w:rsidR="0015208B" w:rsidRPr="000C5EE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0C5EEB">
              <w:rPr>
                <w:rFonts w:cs="Arial"/>
                <w:sz w:val="20"/>
                <w:szCs w:val="20"/>
              </w:rPr>
              <w:t>Treatment, care and support: Treatment monitoring</w:t>
            </w:r>
          </w:p>
          <w:p w14:paraId="7B84479F" w14:textId="77777777" w:rsidR="0015208B" w:rsidRPr="000C5EE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p w14:paraId="1CBC9D9E" w14:textId="77777777" w:rsidR="0015208B" w:rsidRPr="000C5EEB" w:rsidRDefault="0015208B" w:rsidP="0015208B">
            <w:pPr>
              <w:pStyle w:val="Default"/>
              <w:cnfStyle w:val="000000000000" w:firstRow="0" w:lastRow="0" w:firstColumn="0" w:lastColumn="0" w:oddVBand="0" w:evenVBand="0" w:oddHBand="0" w:evenHBand="0" w:firstRowFirstColumn="0" w:firstRowLastColumn="0" w:lastRowFirstColumn="0" w:lastRowLastColumn="0"/>
              <w:rPr>
                <w:sz w:val="20"/>
                <w:szCs w:val="20"/>
              </w:rPr>
            </w:pPr>
          </w:p>
          <w:p w14:paraId="0AF77DCF" w14:textId="77777777" w:rsidR="0015208B" w:rsidRPr="000C5EEB" w:rsidRDefault="0015208B" w:rsidP="0015208B">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0C5EEB">
              <w:rPr>
                <w:sz w:val="20"/>
                <w:szCs w:val="20"/>
              </w:rPr>
              <w:t xml:space="preserve">Prevention and management of co-infections and co-morbidities </w:t>
            </w:r>
          </w:p>
        </w:tc>
        <w:tc>
          <w:tcPr>
            <w:tcW w:w="5220" w:type="dxa"/>
          </w:tcPr>
          <w:p w14:paraId="53A225A5" w14:textId="77777777" w:rsidR="0015208B" w:rsidRPr="000C5EE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Psychosocial support package</w:t>
            </w:r>
          </w:p>
          <w:p w14:paraId="0E8B14AB" w14:textId="5F7627F6" w:rsidR="0015208B" w:rsidRPr="000C5EE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Re-profiling Social Centers in medical and social centers (ren</w:t>
            </w:r>
            <w:r w:rsidR="003744D9">
              <w:rPr>
                <w:rFonts w:cs="Arial"/>
                <w:color w:val="000000"/>
                <w:sz w:val="20"/>
                <w:szCs w:val="20"/>
              </w:rPr>
              <w:t>ovation, change in status</w:t>
            </w:r>
            <w:r w:rsidRPr="000C5EEB">
              <w:rPr>
                <w:rFonts w:cs="Arial"/>
                <w:color w:val="000000"/>
                <w:sz w:val="20"/>
                <w:szCs w:val="20"/>
              </w:rPr>
              <w:t>)</w:t>
            </w:r>
          </w:p>
          <w:p w14:paraId="26EB60C0" w14:textId="77777777" w:rsidR="00012773" w:rsidRDefault="00012773"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08A4A2EA" w14:textId="716ABD41" w:rsidR="0015208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Procurement additional diagnostic equipment, CD4 machine, tests for CD4, follow up tests</w:t>
            </w:r>
          </w:p>
          <w:p w14:paraId="2F0AA6BA" w14:textId="77777777" w:rsidR="0015208B" w:rsidRPr="000C5EE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 xml:space="preserve">Cardio-vascular screening tool </w:t>
            </w:r>
          </w:p>
          <w:p w14:paraId="46AAFE7E" w14:textId="21462C92" w:rsidR="0015208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i/>
                <w:color w:val="000000"/>
                <w:sz w:val="20"/>
                <w:szCs w:val="20"/>
              </w:rPr>
            </w:pPr>
            <w:r w:rsidRPr="000C5EEB">
              <w:rPr>
                <w:rFonts w:cs="Arial"/>
                <w:i/>
                <w:color w:val="000000"/>
                <w:sz w:val="20"/>
                <w:szCs w:val="20"/>
              </w:rPr>
              <w:t>PAAR: drug resistance subty</w:t>
            </w:r>
            <w:r w:rsidR="00012773">
              <w:rPr>
                <w:rFonts w:cs="Arial"/>
                <w:i/>
                <w:color w:val="000000"/>
                <w:sz w:val="20"/>
                <w:szCs w:val="20"/>
              </w:rPr>
              <w:t>pes</w:t>
            </w:r>
          </w:p>
          <w:p w14:paraId="1C289191" w14:textId="77777777" w:rsidR="00012773" w:rsidRPr="000C5EEB" w:rsidRDefault="00012773"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i/>
                <w:color w:val="000000"/>
                <w:sz w:val="20"/>
                <w:szCs w:val="20"/>
              </w:rPr>
            </w:pPr>
          </w:p>
          <w:p w14:paraId="0B7CFCE6" w14:textId="77777777" w:rsidR="00012773" w:rsidRPr="000C5EEB" w:rsidRDefault="00012773" w:rsidP="00012773">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L</w:t>
            </w:r>
            <w:r w:rsidRPr="000C5EEB">
              <w:rPr>
                <w:rFonts w:cs="Arial"/>
                <w:color w:val="000000"/>
                <w:sz w:val="20"/>
                <w:szCs w:val="20"/>
              </w:rPr>
              <w:t>AM determination</w:t>
            </w:r>
          </w:p>
          <w:p w14:paraId="54FEC5F1" w14:textId="77777777" w:rsidR="00012773" w:rsidRPr="000C5EEB" w:rsidRDefault="00012773" w:rsidP="00012773">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lastRenderedPageBreak/>
              <w:t>Tests for the determination of Cryptococcal Ag</w:t>
            </w:r>
          </w:p>
          <w:p w14:paraId="4CFC85D7" w14:textId="77777777" w:rsidR="00012773" w:rsidRPr="00563563" w:rsidRDefault="00012773" w:rsidP="00012773">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563563">
              <w:rPr>
                <w:rFonts w:cs="Arial"/>
                <w:color w:val="000000"/>
                <w:sz w:val="20"/>
                <w:szCs w:val="20"/>
              </w:rPr>
              <w:t>HLA*B 5701 determination</w:t>
            </w:r>
          </w:p>
          <w:p w14:paraId="06CC7D84" w14:textId="0EA77A66" w:rsidR="0015208B" w:rsidRPr="000C5EEB" w:rsidRDefault="00012773" w:rsidP="00012773">
            <w:pPr>
              <w:spacing w:after="0" w:line="240" w:lineRule="auto"/>
              <w:cnfStyle w:val="000000000000" w:firstRow="0" w:lastRow="0" w:firstColumn="0" w:lastColumn="0" w:oddVBand="0" w:evenVBand="0" w:oddHBand="0" w:evenHBand="0" w:firstRowFirstColumn="0" w:firstRowLastColumn="0" w:lastRowFirstColumn="0" w:lastRowLastColumn="0"/>
              <w:rPr>
                <w:rFonts w:cs="Arial"/>
                <w:i/>
                <w:color w:val="000000"/>
                <w:sz w:val="20"/>
                <w:szCs w:val="20"/>
              </w:rPr>
            </w:pPr>
            <w:r w:rsidRPr="000C5EEB">
              <w:rPr>
                <w:rFonts w:cs="Arial"/>
                <w:i/>
                <w:color w:val="000000"/>
                <w:sz w:val="20"/>
                <w:szCs w:val="20"/>
              </w:rPr>
              <w:t>PAAR: PCR tests STIs</w:t>
            </w:r>
          </w:p>
        </w:tc>
      </w:tr>
      <w:tr w:rsidR="0015208B" w14:paraId="0E77CE53" w14:textId="77777777" w:rsidTr="00087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0" w:type="dxa"/>
            <w:gridSpan w:val="3"/>
            <w:shd w:val="clear" w:color="auto" w:fill="D9D9D9" w:themeFill="background1" w:themeFillShade="D9"/>
          </w:tcPr>
          <w:p w14:paraId="5773BF1E" w14:textId="77777777" w:rsidR="0015208B" w:rsidRPr="000C5EEB" w:rsidRDefault="0015208B" w:rsidP="0015208B">
            <w:pPr>
              <w:spacing w:after="0" w:line="240" w:lineRule="auto"/>
              <w:rPr>
                <w:rFonts w:cs="Arial"/>
                <w:b w:val="0"/>
                <w:color w:val="000000"/>
                <w:sz w:val="20"/>
                <w:szCs w:val="20"/>
              </w:rPr>
            </w:pPr>
            <w:r w:rsidRPr="000873DD">
              <w:rPr>
                <w:rFonts w:cs="Arial"/>
                <w:color w:val="000000"/>
                <w:szCs w:val="20"/>
              </w:rPr>
              <w:lastRenderedPageBreak/>
              <w:t>3</w:t>
            </w:r>
            <w:r w:rsidRPr="000873DD">
              <w:rPr>
                <w:rFonts w:cs="Arial"/>
                <w:b w:val="0"/>
                <w:color w:val="000000"/>
                <w:szCs w:val="20"/>
              </w:rPr>
              <w:t xml:space="preserve"> </w:t>
            </w:r>
            <w:r w:rsidRPr="000873DD">
              <w:rPr>
                <w:rFonts w:cs="Arial"/>
                <w:color w:val="000000"/>
                <w:szCs w:val="20"/>
              </w:rPr>
              <w:t>Zero Discrimination</w:t>
            </w:r>
          </w:p>
        </w:tc>
      </w:tr>
      <w:tr w:rsidR="0015208B" w14:paraId="45A7D5BB" w14:textId="77777777" w:rsidTr="000873DD">
        <w:tc>
          <w:tcPr>
            <w:cnfStyle w:val="001000000000" w:firstRow="0" w:lastRow="0" w:firstColumn="1" w:lastColumn="0" w:oddVBand="0" w:evenVBand="0" w:oddHBand="0" w:evenHBand="0" w:firstRowFirstColumn="0" w:firstRowLastColumn="0" w:lastRowFirstColumn="0" w:lastRowLastColumn="0"/>
            <w:tcW w:w="2970" w:type="dxa"/>
          </w:tcPr>
          <w:p w14:paraId="2532F343" w14:textId="77777777" w:rsidR="0015208B" w:rsidRPr="000C5EEB" w:rsidRDefault="0015208B" w:rsidP="0015208B">
            <w:pPr>
              <w:spacing w:after="0" w:line="240" w:lineRule="auto"/>
              <w:rPr>
                <w:rFonts w:cs="Arial"/>
                <w:color w:val="000000"/>
                <w:sz w:val="20"/>
                <w:szCs w:val="20"/>
              </w:rPr>
            </w:pPr>
            <w:r w:rsidRPr="000C5EEB">
              <w:rPr>
                <w:rFonts w:cs="Arial"/>
                <w:color w:val="000000"/>
                <w:sz w:val="20"/>
                <w:szCs w:val="20"/>
              </w:rPr>
              <w:t>Reduce stigma</w:t>
            </w:r>
          </w:p>
        </w:tc>
        <w:tc>
          <w:tcPr>
            <w:tcW w:w="3060" w:type="dxa"/>
          </w:tcPr>
          <w:p w14:paraId="2EAB1227" w14:textId="77777777" w:rsidR="0015208B" w:rsidRPr="000C5EE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Reducing human rights-related barriers to HIV services</w:t>
            </w:r>
          </w:p>
        </w:tc>
        <w:tc>
          <w:tcPr>
            <w:tcW w:w="5220" w:type="dxa"/>
          </w:tcPr>
          <w:p w14:paraId="73E44093" w14:textId="350FBCEF" w:rsidR="0015208B" w:rsidRPr="000C5EE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Information campaign for different audience</w:t>
            </w:r>
            <w:r w:rsidR="00A122B2">
              <w:rPr>
                <w:rFonts w:cs="Arial"/>
                <w:color w:val="000000"/>
                <w:sz w:val="20"/>
                <w:szCs w:val="20"/>
              </w:rPr>
              <w:t>s</w:t>
            </w:r>
            <w:r w:rsidRPr="000C5EEB">
              <w:rPr>
                <w:rFonts w:cs="Arial"/>
                <w:color w:val="000000"/>
                <w:sz w:val="20"/>
                <w:szCs w:val="20"/>
              </w:rPr>
              <w:t>, printed IEC</w:t>
            </w:r>
          </w:p>
          <w:p w14:paraId="3F5BF3E1" w14:textId="77777777" w:rsidR="0015208B" w:rsidRPr="000C5EE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5EEB">
              <w:rPr>
                <w:rFonts w:cs="Arial"/>
                <w:color w:val="000000"/>
                <w:sz w:val="20"/>
                <w:szCs w:val="20"/>
              </w:rPr>
              <w:t xml:space="preserve">Modular program on overcoming self-stigma </w:t>
            </w:r>
          </w:p>
        </w:tc>
      </w:tr>
      <w:tr w:rsidR="0015208B" w14:paraId="08FEE8D5" w14:textId="77777777" w:rsidTr="00087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52BF3C5A" w14:textId="77777777" w:rsidR="0015208B" w:rsidRPr="000C5EEB" w:rsidRDefault="0015208B" w:rsidP="0015208B">
            <w:pPr>
              <w:spacing w:after="0" w:line="240" w:lineRule="auto"/>
              <w:rPr>
                <w:rFonts w:cs="Arial"/>
                <w:color w:val="000000"/>
                <w:sz w:val="20"/>
                <w:szCs w:val="20"/>
              </w:rPr>
            </w:pPr>
            <w:r w:rsidRPr="000C5EEB">
              <w:rPr>
                <w:rFonts w:cs="Arial"/>
                <w:color w:val="000000"/>
                <w:sz w:val="20"/>
                <w:szCs w:val="20"/>
              </w:rPr>
              <w:t>Remove barriers human rights and gender barriers</w:t>
            </w:r>
          </w:p>
        </w:tc>
        <w:tc>
          <w:tcPr>
            <w:tcW w:w="3060" w:type="dxa"/>
          </w:tcPr>
          <w:p w14:paraId="0D7B253C" w14:textId="77777777" w:rsidR="0015208B" w:rsidRPr="000C5EEB" w:rsidRDefault="0015208B" w:rsidP="0015208B">
            <w:pPr>
              <w:pStyle w:val="Default"/>
              <w:cnfStyle w:val="000000100000" w:firstRow="0" w:lastRow="0" w:firstColumn="0" w:lastColumn="0" w:oddVBand="0" w:evenVBand="0" w:oddHBand="1" w:evenHBand="0" w:firstRowFirstColumn="0" w:firstRowLastColumn="0" w:lastRowFirstColumn="0" w:lastRowLastColumn="0"/>
              <w:rPr>
                <w:sz w:val="20"/>
                <w:szCs w:val="20"/>
              </w:rPr>
            </w:pPr>
            <w:r w:rsidRPr="000C5EEB">
              <w:rPr>
                <w:sz w:val="20"/>
                <w:szCs w:val="20"/>
              </w:rPr>
              <w:t>Reducing human rights-related barriers to HIV services</w:t>
            </w:r>
          </w:p>
        </w:tc>
        <w:tc>
          <w:tcPr>
            <w:tcW w:w="5220" w:type="dxa"/>
          </w:tcPr>
          <w:p w14:paraId="48502EC9" w14:textId="4C9861F5"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color w:val="000000"/>
                <w:sz w:val="20"/>
                <w:szCs w:val="20"/>
              </w:rPr>
              <w:t>Remove legal barriers (70 recommendations from LEA)</w:t>
            </w:r>
          </w:p>
          <w:p w14:paraId="471FB381"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color w:val="000000"/>
                <w:sz w:val="20"/>
                <w:szCs w:val="20"/>
              </w:rPr>
              <w:t>Discrimination data collection via Soft RID</w:t>
            </w:r>
          </w:p>
          <w:p w14:paraId="26363794"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color w:val="000000"/>
                <w:sz w:val="20"/>
                <w:szCs w:val="20"/>
              </w:rPr>
              <w:t>Paralegals and PromoLex training</w:t>
            </w:r>
          </w:p>
        </w:tc>
      </w:tr>
      <w:tr w:rsidR="0015208B" w:rsidRPr="003C12C7" w14:paraId="7500BD2F" w14:textId="77777777" w:rsidTr="000873DD">
        <w:tc>
          <w:tcPr>
            <w:cnfStyle w:val="001000000000" w:firstRow="0" w:lastRow="0" w:firstColumn="1" w:lastColumn="0" w:oddVBand="0" w:evenVBand="0" w:oddHBand="0" w:evenHBand="0" w:firstRowFirstColumn="0" w:firstRowLastColumn="0" w:lastRowFirstColumn="0" w:lastRowLastColumn="0"/>
            <w:tcW w:w="11250" w:type="dxa"/>
            <w:gridSpan w:val="3"/>
            <w:shd w:val="clear" w:color="auto" w:fill="D9D9D9" w:themeFill="background1" w:themeFillShade="D9"/>
          </w:tcPr>
          <w:p w14:paraId="3636F278" w14:textId="77777777" w:rsidR="0015208B" w:rsidRPr="000C5EEB" w:rsidRDefault="0015208B" w:rsidP="0015208B">
            <w:pPr>
              <w:spacing w:after="0" w:line="240" w:lineRule="auto"/>
              <w:rPr>
                <w:rFonts w:cs="Arial"/>
                <w:color w:val="000000"/>
                <w:sz w:val="20"/>
                <w:szCs w:val="20"/>
              </w:rPr>
            </w:pPr>
            <w:r w:rsidRPr="000C5EEB">
              <w:rPr>
                <w:rFonts w:cs="Arial"/>
                <w:color w:val="000000"/>
                <w:sz w:val="20"/>
                <w:szCs w:val="20"/>
              </w:rPr>
              <w:t>4</w:t>
            </w:r>
            <w:r w:rsidRPr="000873DD">
              <w:rPr>
                <w:rFonts w:cs="Arial"/>
                <w:color w:val="000000"/>
                <w:szCs w:val="20"/>
              </w:rPr>
              <w:t>. Enabling environment</w:t>
            </w:r>
          </w:p>
        </w:tc>
      </w:tr>
      <w:tr w:rsidR="0015208B" w:rsidRPr="00047869" w14:paraId="0F45FEEA" w14:textId="77777777" w:rsidTr="00087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38669AE0" w14:textId="77777777" w:rsidR="0015208B" w:rsidRPr="000C5EEB" w:rsidRDefault="0015208B" w:rsidP="0015208B">
            <w:pPr>
              <w:spacing w:after="0" w:line="240" w:lineRule="auto"/>
              <w:rPr>
                <w:rFonts w:cs="Arial"/>
                <w:color w:val="000000"/>
                <w:sz w:val="20"/>
                <w:szCs w:val="20"/>
              </w:rPr>
            </w:pPr>
            <w:r w:rsidRPr="000C5EEB">
              <w:rPr>
                <w:rFonts w:cs="Arial"/>
                <w:color w:val="000000"/>
                <w:sz w:val="20"/>
                <w:szCs w:val="20"/>
              </w:rPr>
              <w:t>Increase health system capacity to sustain the response</w:t>
            </w:r>
          </w:p>
        </w:tc>
        <w:tc>
          <w:tcPr>
            <w:tcW w:w="3060" w:type="dxa"/>
          </w:tcPr>
          <w:p w14:paraId="5350654E"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243887">
              <w:rPr>
                <w:rFonts w:cs="Arial"/>
                <w:b/>
                <w:color w:val="000000"/>
                <w:sz w:val="20"/>
                <w:szCs w:val="20"/>
              </w:rPr>
              <w:t>RSSH: Health sector:</w:t>
            </w:r>
            <w:r w:rsidRPr="000C5EEB">
              <w:rPr>
                <w:rFonts w:cs="Arial"/>
                <w:color w:val="000000"/>
                <w:sz w:val="20"/>
                <w:szCs w:val="20"/>
              </w:rPr>
              <w:t xml:space="preserve"> governance and planning</w:t>
            </w:r>
          </w:p>
          <w:p w14:paraId="4E4B4AAF"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397D0440"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0C18DB94" w14:textId="77777777"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30AC6574"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243887">
              <w:rPr>
                <w:rFonts w:cs="Arial"/>
                <w:b/>
                <w:color w:val="000000"/>
                <w:sz w:val="20"/>
                <w:szCs w:val="20"/>
              </w:rPr>
              <w:t>RSSH: Integrated service delivery and quality improvement</w:t>
            </w:r>
            <w:r w:rsidRPr="000C5EEB">
              <w:rPr>
                <w:rFonts w:cs="Arial"/>
                <w:color w:val="000000"/>
                <w:sz w:val="20"/>
                <w:szCs w:val="20"/>
              </w:rPr>
              <w:t>: service organization and facility management</w:t>
            </w:r>
          </w:p>
          <w:p w14:paraId="60BCDED1"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48BCE34C"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1168BF9E" w14:textId="77777777" w:rsidR="0015208B" w:rsidRPr="000C5EEB" w:rsidRDefault="0015208B" w:rsidP="0015208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7A8BBE2D" w14:textId="77777777" w:rsidR="0015208B" w:rsidRDefault="0015208B" w:rsidP="0015208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5E0BC3E0" w14:textId="77777777" w:rsidR="0015208B" w:rsidRDefault="0015208B" w:rsidP="0015208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04664836" w14:textId="77777777" w:rsidR="0015208B" w:rsidRPr="00243887" w:rsidRDefault="0015208B" w:rsidP="0015208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243887">
              <w:rPr>
                <w:rFonts w:cs="Arial"/>
                <w:b/>
                <w:color w:val="000000"/>
                <w:sz w:val="20"/>
                <w:szCs w:val="20"/>
              </w:rPr>
              <w:t xml:space="preserve">RSSH: HMIS and M&amp;E </w:t>
            </w:r>
            <w:r w:rsidRPr="00243887">
              <w:rPr>
                <w:rFonts w:cs="Arial"/>
                <w:color w:val="000000"/>
                <w:sz w:val="20"/>
                <w:szCs w:val="20"/>
              </w:rPr>
              <w:t xml:space="preserve">Routine reporting  </w:t>
            </w:r>
          </w:p>
          <w:p w14:paraId="62ECFF4E" w14:textId="77777777" w:rsidR="0015208B" w:rsidRPr="00243887"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390B3C50"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7F158EE4"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7917CC1E"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20FE8E84"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60AE1BEB"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1271E888"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36F25AEF" w14:textId="77777777" w:rsidR="0015208B" w:rsidRPr="00243887" w:rsidRDefault="0015208B" w:rsidP="0015208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p>
          <w:p w14:paraId="0A975F24" w14:textId="77777777" w:rsidR="0015208B" w:rsidRPr="000C5EEB" w:rsidRDefault="0015208B" w:rsidP="0015208B">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243887">
              <w:rPr>
                <w:rFonts w:cs="Arial"/>
                <w:b/>
                <w:color w:val="000000"/>
                <w:sz w:val="20"/>
                <w:szCs w:val="20"/>
              </w:rPr>
              <w:t>RSSH: HMIS and M&amp;E</w:t>
            </w:r>
            <w:r w:rsidRPr="000C5EEB">
              <w:rPr>
                <w:rFonts w:cs="Arial"/>
                <w:color w:val="000000"/>
                <w:sz w:val="20"/>
                <w:szCs w:val="20"/>
              </w:rPr>
              <w:t>: Surveys</w:t>
            </w:r>
          </w:p>
          <w:p w14:paraId="6C299329"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11FF76BF"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107B31C4"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6130DE67"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4F4BA07B" w14:textId="718D901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243887">
              <w:rPr>
                <w:rFonts w:cs="Arial"/>
                <w:b/>
                <w:color w:val="000000"/>
                <w:sz w:val="20"/>
                <w:szCs w:val="20"/>
              </w:rPr>
              <w:t>RSSH: HMIS and M&amp;E</w:t>
            </w:r>
            <w:r w:rsidRPr="000C5EEB">
              <w:rPr>
                <w:rFonts w:cs="Arial"/>
                <w:color w:val="000000"/>
                <w:sz w:val="20"/>
                <w:szCs w:val="20"/>
              </w:rPr>
              <w:t xml:space="preserve">: </w:t>
            </w:r>
            <w:r w:rsidRPr="000C5EEB">
              <w:rPr>
                <w:rFonts w:cs="Arial"/>
                <w:sz w:val="20"/>
                <w:szCs w:val="20"/>
              </w:rPr>
              <w:t>Analysis, evaluations, reviews and transparency</w:t>
            </w:r>
          </w:p>
          <w:p w14:paraId="23585FAF"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105B7D9D"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20EEBCFD"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01D4FE4C"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632C488E"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34E84A1A"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4E6FA21C"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2BAADDC5"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550AA0FD"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13CEDC42"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01E49B5C" w14:textId="291A409B"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6F2D5259" w14:textId="77777777" w:rsidR="007273BE" w:rsidRDefault="007273BE"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4B0A748D" w14:textId="13F72BA2"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6B262368"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312932FC"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243887">
              <w:rPr>
                <w:rFonts w:cs="Arial"/>
                <w:b/>
                <w:sz w:val="20"/>
                <w:szCs w:val="20"/>
              </w:rPr>
              <w:t>RSSH Lab</w:t>
            </w:r>
            <w:r w:rsidRPr="000C5EEB">
              <w:rPr>
                <w:rFonts w:cs="Arial"/>
                <w:sz w:val="20"/>
                <w:szCs w:val="20"/>
              </w:rPr>
              <w:t xml:space="preserve"> Quality management systems and accreditation </w:t>
            </w:r>
          </w:p>
          <w:p w14:paraId="1495BE19"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4FAA82AC"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5B63E629"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22819F65"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61CC99C4"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b/>
                <w:sz w:val="20"/>
                <w:szCs w:val="20"/>
              </w:rPr>
            </w:pPr>
            <w:r w:rsidRPr="00243887">
              <w:rPr>
                <w:rFonts w:cs="Arial"/>
                <w:b/>
                <w:sz w:val="20"/>
                <w:szCs w:val="20"/>
              </w:rPr>
              <w:t>RSSH Lab</w:t>
            </w:r>
            <w:r w:rsidRPr="000C5EEB">
              <w:rPr>
                <w:rFonts w:cs="Arial"/>
                <w:sz w:val="20"/>
                <w:szCs w:val="20"/>
              </w:rPr>
              <w:t xml:space="preserve"> Quality</w:t>
            </w:r>
          </w:p>
          <w:p w14:paraId="0133D743" w14:textId="77777777"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A70A53">
              <w:rPr>
                <w:rFonts w:cs="Arial"/>
                <w:sz w:val="20"/>
                <w:szCs w:val="20"/>
              </w:rPr>
              <w:t>Infrastructure and equipment management systems</w:t>
            </w:r>
          </w:p>
          <w:p w14:paraId="3CD5DDC3" w14:textId="77777777"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73A9530F" w14:textId="77777777"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41E46E38" w14:textId="77777777"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73653946" w14:textId="77777777" w:rsidR="0015208B" w:rsidRPr="00A70A53"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243887">
              <w:rPr>
                <w:rFonts w:cs="Arial"/>
                <w:b/>
                <w:sz w:val="20"/>
                <w:szCs w:val="20"/>
              </w:rPr>
              <w:t>RSSH: Laboratory systems</w:t>
            </w:r>
            <w:r w:rsidRPr="00A70A53">
              <w:rPr>
                <w:rFonts w:cs="Arial"/>
                <w:sz w:val="20"/>
                <w:szCs w:val="20"/>
              </w:rPr>
              <w:t xml:space="preserve">: Information systems and integrated specimen transport networks </w:t>
            </w:r>
          </w:p>
          <w:p w14:paraId="0D5337F5" w14:textId="77777777" w:rsidR="0015208B" w:rsidRPr="00A70A53"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C5EEB">
              <w:rPr>
                <w:rFonts w:cs="Arial"/>
                <w:sz w:val="20"/>
                <w:szCs w:val="20"/>
              </w:rPr>
              <w:t xml:space="preserve"> </w:t>
            </w:r>
          </w:p>
          <w:p w14:paraId="4C96597E" w14:textId="77777777"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243887">
              <w:rPr>
                <w:rFonts w:cs="Arial"/>
                <w:b/>
                <w:sz w:val="20"/>
                <w:szCs w:val="20"/>
              </w:rPr>
              <w:t>RSSH: Human resources for health</w:t>
            </w:r>
            <w:r>
              <w:rPr>
                <w:rFonts w:cs="Arial"/>
                <w:sz w:val="20"/>
                <w:szCs w:val="20"/>
              </w:rPr>
              <w:t xml:space="preserve"> </w:t>
            </w:r>
            <w:r w:rsidRPr="00A70A53">
              <w:rPr>
                <w:rFonts w:cs="Arial"/>
                <w:sz w:val="20"/>
                <w:szCs w:val="20"/>
              </w:rPr>
              <w:t>policy and governance</w:t>
            </w:r>
          </w:p>
          <w:p w14:paraId="3EF4060C" w14:textId="77777777"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3298DAF1" w14:textId="77777777"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2D142E90" w14:textId="77777777"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7A4B0A13" w14:textId="2B0051A0"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4648252A" w14:textId="77777777" w:rsidR="00E80D14" w:rsidRDefault="00E80D14"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2BCE6AD9" w14:textId="77777777"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A70A53">
              <w:rPr>
                <w:rFonts w:cs="Arial"/>
                <w:sz w:val="20"/>
                <w:szCs w:val="20"/>
              </w:rPr>
              <w:t xml:space="preserve">RSSH: </w:t>
            </w:r>
            <w:r w:rsidRPr="00243887">
              <w:rPr>
                <w:rFonts w:cs="Arial"/>
                <w:b/>
                <w:sz w:val="20"/>
                <w:szCs w:val="20"/>
              </w:rPr>
              <w:t>Human resources for health</w:t>
            </w:r>
            <w:r>
              <w:rPr>
                <w:rFonts w:cs="Arial"/>
                <w:sz w:val="20"/>
                <w:szCs w:val="20"/>
              </w:rPr>
              <w:t xml:space="preserve"> in-service training</w:t>
            </w:r>
          </w:p>
          <w:p w14:paraId="28E5C8B2" w14:textId="77777777"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69A85F12" w14:textId="77777777" w:rsidR="00E30235" w:rsidRDefault="00E30235"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b/>
                <w:sz w:val="20"/>
                <w:szCs w:val="20"/>
              </w:rPr>
            </w:pPr>
          </w:p>
          <w:p w14:paraId="5890BE13" w14:textId="00D44003" w:rsidR="0015208B" w:rsidRPr="000C5EE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47869">
              <w:rPr>
                <w:rFonts w:cs="Arial"/>
                <w:b/>
                <w:sz w:val="20"/>
                <w:szCs w:val="20"/>
              </w:rPr>
              <w:t xml:space="preserve">Health products management systems: </w:t>
            </w:r>
            <w:r w:rsidRPr="00243887">
              <w:rPr>
                <w:rFonts w:cs="Arial"/>
                <w:sz w:val="20"/>
                <w:szCs w:val="20"/>
              </w:rPr>
              <w:t xml:space="preserve">Regulatory/quality assurance support </w:t>
            </w:r>
          </w:p>
        </w:tc>
        <w:tc>
          <w:tcPr>
            <w:tcW w:w="5220" w:type="dxa"/>
          </w:tcPr>
          <w:p w14:paraId="398F46A1" w14:textId="77777777" w:rsidR="00854F0D" w:rsidRPr="000C5EEB" w:rsidRDefault="00854F0D" w:rsidP="00854F0D">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color w:val="000000"/>
                <w:sz w:val="20"/>
                <w:szCs w:val="20"/>
              </w:rPr>
              <w:lastRenderedPageBreak/>
              <w:t>Develop vision for new governance and coordination structure for national programs HIV, TB, Hepatitis +all the rest (NCDs, MCH etc)</w:t>
            </w:r>
          </w:p>
          <w:p w14:paraId="4895609C" w14:textId="77777777" w:rsidR="00854F0D" w:rsidRPr="000C5EEB" w:rsidRDefault="00854F0D" w:rsidP="00854F0D">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color w:val="000000"/>
                <w:sz w:val="20"/>
                <w:szCs w:val="20"/>
              </w:rPr>
              <w:t>Support to new governance structure by 2023</w:t>
            </w:r>
          </w:p>
          <w:p w14:paraId="25A81D83" w14:textId="77777777" w:rsidR="00854F0D" w:rsidRDefault="00854F0D" w:rsidP="00854F0D">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3D80E017" w14:textId="77777777" w:rsidR="00854F0D" w:rsidRDefault="00854F0D" w:rsidP="00854F0D">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color w:val="000000"/>
                <w:sz w:val="20"/>
                <w:szCs w:val="20"/>
              </w:rPr>
              <w:t>Integration concept for services at all levels HIV/TB/STIs/Hep/OST (regulations, model of integrated services at specialist level, integrated in CSOs platforms</w:t>
            </w:r>
          </w:p>
          <w:p w14:paraId="1421A05C" w14:textId="77777777" w:rsidR="00854F0D" w:rsidRPr="00DF2442" w:rsidRDefault="00854F0D" w:rsidP="00854F0D">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DF2442">
              <w:rPr>
                <w:rFonts w:cs="Arial"/>
                <w:color w:val="000000"/>
                <w:sz w:val="20"/>
                <w:szCs w:val="20"/>
              </w:rPr>
              <w:t>MDT capacity building</w:t>
            </w:r>
          </w:p>
          <w:p w14:paraId="6911A044" w14:textId="77777777" w:rsidR="00854F0D" w:rsidRDefault="00854F0D" w:rsidP="00854F0D">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643E4F68" w14:textId="77777777" w:rsidR="00854F0D" w:rsidRPr="000C5EEB" w:rsidRDefault="00854F0D" w:rsidP="00854F0D">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color w:val="000000"/>
                <w:sz w:val="20"/>
                <w:szCs w:val="20"/>
              </w:rPr>
              <w:t>EMCT elimination TA for external assessment, reporting mechanism for HIV+ pregnant</w:t>
            </w:r>
          </w:p>
          <w:p w14:paraId="4579288A" w14:textId="77777777" w:rsidR="00854F0D" w:rsidRPr="00DF2442" w:rsidRDefault="00854F0D" w:rsidP="00854F0D">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DF2442">
              <w:rPr>
                <w:rFonts w:cs="Arial"/>
                <w:color w:val="000000"/>
                <w:sz w:val="20"/>
                <w:szCs w:val="20"/>
              </w:rPr>
              <w:t>EMTCT capacity building family doctors and maternity staff and PMTCT protocol revision</w:t>
            </w:r>
          </w:p>
          <w:p w14:paraId="54151537" w14:textId="77777777" w:rsidR="00854F0D" w:rsidRDefault="00854F0D" w:rsidP="00854F0D">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47DBCC13" w14:textId="77777777" w:rsidR="00854F0D" w:rsidRPr="000C5EEB" w:rsidRDefault="00854F0D" w:rsidP="00854F0D">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color w:val="000000"/>
                <w:sz w:val="20"/>
                <w:szCs w:val="20"/>
              </w:rPr>
              <w:t>SIME HIV design, interoperability and implementation</w:t>
            </w:r>
          </w:p>
          <w:p w14:paraId="5630E0B9" w14:textId="77777777" w:rsidR="00854F0D" w:rsidRPr="00C71542" w:rsidRDefault="00854F0D" w:rsidP="00854F0D">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lang w:val="fr-FR"/>
              </w:rPr>
            </w:pPr>
            <w:r w:rsidRPr="00C71542">
              <w:rPr>
                <w:rFonts w:cs="Arial"/>
                <w:color w:val="000000"/>
                <w:sz w:val="20"/>
                <w:szCs w:val="20"/>
                <w:lang w:val="fr-FR"/>
              </w:rPr>
              <w:t xml:space="preserve">HIV core M&amp;E: salaries, visits </w:t>
            </w:r>
          </w:p>
          <w:p w14:paraId="2C2A01A9" w14:textId="77777777" w:rsidR="00854F0D" w:rsidRPr="000C5EEB" w:rsidRDefault="00854F0D" w:rsidP="00854F0D">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color w:val="000000"/>
                <w:sz w:val="20"/>
                <w:szCs w:val="20"/>
              </w:rPr>
              <w:t>CCM website – repository and dissemination</w:t>
            </w:r>
          </w:p>
          <w:p w14:paraId="628E6BD0" w14:textId="77777777" w:rsidR="00854F0D" w:rsidRPr="000C5EEB" w:rsidRDefault="00854F0D" w:rsidP="00854F0D">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color w:val="000000"/>
                <w:sz w:val="20"/>
                <w:szCs w:val="20"/>
              </w:rPr>
              <w:t>HIV Surveillance: capacity building on case-based surveillance and patient monitoring; annual training;</w:t>
            </w:r>
          </w:p>
          <w:p w14:paraId="0CCAE5FA" w14:textId="77777777" w:rsidR="00854F0D" w:rsidRPr="000C5EEB" w:rsidRDefault="00854F0D" w:rsidP="00854F0D">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i/>
                <w:color w:val="000000"/>
                <w:sz w:val="20"/>
                <w:szCs w:val="20"/>
              </w:rPr>
              <w:t>PAAR: Core M&amp;E assessment and functional redesign, M&amp;E training, lobby for takeover of M&amp;E staff costs</w:t>
            </w:r>
            <w:r w:rsidRPr="000C5EEB">
              <w:rPr>
                <w:rFonts w:cs="Arial"/>
                <w:color w:val="000000"/>
                <w:sz w:val="20"/>
                <w:szCs w:val="20"/>
              </w:rPr>
              <w:t xml:space="preserve">  </w:t>
            </w:r>
          </w:p>
          <w:p w14:paraId="5EE5725F" w14:textId="77777777" w:rsidR="00854F0D" w:rsidRPr="000C5EEB" w:rsidRDefault="00854F0D" w:rsidP="00854F0D">
            <w:pPr>
              <w:spacing w:after="0" w:line="240" w:lineRule="auto"/>
              <w:cnfStyle w:val="000000100000" w:firstRow="0" w:lastRow="0" w:firstColumn="0" w:lastColumn="0" w:oddVBand="0" w:evenVBand="0" w:oddHBand="1" w:evenHBand="0" w:firstRowFirstColumn="0" w:firstRowLastColumn="0" w:lastRowFirstColumn="0" w:lastRowLastColumn="0"/>
              <w:rPr>
                <w:rFonts w:cs="Arial"/>
                <w:i/>
                <w:color w:val="000000"/>
                <w:sz w:val="20"/>
                <w:szCs w:val="20"/>
              </w:rPr>
            </w:pPr>
            <w:r w:rsidRPr="000C5EEB">
              <w:rPr>
                <w:rFonts w:cs="Arial"/>
                <w:i/>
                <w:color w:val="000000"/>
                <w:sz w:val="20"/>
                <w:szCs w:val="20"/>
              </w:rPr>
              <w:t>PAAR: HIV Surveillance: update of HIV surveillance regulations, printing</w:t>
            </w:r>
          </w:p>
          <w:p w14:paraId="23619C73" w14:textId="77777777" w:rsidR="00854F0D" w:rsidRDefault="00854F0D" w:rsidP="00854F0D">
            <w:pPr>
              <w:spacing w:after="0" w:line="240" w:lineRule="auto"/>
              <w:cnfStyle w:val="000000100000" w:firstRow="0" w:lastRow="0" w:firstColumn="0" w:lastColumn="0" w:oddVBand="0" w:evenVBand="0" w:oddHBand="1" w:evenHBand="0" w:firstRowFirstColumn="0" w:firstRowLastColumn="0" w:lastRowFirstColumn="0" w:lastRowLastColumn="0"/>
              <w:rPr>
                <w:rFonts w:cs="Arial"/>
                <w:i/>
                <w:color w:val="000000"/>
                <w:sz w:val="20"/>
                <w:szCs w:val="20"/>
              </w:rPr>
            </w:pPr>
          </w:p>
          <w:p w14:paraId="72BBBDDE" w14:textId="77777777" w:rsidR="00854F0D" w:rsidRPr="00E86A53" w:rsidRDefault="00854F0D" w:rsidP="00854F0D">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E86A53">
              <w:rPr>
                <w:rFonts w:cs="Arial"/>
                <w:color w:val="000000"/>
                <w:sz w:val="20"/>
                <w:szCs w:val="20"/>
              </w:rPr>
              <w:t>Size estimation on number of people who use non-injecting drugs</w:t>
            </w:r>
          </w:p>
          <w:p w14:paraId="1B6DC98D" w14:textId="77777777" w:rsidR="00854F0D" w:rsidRPr="000C5EEB" w:rsidRDefault="00854F0D" w:rsidP="00854F0D">
            <w:pPr>
              <w:spacing w:after="0" w:line="240" w:lineRule="auto"/>
              <w:cnfStyle w:val="000000100000" w:firstRow="0" w:lastRow="0" w:firstColumn="0" w:lastColumn="0" w:oddVBand="0" w:evenVBand="0" w:oddHBand="1" w:evenHBand="0" w:firstRowFirstColumn="0" w:firstRowLastColumn="0" w:lastRowFirstColumn="0" w:lastRowLastColumn="0"/>
              <w:rPr>
                <w:rFonts w:cs="Arial"/>
                <w:i/>
                <w:color w:val="000000"/>
                <w:sz w:val="20"/>
                <w:szCs w:val="20"/>
              </w:rPr>
            </w:pPr>
            <w:r w:rsidRPr="000C5EEB">
              <w:rPr>
                <w:rFonts w:cs="Arial"/>
                <w:i/>
                <w:color w:val="000000"/>
                <w:sz w:val="20"/>
                <w:szCs w:val="20"/>
              </w:rPr>
              <w:t>PAAR: Survey in migrants and mobile populations</w:t>
            </w:r>
          </w:p>
          <w:p w14:paraId="5DD9E23D" w14:textId="77777777" w:rsidR="00854F0D" w:rsidRPr="000C5EEB" w:rsidRDefault="00854F0D" w:rsidP="00854F0D">
            <w:pPr>
              <w:spacing w:after="0" w:line="240" w:lineRule="auto"/>
              <w:cnfStyle w:val="000000100000" w:firstRow="0" w:lastRow="0" w:firstColumn="0" w:lastColumn="0" w:oddVBand="0" w:evenVBand="0" w:oddHBand="1" w:evenHBand="0" w:firstRowFirstColumn="0" w:firstRowLastColumn="0" w:lastRowFirstColumn="0" w:lastRowLastColumn="0"/>
              <w:rPr>
                <w:rFonts w:cs="Arial"/>
                <w:i/>
                <w:color w:val="000000"/>
                <w:sz w:val="20"/>
                <w:szCs w:val="20"/>
              </w:rPr>
            </w:pPr>
            <w:r w:rsidRPr="000C5EEB">
              <w:rPr>
                <w:rFonts w:cs="Arial"/>
                <w:i/>
                <w:color w:val="000000"/>
                <w:sz w:val="20"/>
                <w:szCs w:val="20"/>
              </w:rPr>
              <w:t>PAAR: Youth KAP</w:t>
            </w:r>
          </w:p>
          <w:p w14:paraId="3D0B339A" w14:textId="77777777"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027D6474" w14:textId="77777777" w:rsidR="00B24496" w:rsidRPr="000C5EEB" w:rsidRDefault="00B24496" w:rsidP="00B24496">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color w:val="000000"/>
                <w:sz w:val="20"/>
                <w:szCs w:val="20"/>
              </w:rPr>
              <w:t>Assess the capacity of HIV/STI/HIV testing in Moldova</w:t>
            </w:r>
          </w:p>
          <w:p w14:paraId="1F836160" w14:textId="77777777" w:rsidR="00B24496" w:rsidRPr="000C5EEB" w:rsidRDefault="00B24496" w:rsidP="00B24496">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color w:val="000000"/>
                <w:sz w:val="20"/>
                <w:szCs w:val="20"/>
              </w:rPr>
              <w:t xml:space="preserve">Analysis of genotypes and resistance (collaboration with Romania) </w:t>
            </w:r>
          </w:p>
          <w:p w14:paraId="0E3B724D" w14:textId="77777777" w:rsidR="00B24496" w:rsidRPr="000C5EEB" w:rsidRDefault="00B24496" w:rsidP="00B24496">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C5EEB">
              <w:rPr>
                <w:rFonts w:cs="Arial"/>
                <w:sz w:val="20"/>
                <w:szCs w:val="20"/>
              </w:rPr>
              <w:t xml:space="preserve">Recency incidence operational research </w:t>
            </w:r>
          </w:p>
          <w:p w14:paraId="199CB6F6" w14:textId="77777777" w:rsidR="00B24496" w:rsidRPr="000C5EEB" w:rsidRDefault="00B24496" w:rsidP="00B24496">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B24496">
              <w:rPr>
                <w:rFonts w:cs="Arial"/>
                <w:sz w:val="20"/>
                <w:szCs w:val="20"/>
              </w:rPr>
              <w:t>HIV mortality audit</w:t>
            </w:r>
          </w:p>
          <w:p w14:paraId="2C23BDAE" w14:textId="77777777" w:rsidR="00B24496" w:rsidRPr="000C5EEB" w:rsidRDefault="00B24496" w:rsidP="00B24496">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C5EEB">
              <w:rPr>
                <w:rFonts w:cs="Arial"/>
                <w:sz w:val="20"/>
                <w:szCs w:val="20"/>
              </w:rPr>
              <w:t>Audit of psychosocial support services</w:t>
            </w:r>
          </w:p>
          <w:p w14:paraId="72308C88" w14:textId="77777777" w:rsidR="00B24496" w:rsidRPr="000C5EEB" w:rsidRDefault="00B24496" w:rsidP="00B24496">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5EEB">
              <w:rPr>
                <w:rFonts w:cs="Arial"/>
                <w:sz w:val="20"/>
                <w:szCs w:val="20"/>
              </w:rPr>
              <w:t>Operational research to document service integration process, effectiveness, outcomes.</w:t>
            </w:r>
          </w:p>
          <w:p w14:paraId="4B8C32D2" w14:textId="77777777" w:rsidR="00B24496" w:rsidRPr="008049FA" w:rsidRDefault="00B24496" w:rsidP="00B24496">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049FA">
              <w:rPr>
                <w:rFonts w:cs="Arial"/>
                <w:color w:val="000000"/>
                <w:sz w:val="20"/>
                <w:szCs w:val="20"/>
              </w:rPr>
              <w:t>Analysis of cascade leakages to improve cascade strengthening</w:t>
            </w:r>
          </w:p>
          <w:p w14:paraId="5C866E0A" w14:textId="77777777" w:rsidR="00B24496" w:rsidRPr="004E2A62" w:rsidRDefault="00B24496" w:rsidP="00B24496">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4E2A62">
              <w:rPr>
                <w:rFonts w:cs="Arial"/>
                <w:color w:val="000000"/>
                <w:sz w:val="20"/>
                <w:szCs w:val="20"/>
              </w:rPr>
              <w:t>Operational research to assess surveillance with participation of National Surveillance System and NAPH</w:t>
            </w:r>
            <w:r w:rsidRPr="004E2A62">
              <w:rPr>
                <w:rFonts w:cs="Arial"/>
                <w:sz w:val="20"/>
                <w:szCs w:val="20"/>
              </w:rPr>
              <w:t xml:space="preserve"> in HIV response and control</w:t>
            </w:r>
          </w:p>
          <w:p w14:paraId="2C3867FA" w14:textId="77777777" w:rsidR="00B24496" w:rsidRDefault="00B24496" w:rsidP="00B24496">
            <w:pPr>
              <w:spacing w:after="0" w:line="240" w:lineRule="auto"/>
              <w:cnfStyle w:val="000000100000" w:firstRow="0" w:lastRow="0" w:firstColumn="0" w:lastColumn="0" w:oddVBand="0" w:evenVBand="0" w:oddHBand="1" w:evenHBand="0" w:firstRowFirstColumn="0" w:firstRowLastColumn="0" w:lastRowFirstColumn="0" w:lastRowLastColumn="0"/>
              <w:rPr>
                <w:rFonts w:cs="Arial"/>
                <w:i/>
                <w:sz w:val="20"/>
                <w:szCs w:val="20"/>
              </w:rPr>
            </w:pPr>
            <w:r w:rsidRPr="000C5EEB">
              <w:rPr>
                <w:rFonts w:cs="Arial"/>
                <w:i/>
                <w:color w:val="000000"/>
                <w:sz w:val="20"/>
                <w:szCs w:val="20"/>
              </w:rPr>
              <w:t>PAAR</w:t>
            </w:r>
            <w:r w:rsidRPr="000C5EEB">
              <w:rPr>
                <w:rFonts w:cs="Arial"/>
                <w:color w:val="000000"/>
                <w:sz w:val="20"/>
                <w:szCs w:val="20"/>
              </w:rPr>
              <w:t xml:space="preserve">: </w:t>
            </w:r>
            <w:r>
              <w:rPr>
                <w:rFonts w:cs="Arial"/>
                <w:i/>
                <w:sz w:val="20"/>
                <w:szCs w:val="20"/>
              </w:rPr>
              <w:t xml:space="preserve">Mid-term HIV NSP review </w:t>
            </w:r>
          </w:p>
          <w:p w14:paraId="0AF99C58" w14:textId="77777777" w:rsidR="00B24496" w:rsidRPr="000C5EEB" w:rsidRDefault="00B24496" w:rsidP="00B24496">
            <w:pPr>
              <w:spacing w:after="0" w:line="240" w:lineRule="auto"/>
              <w:cnfStyle w:val="000000100000" w:firstRow="0" w:lastRow="0" w:firstColumn="0" w:lastColumn="0" w:oddVBand="0" w:evenVBand="0" w:oddHBand="1" w:evenHBand="0" w:firstRowFirstColumn="0" w:firstRowLastColumn="0" w:lastRowFirstColumn="0" w:lastRowLastColumn="0"/>
              <w:rPr>
                <w:rFonts w:cs="Arial"/>
                <w:i/>
                <w:sz w:val="20"/>
                <w:szCs w:val="20"/>
              </w:rPr>
            </w:pPr>
            <w:r w:rsidRPr="000C5EEB">
              <w:rPr>
                <w:rFonts w:cs="Arial"/>
                <w:i/>
                <w:color w:val="000000"/>
                <w:sz w:val="20"/>
                <w:szCs w:val="20"/>
              </w:rPr>
              <w:t>PAAR</w:t>
            </w:r>
            <w:r w:rsidRPr="000C5EEB">
              <w:rPr>
                <w:rFonts w:cs="Arial"/>
                <w:color w:val="000000"/>
                <w:sz w:val="20"/>
                <w:szCs w:val="20"/>
              </w:rPr>
              <w:t xml:space="preserve">: </w:t>
            </w:r>
            <w:r w:rsidRPr="000C5EEB">
              <w:rPr>
                <w:rFonts w:cs="Arial"/>
                <w:i/>
                <w:sz w:val="20"/>
                <w:szCs w:val="20"/>
              </w:rPr>
              <w:t>Development and publication of annual HIV epi report</w:t>
            </w:r>
          </w:p>
          <w:p w14:paraId="24EF8A20" w14:textId="77777777" w:rsidR="00B24496" w:rsidRPr="000C5EEB" w:rsidRDefault="00B24496" w:rsidP="00B24496">
            <w:pPr>
              <w:spacing w:after="0" w:line="240" w:lineRule="auto"/>
              <w:cnfStyle w:val="000000100000" w:firstRow="0" w:lastRow="0" w:firstColumn="0" w:lastColumn="0" w:oddVBand="0" w:evenVBand="0" w:oddHBand="1" w:evenHBand="0" w:firstRowFirstColumn="0" w:firstRowLastColumn="0" w:lastRowFirstColumn="0" w:lastRowLastColumn="0"/>
              <w:rPr>
                <w:rFonts w:cs="Arial"/>
                <w:i/>
                <w:sz w:val="20"/>
                <w:szCs w:val="20"/>
              </w:rPr>
            </w:pPr>
            <w:r w:rsidRPr="000C5EEB">
              <w:rPr>
                <w:rFonts w:cs="Arial"/>
                <w:i/>
                <w:color w:val="000000"/>
                <w:sz w:val="20"/>
                <w:szCs w:val="20"/>
              </w:rPr>
              <w:t>PAAR</w:t>
            </w:r>
            <w:r w:rsidRPr="000C5EEB">
              <w:rPr>
                <w:rFonts w:cs="Arial"/>
                <w:color w:val="000000"/>
                <w:sz w:val="20"/>
                <w:szCs w:val="20"/>
              </w:rPr>
              <w:t xml:space="preserve">: </w:t>
            </w:r>
            <w:r w:rsidRPr="000C5EEB">
              <w:rPr>
                <w:rFonts w:cs="Arial"/>
                <w:i/>
                <w:sz w:val="20"/>
                <w:szCs w:val="20"/>
              </w:rPr>
              <w:t>Preparing epi data to Euro WHO and ECDC</w:t>
            </w:r>
          </w:p>
          <w:p w14:paraId="415A60B4" w14:textId="77777777" w:rsidR="0015208B"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30D69658" w14:textId="77777777" w:rsidR="00E30235" w:rsidRPr="000C5EEB"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C5EEB">
              <w:rPr>
                <w:rFonts w:cs="Arial"/>
                <w:sz w:val="20"/>
                <w:szCs w:val="20"/>
              </w:rPr>
              <w:t>Implementation and maintaining QMS ISO 15189 in National Reference lab</w:t>
            </w:r>
          </w:p>
          <w:p w14:paraId="33526F9B" w14:textId="77777777" w:rsidR="00E30235" w:rsidRPr="000C5EEB"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C5EEB">
              <w:rPr>
                <w:rFonts w:cs="Arial"/>
                <w:sz w:val="20"/>
                <w:szCs w:val="20"/>
              </w:rPr>
              <w:t>EQA participation</w:t>
            </w:r>
          </w:p>
          <w:p w14:paraId="7C906BA4" w14:textId="77777777" w:rsidR="00E30235" w:rsidRPr="000C5EEB"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C5EEB">
              <w:rPr>
                <w:rFonts w:cs="Arial"/>
                <w:sz w:val="20"/>
                <w:szCs w:val="20"/>
              </w:rPr>
              <w:t>Periodic auditing of Testing Center (QA)</w:t>
            </w:r>
          </w:p>
          <w:p w14:paraId="4B7E66B7" w14:textId="77777777" w:rsidR="00E30235" w:rsidRPr="000C5EEB"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C5EEB">
              <w:rPr>
                <w:rFonts w:cs="Arial"/>
                <w:sz w:val="20"/>
                <w:szCs w:val="20"/>
              </w:rPr>
              <w:t>Develop and implement national QC program for NRL and RRL and Testing Centers for HIV/STI</w:t>
            </w:r>
          </w:p>
          <w:p w14:paraId="4B37694D" w14:textId="77777777" w:rsidR="00E30235" w:rsidRPr="000C5EEB"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27CF7B40" w14:textId="77777777" w:rsidR="00E30235" w:rsidRPr="000C5EEB"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C5EEB">
              <w:rPr>
                <w:rFonts w:cs="Arial"/>
                <w:sz w:val="20"/>
                <w:szCs w:val="20"/>
              </w:rPr>
              <w:t>Establish and strengthen National HIV/STI Lab</w:t>
            </w:r>
          </w:p>
          <w:p w14:paraId="5DB81CA4" w14:textId="77777777" w:rsidR="00E30235" w:rsidRPr="000C5EEB"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i/>
                <w:color w:val="000000"/>
                <w:sz w:val="20"/>
                <w:szCs w:val="20"/>
              </w:rPr>
            </w:pPr>
            <w:r w:rsidRPr="000C5EEB">
              <w:rPr>
                <w:rFonts w:cs="Arial"/>
                <w:i/>
                <w:color w:val="000000"/>
                <w:sz w:val="20"/>
                <w:szCs w:val="20"/>
              </w:rPr>
              <w:t>PAAR</w:t>
            </w:r>
            <w:r w:rsidRPr="000C5EEB">
              <w:rPr>
                <w:rFonts w:cs="Arial"/>
                <w:color w:val="000000"/>
                <w:sz w:val="20"/>
                <w:szCs w:val="20"/>
              </w:rPr>
              <w:t xml:space="preserve">: </w:t>
            </w:r>
            <w:r w:rsidRPr="000C5EEB">
              <w:rPr>
                <w:rFonts w:cs="Arial"/>
                <w:i/>
                <w:color w:val="000000"/>
                <w:sz w:val="20"/>
                <w:szCs w:val="20"/>
              </w:rPr>
              <w:t>Renovation and equipping NRL</w:t>
            </w:r>
          </w:p>
          <w:p w14:paraId="7B2FA9F9" w14:textId="77777777" w:rsidR="00E30235" w:rsidRPr="000C5EEB"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C5EEB">
              <w:rPr>
                <w:rFonts w:cs="Arial"/>
                <w:sz w:val="20"/>
                <w:szCs w:val="20"/>
              </w:rPr>
              <w:t>Establish and strengthen Regional Reference HIV/STI Lab</w:t>
            </w:r>
            <w:r>
              <w:rPr>
                <w:rFonts w:cs="Arial"/>
                <w:sz w:val="20"/>
                <w:szCs w:val="20"/>
              </w:rPr>
              <w:t>s</w:t>
            </w:r>
          </w:p>
          <w:p w14:paraId="6E98B2F6" w14:textId="77777777" w:rsidR="00E30235"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0C5EEB">
              <w:rPr>
                <w:rFonts w:cs="Arial"/>
                <w:sz w:val="20"/>
                <w:szCs w:val="20"/>
              </w:rPr>
              <w:t>Lab equipment maintenance (NRL and RRLs)</w:t>
            </w:r>
          </w:p>
          <w:p w14:paraId="73166ACB" w14:textId="77777777" w:rsidR="00E30235"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3E0BEF73" w14:textId="77777777" w:rsidR="00E30235"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LIS implementation and maintenance NRL level</w:t>
            </w:r>
          </w:p>
          <w:p w14:paraId="6AEDD26F" w14:textId="77777777" w:rsidR="00E30235"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LIS HIV testing Centers level</w:t>
            </w:r>
          </w:p>
          <w:p w14:paraId="40AEED5A" w14:textId="77777777" w:rsidR="00E30235"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11D46772" w14:textId="77777777" w:rsidR="00E30235"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1C913A69" w14:textId="77777777" w:rsidR="00E30235"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p w14:paraId="0A7A9841" w14:textId="77777777" w:rsidR="00E30235"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Develop and revise regulations for HR planning and retention</w:t>
            </w:r>
          </w:p>
          <w:p w14:paraId="1C2F9B61" w14:textId="77777777" w:rsidR="00E30235"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Develop and update job description and requirements for CSOs</w:t>
            </w:r>
          </w:p>
          <w:p w14:paraId="6968A0B1" w14:textId="77777777" w:rsidR="00E30235"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Integrate non-medical CSO positions in roster professions</w:t>
            </w:r>
          </w:p>
          <w:p w14:paraId="6DE998F0" w14:textId="77777777" w:rsidR="00E30235" w:rsidRPr="00021B64"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21B64">
              <w:rPr>
                <w:rFonts w:cs="Arial"/>
                <w:color w:val="000000"/>
                <w:sz w:val="20"/>
                <w:szCs w:val="20"/>
              </w:rPr>
              <w:t>Integrate curriculums into CME</w:t>
            </w:r>
          </w:p>
          <w:p w14:paraId="359D2BF2" w14:textId="77777777" w:rsidR="00E30235" w:rsidRPr="00021B64"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i/>
                <w:color w:val="000000"/>
                <w:sz w:val="20"/>
                <w:szCs w:val="20"/>
              </w:rPr>
            </w:pPr>
            <w:r w:rsidRPr="00021B64">
              <w:rPr>
                <w:rFonts w:cs="Arial"/>
                <w:i/>
                <w:color w:val="000000"/>
                <w:sz w:val="20"/>
                <w:szCs w:val="20"/>
              </w:rPr>
              <w:t>PAAR: digital learning platform</w:t>
            </w:r>
          </w:p>
          <w:p w14:paraId="69ABA706" w14:textId="77777777" w:rsidR="00E30235"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Local and international trainings for NRL and RRL staff</w:t>
            </w:r>
          </w:p>
          <w:p w14:paraId="79336F49" w14:textId="77777777" w:rsidR="00E30235"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Training for staff included in HIV service provision</w:t>
            </w:r>
          </w:p>
          <w:p w14:paraId="4541491E" w14:textId="77777777" w:rsidR="00E30235"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749ED8A4" w14:textId="77777777" w:rsidR="00E30235" w:rsidRPr="00D50BDA"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84344A">
              <w:rPr>
                <w:rFonts w:cs="Arial"/>
                <w:color w:val="000000"/>
                <w:sz w:val="20"/>
                <w:szCs w:val="20"/>
              </w:rPr>
              <w:t>Pharmacovigilance: training on</w:t>
            </w:r>
            <w:r>
              <w:rPr>
                <w:rFonts w:cs="Arial"/>
                <w:color w:val="000000"/>
                <w:sz w:val="20"/>
                <w:szCs w:val="20"/>
              </w:rPr>
              <w:t xml:space="preserve"> active reporting side effects </w:t>
            </w:r>
          </w:p>
          <w:p w14:paraId="0CE9F621" w14:textId="77777777" w:rsidR="00E30235"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80D14">
              <w:rPr>
                <w:rFonts w:cs="Arial"/>
                <w:i/>
                <w:color w:val="000000"/>
                <w:sz w:val="20"/>
                <w:szCs w:val="20"/>
              </w:rPr>
              <w:t>PAAR: Improve PV regulation for HIV</w:t>
            </w:r>
            <w:r w:rsidRPr="00047869">
              <w:rPr>
                <w:rFonts w:asciiTheme="minorHAnsi" w:hAnsiTheme="minorHAnsi" w:cstheme="minorHAnsi"/>
              </w:rPr>
              <w:t xml:space="preserve"> </w:t>
            </w:r>
          </w:p>
          <w:p w14:paraId="3DDAD5B9" w14:textId="06940EDB" w:rsidR="0015208B" w:rsidRPr="00047869" w:rsidRDefault="00E30235" w:rsidP="00E30235">
            <w:pPr>
              <w:spacing w:after="0" w:line="240" w:lineRule="auto"/>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D50BDA">
              <w:rPr>
                <w:rFonts w:cs="Arial"/>
                <w:i/>
                <w:color w:val="000000"/>
                <w:sz w:val="20"/>
                <w:szCs w:val="20"/>
              </w:rPr>
              <w:t xml:space="preserve">PAAR: Regulations on ARV registration (WHO Collaborative </w:t>
            </w:r>
            <w:r>
              <w:rPr>
                <w:rFonts w:cs="Arial"/>
                <w:i/>
                <w:color w:val="000000"/>
                <w:sz w:val="20"/>
                <w:szCs w:val="20"/>
              </w:rPr>
              <w:t xml:space="preserve">Registration </w:t>
            </w:r>
            <w:r w:rsidRPr="00D50BDA">
              <w:rPr>
                <w:rFonts w:cs="Arial"/>
                <w:i/>
                <w:color w:val="000000"/>
                <w:sz w:val="20"/>
                <w:szCs w:val="20"/>
              </w:rPr>
              <w:t>Procedure)</w:t>
            </w:r>
          </w:p>
        </w:tc>
      </w:tr>
      <w:tr w:rsidR="0015208B" w14:paraId="6E63E7F9" w14:textId="77777777" w:rsidTr="000873DD">
        <w:tc>
          <w:tcPr>
            <w:cnfStyle w:val="001000000000" w:firstRow="0" w:lastRow="0" w:firstColumn="1" w:lastColumn="0" w:oddVBand="0" w:evenVBand="0" w:oddHBand="0" w:evenHBand="0" w:firstRowFirstColumn="0" w:firstRowLastColumn="0" w:lastRowFirstColumn="0" w:lastRowLastColumn="0"/>
            <w:tcW w:w="2970" w:type="dxa"/>
          </w:tcPr>
          <w:p w14:paraId="0B510F48" w14:textId="77777777" w:rsidR="0015208B" w:rsidRPr="000C5EEB" w:rsidRDefault="0015208B" w:rsidP="0015208B">
            <w:pPr>
              <w:spacing w:after="0" w:line="240" w:lineRule="auto"/>
              <w:rPr>
                <w:rFonts w:cs="Arial"/>
                <w:color w:val="000000"/>
                <w:sz w:val="20"/>
                <w:szCs w:val="20"/>
              </w:rPr>
            </w:pPr>
            <w:r w:rsidRPr="000C5EEB">
              <w:rPr>
                <w:rFonts w:cs="Arial"/>
                <w:color w:val="000000"/>
                <w:sz w:val="20"/>
                <w:szCs w:val="20"/>
              </w:rPr>
              <w:lastRenderedPageBreak/>
              <w:t>Increase community system capacity to sustain the response</w:t>
            </w:r>
          </w:p>
        </w:tc>
        <w:tc>
          <w:tcPr>
            <w:tcW w:w="3060" w:type="dxa"/>
          </w:tcPr>
          <w:p w14:paraId="3FC40071" w14:textId="77777777" w:rsidR="0015208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47869">
              <w:rPr>
                <w:rFonts w:cs="Arial"/>
                <w:b/>
                <w:color w:val="000000"/>
                <w:sz w:val="20"/>
                <w:szCs w:val="20"/>
              </w:rPr>
              <w:t>CSS:</w:t>
            </w:r>
            <w:r w:rsidRPr="000C5EEB">
              <w:rPr>
                <w:rFonts w:cs="Arial"/>
                <w:color w:val="000000"/>
                <w:sz w:val="20"/>
                <w:szCs w:val="20"/>
              </w:rPr>
              <w:t xml:space="preserve"> Social mobilization, building community linkage and coordination</w:t>
            </w:r>
          </w:p>
          <w:p w14:paraId="5D51CD3C" w14:textId="77777777" w:rsidR="0015208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263B5D00" w14:textId="77777777" w:rsidR="0015208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p>
          <w:p w14:paraId="4E6B998C" w14:textId="77777777" w:rsidR="0015208B" w:rsidRPr="000C5EE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47869">
              <w:rPr>
                <w:rFonts w:cs="Arial"/>
                <w:b/>
                <w:color w:val="000000"/>
                <w:sz w:val="20"/>
                <w:szCs w:val="20"/>
              </w:rPr>
              <w:t>CSS:</w:t>
            </w:r>
            <w:r>
              <w:rPr>
                <w:rFonts w:cs="Arial"/>
                <w:b/>
                <w:color w:val="000000"/>
                <w:sz w:val="20"/>
                <w:szCs w:val="20"/>
              </w:rPr>
              <w:t xml:space="preserve"> </w:t>
            </w:r>
            <w:r w:rsidRPr="00047869">
              <w:rPr>
                <w:rFonts w:cs="Arial"/>
                <w:color w:val="000000"/>
                <w:sz w:val="20"/>
                <w:szCs w:val="20"/>
              </w:rPr>
              <w:t>Community-based monitoring / Community-led advocacy and research</w:t>
            </w:r>
          </w:p>
          <w:p w14:paraId="10EE73D1" w14:textId="77777777" w:rsidR="0015208B" w:rsidRPr="000C5EE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tc>
        <w:tc>
          <w:tcPr>
            <w:tcW w:w="5220" w:type="dxa"/>
          </w:tcPr>
          <w:p w14:paraId="26DDD83E" w14:textId="1B220F35" w:rsidR="0015208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 xml:space="preserve">Improve institution and </w:t>
            </w:r>
            <w:r w:rsidR="0018464A">
              <w:rPr>
                <w:rFonts w:cs="Arial"/>
                <w:color w:val="000000"/>
                <w:sz w:val="20"/>
                <w:szCs w:val="20"/>
              </w:rPr>
              <w:t>organizational</w:t>
            </w:r>
            <w:r>
              <w:rPr>
                <w:rFonts w:cs="Arial"/>
                <w:color w:val="000000"/>
                <w:sz w:val="20"/>
                <w:szCs w:val="20"/>
              </w:rPr>
              <w:t xml:space="preserve"> potential for CSOs working with KPs (including KAP platform)</w:t>
            </w:r>
          </w:p>
          <w:p w14:paraId="27BD88A8" w14:textId="77777777" w:rsidR="0015208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Support to public leadership (Memorial Days)</w:t>
            </w:r>
          </w:p>
          <w:p w14:paraId="2D306F79" w14:textId="77777777" w:rsidR="0015208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Engagement working groups, committees</w:t>
            </w:r>
          </w:p>
          <w:p w14:paraId="363131A6" w14:textId="77777777" w:rsidR="0015208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184A8C17" w14:textId="77777777" w:rsidR="0015208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Monitoring takeover by country</w:t>
            </w:r>
          </w:p>
          <w:p w14:paraId="7EED1F93" w14:textId="77777777" w:rsidR="0015208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Budget advocacy</w:t>
            </w:r>
          </w:p>
          <w:p w14:paraId="69E146B5" w14:textId="77777777" w:rsidR="0015208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Capacity building for communities to implement national program</w:t>
            </w:r>
          </w:p>
          <w:p w14:paraId="026274C9" w14:textId="77777777" w:rsidR="0015208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TA to HIV service orgs</w:t>
            </w:r>
          </w:p>
          <w:p w14:paraId="1626ED22" w14:textId="6806DED6" w:rsidR="0015208B" w:rsidRPr="000C5EEB"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Communication and visib</w:t>
            </w:r>
            <w:r w:rsidR="00500903">
              <w:rPr>
                <w:rFonts w:cs="Arial"/>
                <w:color w:val="000000"/>
                <w:sz w:val="20"/>
                <w:szCs w:val="20"/>
              </w:rPr>
              <w:t>i</w:t>
            </w:r>
            <w:r>
              <w:rPr>
                <w:rFonts w:cs="Arial"/>
                <w:color w:val="000000"/>
                <w:sz w:val="20"/>
                <w:szCs w:val="20"/>
              </w:rPr>
              <w:t>lity</w:t>
            </w:r>
          </w:p>
        </w:tc>
      </w:tr>
    </w:tbl>
    <w:p w14:paraId="1E044D2F" w14:textId="77777777" w:rsidR="0015208B" w:rsidRDefault="0015208B" w:rsidP="008C21CF">
      <w:pPr>
        <w:spacing w:after="0"/>
        <w:rPr>
          <w:rFonts w:cs="Arial"/>
        </w:rPr>
      </w:pPr>
    </w:p>
    <w:p w14:paraId="63D40385" w14:textId="77777777" w:rsidR="0015208B" w:rsidRDefault="0015208B">
      <w:pPr>
        <w:spacing w:after="160" w:line="0" w:lineRule="auto"/>
        <w:rPr>
          <w:rFonts w:cs="Arial"/>
        </w:rPr>
      </w:pPr>
      <w:r>
        <w:rPr>
          <w:rFonts w:cs="Arial"/>
        </w:rPr>
        <w:br w:type="page"/>
      </w:r>
    </w:p>
    <w:p w14:paraId="656E61CA" w14:textId="77777777" w:rsidR="0015208B" w:rsidRPr="00B271DB" w:rsidRDefault="0015208B" w:rsidP="008C21CF">
      <w:pPr>
        <w:spacing w:after="0"/>
        <w:rPr>
          <w:rFonts w:cs="Arial"/>
        </w:rPr>
      </w:pPr>
    </w:p>
    <w:p w14:paraId="55305E18" w14:textId="2A12156F" w:rsidR="00810CCB" w:rsidRDefault="00071C82" w:rsidP="00F42E40">
      <w:pPr>
        <w:pStyle w:val="ListParagraph"/>
        <w:numPr>
          <w:ilvl w:val="0"/>
          <w:numId w:val="23"/>
        </w:numPr>
        <w:spacing w:after="0"/>
        <w:ind w:left="360" w:hanging="270"/>
        <w:jc w:val="both"/>
        <w:rPr>
          <w:rFonts w:cs="Arial"/>
        </w:rPr>
      </w:pPr>
      <w:r w:rsidRPr="0096146C">
        <w:rPr>
          <w:rFonts w:cs="Arial"/>
          <w:b/>
        </w:rPr>
        <w:t xml:space="preserve">one table for </w:t>
      </w:r>
      <w:r w:rsidR="00AA64EC" w:rsidRPr="0096146C">
        <w:rPr>
          <w:rFonts w:cs="Arial"/>
          <w:b/>
        </w:rPr>
        <w:t>eac</w:t>
      </w:r>
      <w:r w:rsidR="00416B90" w:rsidRPr="0096146C">
        <w:rPr>
          <w:rFonts w:cs="Arial"/>
          <w:b/>
        </w:rPr>
        <w:t>h disease component</w:t>
      </w:r>
      <w:r w:rsidR="0039496C">
        <w:rPr>
          <w:rFonts w:cs="Arial"/>
          <w:b/>
        </w:rPr>
        <w:t>,</w:t>
      </w:r>
      <w:r w:rsidR="0015208B">
        <w:rPr>
          <w:rFonts w:cs="Arial"/>
          <w:b/>
        </w:rPr>
        <w:t xml:space="preserve"> </w:t>
      </w:r>
      <w:r w:rsidR="00661C8B">
        <w:rPr>
          <w:rFonts w:cs="Arial"/>
          <w:b/>
        </w:rPr>
        <w:t xml:space="preserve">TB, HIV, </w:t>
      </w:r>
      <w:r w:rsidR="0015208B">
        <w:rPr>
          <w:rFonts w:cs="Arial"/>
          <w:b/>
        </w:rPr>
        <w:t>RSSH</w:t>
      </w:r>
      <w:r w:rsidR="0039496C">
        <w:rPr>
          <w:rFonts w:cs="Arial"/>
          <w:b/>
        </w:rPr>
        <w:t>,</w:t>
      </w:r>
      <w:r w:rsidR="0015208B">
        <w:rPr>
          <w:rFonts w:cs="Arial"/>
          <w:b/>
        </w:rPr>
        <w:t xml:space="preserve"> </w:t>
      </w:r>
      <w:r w:rsidR="00661C8B">
        <w:rPr>
          <w:rFonts w:cs="Arial"/>
          <w:b/>
        </w:rPr>
        <w:t>CSS/</w:t>
      </w:r>
      <w:r w:rsidR="0015208B">
        <w:rPr>
          <w:rFonts w:cs="Arial"/>
          <w:b/>
        </w:rPr>
        <w:t>HRG</w:t>
      </w:r>
      <w:r w:rsidR="001D32A9">
        <w:rPr>
          <w:rFonts w:cs="Arial"/>
        </w:rPr>
        <w:t xml:space="preserve">. </w:t>
      </w:r>
      <w:r w:rsidR="007629F9">
        <w:rPr>
          <w:rFonts w:cs="Arial"/>
        </w:rPr>
        <w:t xml:space="preserve"> </w:t>
      </w:r>
    </w:p>
    <w:p w14:paraId="21B36C43" w14:textId="77777777" w:rsidR="00071C82" w:rsidRPr="00071C82" w:rsidRDefault="00071C82" w:rsidP="00071C82">
      <w:pPr>
        <w:pStyle w:val="ListParagraph"/>
        <w:spacing w:after="0"/>
        <w:ind w:left="360"/>
        <w:jc w:val="both"/>
        <w:rPr>
          <w:rFonts w:cs="Arial"/>
        </w:rPr>
      </w:pPr>
    </w:p>
    <w:tbl>
      <w:tblPr>
        <w:tblStyle w:val="TableGrid30"/>
        <w:tblW w:w="10350" w:type="dxa"/>
        <w:tblInd w:w="-5" w:type="dxa"/>
        <w:tblLook w:val="04A0" w:firstRow="1" w:lastRow="0" w:firstColumn="1" w:lastColumn="0" w:noHBand="0" w:noVBand="1"/>
      </w:tblPr>
      <w:tblGrid>
        <w:gridCol w:w="2448"/>
        <w:gridCol w:w="7902"/>
      </w:tblGrid>
      <w:tr w:rsidR="0015208B" w:rsidRPr="00F13BEF" w14:paraId="1C8F2AD8" w14:textId="77777777" w:rsidTr="00713B46">
        <w:trPr>
          <w:trHeight w:val="260"/>
        </w:trPr>
        <w:tc>
          <w:tcPr>
            <w:tcW w:w="2448" w:type="dxa"/>
            <w:shd w:val="clear" w:color="auto" w:fill="F2F2F2"/>
            <w:vAlign w:val="center"/>
          </w:tcPr>
          <w:p w14:paraId="2B93DFDF" w14:textId="77777777" w:rsidR="0015208B" w:rsidRPr="00BF4BEE" w:rsidRDefault="0015208B" w:rsidP="0015208B">
            <w:pPr>
              <w:spacing w:after="0"/>
            </w:pPr>
            <w:r>
              <w:t xml:space="preserve">Component </w:t>
            </w:r>
          </w:p>
        </w:tc>
        <w:tc>
          <w:tcPr>
            <w:tcW w:w="7902" w:type="dxa"/>
            <w:shd w:val="clear" w:color="auto" w:fill="0070C0"/>
          </w:tcPr>
          <w:p w14:paraId="63004620" w14:textId="77777777" w:rsidR="0015208B" w:rsidRPr="00F13BEF" w:rsidRDefault="0015208B" w:rsidP="0015208B">
            <w:pPr>
              <w:shd w:val="clear" w:color="auto" w:fill="0070C0"/>
              <w:ind w:left="1418" w:hanging="1418"/>
              <w:contextualSpacing/>
              <w:jc w:val="both"/>
              <w:rPr>
                <w:rFonts w:ascii="Calibri" w:hAnsi="Calibri" w:cs="Times New Roman"/>
              </w:rPr>
            </w:pPr>
            <w:r w:rsidRPr="000A7A8A">
              <w:rPr>
                <w:rFonts w:cs="Arial"/>
                <w:b/>
                <w:bCs/>
                <w:color w:val="FFFFFF" w:themeColor="background1"/>
                <w:sz w:val="20"/>
                <w:szCs w:val="20"/>
              </w:rPr>
              <w:t xml:space="preserve">Tuberculosis: increase early TB detection, </w:t>
            </w:r>
            <w:r>
              <w:rPr>
                <w:rFonts w:cs="Arial"/>
                <w:b/>
                <w:bCs/>
                <w:color w:val="FFFFFF" w:themeColor="background1"/>
                <w:sz w:val="20"/>
                <w:szCs w:val="20"/>
              </w:rPr>
              <w:t xml:space="preserve">diagnose and successfully treat </w:t>
            </w:r>
            <w:r w:rsidRPr="000A7A8A">
              <w:rPr>
                <w:rFonts w:cs="Arial"/>
                <w:b/>
                <w:bCs/>
                <w:color w:val="FFFFFF" w:themeColor="background1"/>
                <w:sz w:val="20"/>
                <w:szCs w:val="20"/>
              </w:rPr>
              <w:t>people with DR-TB, including children and prevent new transmission</w:t>
            </w:r>
          </w:p>
        </w:tc>
      </w:tr>
      <w:tr w:rsidR="0015208B" w:rsidRPr="00BF4BEE" w14:paraId="0731BF88" w14:textId="77777777" w:rsidTr="0015208B">
        <w:trPr>
          <w:trHeight w:val="440"/>
        </w:trPr>
        <w:tc>
          <w:tcPr>
            <w:tcW w:w="2448" w:type="dxa"/>
            <w:shd w:val="clear" w:color="auto" w:fill="F2F2F2"/>
            <w:vAlign w:val="center"/>
          </w:tcPr>
          <w:p w14:paraId="3B6B658E" w14:textId="77777777" w:rsidR="0015208B" w:rsidRPr="00BF4BEE" w:rsidRDefault="0015208B" w:rsidP="0015208B">
            <w:pPr>
              <w:spacing w:after="0"/>
            </w:pPr>
            <w:r>
              <w:t>Module/i</w:t>
            </w:r>
            <w:r w:rsidRPr="00BF4BEE">
              <w:t>nterventions</w:t>
            </w:r>
          </w:p>
        </w:tc>
        <w:tc>
          <w:tcPr>
            <w:tcW w:w="7902" w:type="dxa"/>
          </w:tcPr>
          <w:p w14:paraId="1B2F9613" w14:textId="7FB7E8A6" w:rsidR="00FB12E5" w:rsidRDefault="00500903" w:rsidP="00FB12E5">
            <w:pPr>
              <w:shd w:val="clear" w:color="auto" w:fill="FFFFFF" w:themeFill="background1"/>
              <w:jc w:val="both"/>
              <w:rPr>
                <w:rFonts w:cs="Arial"/>
                <w:color w:val="000000"/>
                <w:sz w:val="20"/>
                <w:szCs w:val="20"/>
              </w:rPr>
            </w:pPr>
            <w:r>
              <w:rPr>
                <w:rFonts w:cs="Arial"/>
                <w:color w:val="000000"/>
                <w:sz w:val="20"/>
                <w:szCs w:val="20"/>
              </w:rPr>
              <w:t>The National TB Program 2021-2025</w:t>
            </w:r>
            <w:r w:rsidR="00FB12E5">
              <w:rPr>
                <w:rFonts w:cs="Arial"/>
                <w:color w:val="000000"/>
                <w:sz w:val="20"/>
                <w:szCs w:val="20"/>
              </w:rPr>
              <w:t xml:space="preserve"> </w:t>
            </w:r>
            <w:r w:rsidR="000873DD">
              <w:rPr>
                <w:rFonts w:cs="Arial"/>
                <w:color w:val="000000"/>
                <w:sz w:val="20"/>
                <w:szCs w:val="20"/>
              </w:rPr>
              <w:t>g</w:t>
            </w:r>
            <w:r w:rsidR="00FB12E5">
              <w:rPr>
                <w:rFonts w:cs="Arial"/>
                <w:color w:val="000000"/>
                <w:sz w:val="20"/>
                <w:szCs w:val="20"/>
              </w:rPr>
              <w:t xml:space="preserve">oal is to reduce TB Burden, reduce mortality by 75% and incidence by 50% and reduce catastrophic costs of patients with TB. </w:t>
            </w:r>
            <w:r>
              <w:rPr>
                <w:rFonts w:cs="Arial"/>
                <w:color w:val="000000"/>
                <w:sz w:val="20"/>
                <w:szCs w:val="20"/>
              </w:rPr>
              <w:t xml:space="preserve"> </w:t>
            </w:r>
            <w:r w:rsidR="00FB12E5">
              <w:rPr>
                <w:rFonts w:cs="Arial"/>
                <w:color w:val="000000"/>
                <w:sz w:val="20"/>
                <w:szCs w:val="20"/>
              </w:rPr>
              <w:t>It sets ambitious targets</w:t>
            </w:r>
            <w:r w:rsidR="007F1B02">
              <w:rPr>
                <w:rFonts w:cs="Arial"/>
                <w:color w:val="000000"/>
                <w:sz w:val="20"/>
                <w:szCs w:val="20"/>
              </w:rPr>
              <w:t xml:space="preserve">: </w:t>
            </w:r>
          </w:p>
          <w:p w14:paraId="766CBA8F" w14:textId="71BBD22D" w:rsidR="00FB12E5" w:rsidRDefault="007F1B02" w:rsidP="0015208B">
            <w:pPr>
              <w:shd w:val="clear" w:color="auto" w:fill="FFFFFF" w:themeFill="background1"/>
              <w:rPr>
                <w:rFonts w:cs="Arial"/>
                <w:color w:val="000000"/>
                <w:sz w:val="20"/>
                <w:szCs w:val="20"/>
              </w:rPr>
            </w:pPr>
            <w:r>
              <w:rPr>
                <w:rFonts w:cs="Arial"/>
                <w:color w:val="000000"/>
                <w:sz w:val="20"/>
                <w:szCs w:val="20"/>
              </w:rPr>
              <w:t>(1)</w:t>
            </w:r>
            <w:r w:rsidR="00FB12E5">
              <w:rPr>
                <w:rFonts w:cs="Arial"/>
                <w:color w:val="000000"/>
                <w:sz w:val="20"/>
                <w:szCs w:val="20"/>
              </w:rPr>
              <w:t xml:space="preserve"> ensure</w:t>
            </w:r>
            <w:r w:rsidR="00500903">
              <w:rPr>
                <w:rFonts w:cs="Arial"/>
                <w:color w:val="000000"/>
                <w:sz w:val="20"/>
                <w:szCs w:val="20"/>
              </w:rPr>
              <w:t xml:space="preserve"> 90% of contacts and key populat</w:t>
            </w:r>
            <w:r>
              <w:rPr>
                <w:rFonts w:cs="Arial"/>
                <w:color w:val="000000"/>
                <w:sz w:val="20"/>
                <w:szCs w:val="20"/>
              </w:rPr>
              <w:t xml:space="preserve">ions screened for TB, </w:t>
            </w:r>
          </w:p>
          <w:p w14:paraId="16AC6EC2" w14:textId="77777777" w:rsidR="00FB12E5" w:rsidRDefault="007F1B02" w:rsidP="0015208B">
            <w:pPr>
              <w:shd w:val="clear" w:color="auto" w:fill="FFFFFF" w:themeFill="background1"/>
              <w:rPr>
                <w:rFonts w:cs="Arial"/>
                <w:color w:val="000000"/>
                <w:sz w:val="20"/>
                <w:szCs w:val="20"/>
              </w:rPr>
            </w:pPr>
            <w:r>
              <w:rPr>
                <w:rFonts w:cs="Arial"/>
                <w:color w:val="000000"/>
                <w:sz w:val="20"/>
                <w:szCs w:val="20"/>
              </w:rPr>
              <w:t xml:space="preserve">(2) early TB diagnosis 90% of estimated cases, </w:t>
            </w:r>
          </w:p>
          <w:p w14:paraId="7874222B" w14:textId="77777777" w:rsidR="00FB12E5" w:rsidRDefault="007F1B02" w:rsidP="0015208B">
            <w:pPr>
              <w:shd w:val="clear" w:color="auto" w:fill="FFFFFF" w:themeFill="background1"/>
              <w:rPr>
                <w:rFonts w:cs="Arial"/>
                <w:color w:val="000000"/>
                <w:sz w:val="20"/>
                <w:szCs w:val="20"/>
              </w:rPr>
            </w:pPr>
            <w:r>
              <w:rPr>
                <w:rFonts w:cs="Arial"/>
                <w:color w:val="000000"/>
                <w:sz w:val="20"/>
                <w:szCs w:val="20"/>
              </w:rPr>
              <w:t xml:space="preserve">(3) ensure treatment success for 90% of DS TB and 80% of DR TB, including children, based on a people-centered model of care; </w:t>
            </w:r>
          </w:p>
          <w:p w14:paraId="722B4CDE" w14:textId="77777777" w:rsidR="00FB12E5" w:rsidRDefault="007F1B02" w:rsidP="0015208B">
            <w:pPr>
              <w:shd w:val="clear" w:color="auto" w:fill="FFFFFF" w:themeFill="background1"/>
              <w:rPr>
                <w:rFonts w:cs="Arial"/>
                <w:color w:val="000000"/>
                <w:sz w:val="20"/>
                <w:szCs w:val="20"/>
              </w:rPr>
            </w:pPr>
            <w:r>
              <w:rPr>
                <w:rFonts w:cs="Arial"/>
                <w:color w:val="000000"/>
                <w:sz w:val="20"/>
                <w:szCs w:val="20"/>
              </w:rPr>
              <w:t xml:space="preserve">(4) universal coverage to manage co-morbidities, case management, collaboration with HIV, Hepatitis, Drug, Alcohol, Diabetes, Mental Health national programs, penitentiary sector and civil society </w:t>
            </w:r>
          </w:p>
          <w:p w14:paraId="3CCFCC59" w14:textId="77777777" w:rsidR="00FB12E5" w:rsidRDefault="007F1B02" w:rsidP="0015208B">
            <w:pPr>
              <w:shd w:val="clear" w:color="auto" w:fill="FFFFFF" w:themeFill="background1"/>
              <w:rPr>
                <w:rFonts w:cs="Arial"/>
                <w:color w:val="000000"/>
                <w:sz w:val="20"/>
                <w:szCs w:val="20"/>
              </w:rPr>
            </w:pPr>
            <w:r>
              <w:rPr>
                <w:rFonts w:cs="Arial"/>
                <w:color w:val="000000"/>
                <w:sz w:val="20"/>
                <w:szCs w:val="20"/>
              </w:rPr>
              <w:t>(5)</w:t>
            </w:r>
            <w:r w:rsidR="00FB12E5">
              <w:rPr>
                <w:rFonts w:cs="Arial"/>
                <w:color w:val="000000"/>
                <w:sz w:val="20"/>
                <w:szCs w:val="20"/>
              </w:rPr>
              <w:t xml:space="preserve"> reduce </w:t>
            </w:r>
            <w:r>
              <w:rPr>
                <w:rFonts w:cs="Arial"/>
                <w:color w:val="000000"/>
                <w:sz w:val="20"/>
                <w:szCs w:val="20"/>
              </w:rPr>
              <w:t xml:space="preserve">TB infection through prevention measure and &gt;95% immunization rate in newborns; </w:t>
            </w:r>
          </w:p>
          <w:p w14:paraId="2AA66D60" w14:textId="5553B7DB" w:rsidR="00FB12E5" w:rsidRDefault="007F1B02" w:rsidP="0015208B">
            <w:pPr>
              <w:shd w:val="clear" w:color="auto" w:fill="FFFFFF" w:themeFill="background1"/>
              <w:rPr>
                <w:rFonts w:cs="Arial"/>
                <w:color w:val="000000"/>
                <w:sz w:val="20"/>
                <w:szCs w:val="20"/>
              </w:rPr>
            </w:pPr>
            <w:r>
              <w:rPr>
                <w:rFonts w:cs="Arial"/>
                <w:color w:val="000000"/>
                <w:sz w:val="20"/>
                <w:szCs w:val="20"/>
              </w:rPr>
              <w:t>(6)</w:t>
            </w:r>
            <w:r w:rsidR="00FB12E5">
              <w:rPr>
                <w:rFonts w:cs="Arial"/>
                <w:color w:val="000000"/>
                <w:sz w:val="20"/>
                <w:szCs w:val="20"/>
              </w:rPr>
              <w:t xml:space="preserve"> adopt</w:t>
            </w:r>
            <w:r>
              <w:rPr>
                <w:rFonts w:cs="Arial"/>
                <w:color w:val="000000"/>
                <w:sz w:val="20"/>
                <w:szCs w:val="20"/>
              </w:rPr>
              <w:t xml:space="preserve"> policies to reduce TB burden, reducing social determinants, service costing and improving payment mechanisms, with involvement of CSOs and key affected populations; </w:t>
            </w:r>
          </w:p>
          <w:p w14:paraId="60CF60FE" w14:textId="72CDE0A2" w:rsidR="00500903" w:rsidRDefault="007F1B02" w:rsidP="0015208B">
            <w:pPr>
              <w:shd w:val="clear" w:color="auto" w:fill="FFFFFF" w:themeFill="background1"/>
              <w:rPr>
                <w:rFonts w:cs="Arial"/>
                <w:color w:val="000000"/>
                <w:sz w:val="20"/>
                <w:szCs w:val="20"/>
              </w:rPr>
            </w:pPr>
            <w:r>
              <w:rPr>
                <w:rFonts w:cs="Arial"/>
                <w:color w:val="000000"/>
                <w:sz w:val="20"/>
                <w:szCs w:val="20"/>
              </w:rPr>
              <w:t>(7)</w:t>
            </w:r>
            <w:r w:rsidR="00FB12E5">
              <w:rPr>
                <w:rFonts w:cs="Arial"/>
                <w:color w:val="000000"/>
                <w:sz w:val="20"/>
                <w:szCs w:val="20"/>
              </w:rPr>
              <w:t xml:space="preserve"> accelerate response </w:t>
            </w:r>
            <w:r>
              <w:rPr>
                <w:rFonts w:cs="Arial"/>
                <w:color w:val="000000"/>
                <w:sz w:val="20"/>
                <w:szCs w:val="20"/>
              </w:rPr>
              <w:t>through adoption of innovations and improved data for decision making</w:t>
            </w:r>
          </w:p>
          <w:p w14:paraId="260E82A4" w14:textId="1BA8C34B" w:rsidR="00500903" w:rsidRDefault="0015208B" w:rsidP="00FB12E5">
            <w:pPr>
              <w:shd w:val="clear" w:color="auto" w:fill="FFFFFF" w:themeFill="background1"/>
              <w:jc w:val="both"/>
              <w:rPr>
                <w:rFonts w:cs="Arial"/>
                <w:color w:val="000000"/>
                <w:sz w:val="20"/>
                <w:szCs w:val="20"/>
              </w:rPr>
            </w:pPr>
            <w:r>
              <w:rPr>
                <w:rFonts w:cs="Arial"/>
                <w:color w:val="000000"/>
                <w:sz w:val="20"/>
                <w:szCs w:val="20"/>
              </w:rPr>
              <w:t>The funding request prioritized Integrated People Centered Care and Prevention Pillar related activities as part of three objectives in TB component, while Pillar 2 Bold Policies and Supportive Systems and Intensified Research and Innovation are included in the RSSH and HRG component.</w:t>
            </w:r>
            <w:r w:rsidR="00FB12E5">
              <w:rPr>
                <w:rFonts w:cs="Arial"/>
                <w:color w:val="000000"/>
                <w:sz w:val="20"/>
                <w:szCs w:val="20"/>
              </w:rPr>
              <w:t xml:space="preserve"> The main focus of TB </w:t>
            </w:r>
            <w:r w:rsidR="006677A6">
              <w:rPr>
                <w:rFonts w:cs="Arial"/>
                <w:color w:val="000000"/>
                <w:sz w:val="20"/>
                <w:szCs w:val="20"/>
              </w:rPr>
              <w:t>component</w:t>
            </w:r>
            <w:r w:rsidR="00FB12E5">
              <w:rPr>
                <w:rFonts w:cs="Arial"/>
                <w:color w:val="000000"/>
                <w:sz w:val="20"/>
                <w:szCs w:val="20"/>
              </w:rPr>
              <w:t xml:space="preserve"> is further strengthening screening of high-risk groups, accelerate progress in provision of people-centered </w:t>
            </w:r>
            <w:r w:rsidR="006677A6">
              <w:rPr>
                <w:rFonts w:cs="Arial"/>
                <w:color w:val="000000"/>
                <w:sz w:val="20"/>
                <w:szCs w:val="20"/>
              </w:rPr>
              <w:t>health</w:t>
            </w:r>
            <w:r w:rsidR="00FB12E5">
              <w:rPr>
                <w:rFonts w:cs="Arial"/>
                <w:color w:val="000000"/>
                <w:sz w:val="20"/>
                <w:szCs w:val="20"/>
              </w:rPr>
              <w:t xml:space="preserve"> services, continue to scale-up the use of new regimens</w:t>
            </w:r>
            <w:r w:rsidR="006677A6">
              <w:rPr>
                <w:rFonts w:cs="Arial"/>
                <w:color w:val="000000"/>
                <w:sz w:val="20"/>
                <w:szCs w:val="20"/>
              </w:rPr>
              <w:t xml:space="preserve"> with particular focus on efforts in Transnistria.</w:t>
            </w:r>
            <w:r w:rsidR="00FB12E5">
              <w:rPr>
                <w:rFonts w:cs="Arial"/>
                <w:color w:val="000000"/>
                <w:sz w:val="20"/>
                <w:szCs w:val="20"/>
              </w:rPr>
              <w:t xml:space="preserve"> </w:t>
            </w:r>
            <w:r w:rsidR="00AA25E4">
              <w:rPr>
                <w:rFonts w:cs="Arial"/>
                <w:color w:val="000000"/>
                <w:sz w:val="20"/>
                <w:szCs w:val="20"/>
              </w:rPr>
              <w:t xml:space="preserve">It aligns to the recommendations of TB Evaluation Report </w:t>
            </w:r>
            <w:r w:rsidR="00ED4670">
              <w:rPr>
                <w:rFonts w:cs="Arial"/>
                <w:color w:val="000000"/>
                <w:sz w:val="20"/>
                <w:szCs w:val="20"/>
              </w:rPr>
              <w:t xml:space="preserve">to strengthen active case finding for key populations, reduce hospitalization and improve outpatient treatment provision, provide NGOs more stable financing, develop new electronic HMIS using a modular approach, conduct a costing TB exercise and consider procurement through GDF or </w:t>
            </w:r>
            <w:r w:rsidR="00ED4670" w:rsidRPr="0018464A">
              <w:rPr>
                <w:rFonts w:cs="Arial"/>
                <w:color w:val="000000"/>
                <w:sz w:val="20"/>
                <w:szCs w:val="20"/>
              </w:rPr>
              <w:t xml:space="preserve">Wambo </w:t>
            </w:r>
            <w:r w:rsidR="00AA25E4" w:rsidRPr="0018464A">
              <w:rPr>
                <w:rFonts w:cs="Arial"/>
                <w:color w:val="000000"/>
                <w:sz w:val="20"/>
                <w:szCs w:val="20"/>
              </w:rPr>
              <w:t>(Annex</w:t>
            </w:r>
            <w:r w:rsidR="0018464A" w:rsidRPr="0018464A">
              <w:rPr>
                <w:rFonts w:cs="Arial"/>
                <w:color w:val="000000"/>
                <w:sz w:val="20"/>
                <w:szCs w:val="20"/>
              </w:rPr>
              <w:t xml:space="preserve"> 7</w:t>
            </w:r>
            <w:r w:rsidR="00AA25E4" w:rsidRPr="0018464A">
              <w:rPr>
                <w:rFonts w:cs="Arial"/>
                <w:color w:val="000000"/>
                <w:sz w:val="20"/>
                <w:szCs w:val="20"/>
              </w:rPr>
              <w:t>).</w:t>
            </w:r>
          </w:p>
          <w:p w14:paraId="50445430" w14:textId="77777777" w:rsidR="0015208B" w:rsidRPr="00F13BEF" w:rsidRDefault="0015208B" w:rsidP="0015208B">
            <w:pPr>
              <w:shd w:val="clear" w:color="auto" w:fill="0070C0"/>
              <w:ind w:left="1418" w:hanging="1418"/>
              <w:contextualSpacing/>
              <w:jc w:val="both"/>
              <w:rPr>
                <w:rFonts w:cs="Arial"/>
                <w:b/>
                <w:color w:val="FFFFFF" w:themeColor="background1"/>
                <w:sz w:val="20"/>
                <w:szCs w:val="20"/>
              </w:rPr>
            </w:pPr>
            <w:r w:rsidRPr="00F13BEF">
              <w:rPr>
                <w:rFonts w:cs="Arial"/>
                <w:b/>
                <w:bCs/>
                <w:color w:val="FFFFFF" w:themeColor="background1"/>
                <w:sz w:val="20"/>
                <w:szCs w:val="20"/>
              </w:rPr>
              <w:t>Universal access to timely and quality TB detection and diagnosis of TB</w:t>
            </w:r>
          </w:p>
          <w:p w14:paraId="685E8EFA" w14:textId="220E0D53" w:rsidR="0015208B" w:rsidRDefault="0015208B" w:rsidP="0015208B">
            <w:pPr>
              <w:pStyle w:val="Default"/>
              <w:jc w:val="both"/>
              <w:rPr>
                <w:color w:val="auto"/>
                <w:sz w:val="20"/>
                <w:szCs w:val="20"/>
              </w:rPr>
            </w:pPr>
            <w:r>
              <w:rPr>
                <w:color w:val="auto"/>
                <w:sz w:val="20"/>
                <w:szCs w:val="20"/>
              </w:rPr>
              <w:t>The funding request will support the key objective of universal and timely access to and targeted case finding to achieve the ambitious target of reaching &gt;90%</w:t>
            </w:r>
            <w:r w:rsidRPr="00381CD3">
              <w:rPr>
                <w:color w:val="auto"/>
                <w:sz w:val="20"/>
                <w:szCs w:val="20"/>
              </w:rPr>
              <w:t xml:space="preserve">TB and DR-TB cases.   </w:t>
            </w:r>
            <w:r>
              <w:rPr>
                <w:color w:val="auto"/>
                <w:sz w:val="20"/>
                <w:szCs w:val="20"/>
              </w:rPr>
              <w:t>Compared to current allocation, this component prioritizes particular focus on: (</w:t>
            </w:r>
            <w:r w:rsidR="00FB12E5">
              <w:rPr>
                <w:color w:val="auto"/>
                <w:sz w:val="20"/>
                <w:szCs w:val="20"/>
              </w:rPr>
              <w:t>a</w:t>
            </w:r>
            <w:r>
              <w:rPr>
                <w:color w:val="auto"/>
                <w:sz w:val="20"/>
                <w:szCs w:val="20"/>
              </w:rPr>
              <w:t>) TB screening and intensified case finding including outreach and community-based approaches and (</w:t>
            </w:r>
            <w:r w:rsidR="00FB12E5">
              <w:rPr>
                <w:color w:val="auto"/>
                <w:sz w:val="20"/>
                <w:szCs w:val="20"/>
              </w:rPr>
              <w:t>b</w:t>
            </w:r>
            <w:r>
              <w:rPr>
                <w:color w:val="auto"/>
                <w:sz w:val="20"/>
                <w:szCs w:val="20"/>
              </w:rPr>
              <w:t>) Rapid and more sensitive diagnostics, with innovative technologies.   I</w:t>
            </w:r>
            <w:r w:rsidRPr="00381CD3">
              <w:rPr>
                <w:color w:val="auto"/>
                <w:sz w:val="20"/>
                <w:szCs w:val="20"/>
              </w:rPr>
              <w:t xml:space="preserve">nterventions </w:t>
            </w:r>
            <w:r>
              <w:rPr>
                <w:color w:val="auto"/>
                <w:sz w:val="20"/>
                <w:szCs w:val="20"/>
              </w:rPr>
              <w:t xml:space="preserve">will scale </w:t>
            </w:r>
            <w:r w:rsidRPr="00381CD3">
              <w:rPr>
                <w:color w:val="auto"/>
                <w:sz w:val="20"/>
                <w:szCs w:val="20"/>
              </w:rPr>
              <w:t xml:space="preserve">up active TB case finding among </w:t>
            </w:r>
            <w:r>
              <w:rPr>
                <w:color w:val="auto"/>
                <w:sz w:val="20"/>
                <w:szCs w:val="20"/>
              </w:rPr>
              <w:t xml:space="preserve">key population groups and those hard to reach by primary care case finding efforts, will maintain high coverage of </w:t>
            </w:r>
            <w:r w:rsidRPr="00381CD3">
              <w:rPr>
                <w:color w:val="auto"/>
                <w:sz w:val="20"/>
                <w:szCs w:val="20"/>
              </w:rPr>
              <w:t>rapid molecular diagnostics at the peri</w:t>
            </w:r>
            <w:r>
              <w:rPr>
                <w:color w:val="auto"/>
                <w:sz w:val="20"/>
                <w:szCs w:val="20"/>
              </w:rPr>
              <w:t>pheral serv</w:t>
            </w:r>
            <w:r w:rsidR="00FB12E5">
              <w:rPr>
                <w:color w:val="auto"/>
                <w:sz w:val="20"/>
                <w:szCs w:val="20"/>
              </w:rPr>
              <w:t xml:space="preserve">ices delivery level and </w:t>
            </w:r>
            <w:r w:rsidRPr="00381CD3">
              <w:rPr>
                <w:color w:val="auto"/>
                <w:sz w:val="20"/>
                <w:szCs w:val="20"/>
              </w:rPr>
              <w:t>effective and efficient specim</w:t>
            </w:r>
            <w:r w:rsidR="00FB12E5">
              <w:rPr>
                <w:color w:val="auto"/>
                <w:sz w:val="20"/>
                <w:szCs w:val="20"/>
              </w:rPr>
              <w:t>en transportation system; ensure</w:t>
            </w:r>
            <w:r w:rsidRPr="00381CD3">
              <w:rPr>
                <w:color w:val="auto"/>
                <w:sz w:val="20"/>
                <w:szCs w:val="20"/>
              </w:rPr>
              <w:t xml:space="preserve"> high quality of implementation of WHO-recommended diagnostics at the </w:t>
            </w:r>
            <w:r>
              <w:rPr>
                <w:color w:val="auto"/>
                <w:sz w:val="20"/>
                <w:szCs w:val="20"/>
              </w:rPr>
              <w:t>reference laboratories. A</w:t>
            </w:r>
            <w:r w:rsidRPr="00381CD3">
              <w:rPr>
                <w:color w:val="auto"/>
                <w:sz w:val="20"/>
                <w:szCs w:val="20"/>
              </w:rPr>
              <w:t>ctivities have appropriate focus on KPs</w:t>
            </w:r>
            <w:r>
              <w:rPr>
                <w:color w:val="auto"/>
                <w:sz w:val="20"/>
                <w:szCs w:val="20"/>
              </w:rPr>
              <w:t>.</w:t>
            </w:r>
          </w:p>
          <w:p w14:paraId="0E9FE8FC" w14:textId="77777777" w:rsidR="0015208B" w:rsidRDefault="0015208B" w:rsidP="0015208B">
            <w:pPr>
              <w:pStyle w:val="Default"/>
              <w:rPr>
                <w:b/>
                <w:sz w:val="20"/>
                <w:szCs w:val="20"/>
              </w:rPr>
            </w:pPr>
          </w:p>
          <w:p w14:paraId="27B9CF0F" w14:textId="1452E733" w:rsidR="0015208B" w:rsidRDefault="0015208B" w:rsidP="0015208B">
            <w:pPr>
              <w:spacing w:after="0" w:line="240" w:lineRule="auto"/>
              <w:jc w:val="both"/>
              <w:rPr>
                <w:rFonts w:cs="Arial"/>
                <w:color w:val="000000"/>
                <w:sz w:val="20"/>
                <w:szCs w:val="20"/>
              </w:rPr>
            </w:pPr>
            <w:r>
              <w:rPr>
                <w:rFonts w:cs="Arial"/>
                <w:b/>
                <w:color w:val="000000"/>
                <w:sz w:val="20"/>
                <w:szCs w:val="20"/>
              </w:rPr>
              <w:t>TB screening and active case finding</w:t>
            </w:r>
            <w:r w:rsidRPr="00CB4049">
              <w:rPr>
                <w:rFonts w:cs="Arial"/>
                <w:b/>
                <w:color w:val="000000"/>
                <w:sz w:val="20"/>
                <w:szCs w:val="20"/>
              </w:rPr>
              <w:t xml:space="preserve"> in key populations</w:t>
            </w:r>
            <w:r>
              <w:rPr>
                <w:rFonts w:cs="Arial"/>
                <w:color w:val="000000"/>
                <w:sz w:val="20"/>
                <w:szCs w:val="20"/>
              </w:rPr>
              <w:t xml:space="preserve"> (homeless, people in detention, PLHIV, PWID and other subpopulations that are hard-to-reach for primary care) through civil society engagement. </w:t>
            </w:r>
            <w:r w:rsidRPr="0095133B">
              <w:rPr>
                <w:rFonts w:cs="Arial"/>
                <w:color w:val="000000"/>
                <w:sz w:val="20"/>
                <w:szCs w:val="20"/>
              </w:rPr>
              <w:t>Several NGOs received funding for ACF in KP such as homeless and prisoners.</w:t>
            </w:r>
            <w:r>
              <w:rPr>
                <w:rFonts w:cs="Arial"/>
                <w:color w:val="000000"/>
                <w:sz w:val="20"/>
                <w:szCs w:val="20"/>
              </w:rPr>
              <w:t xml:space="preserve"> Data analysis shows that </w:t>
            </w:r>
            <w:r w:rsidRPr="0065713A">
              <w:rPr>
                <w:rFonts w:cs="Arial"/>
                <w:color w:val="000000"/>
                <w:sz w:val="20"/>
                <w:szCs w:val="20"/>
              </w:rPr>
              <w:t xml:space="preserve">TB patients diagnosed through contact investigation (done by primary care providers) was responsible for 8-9% of all TB notifications in the years 2016-2018; and prisoners, homeless and PWUD combined for 4-5% of TB notifications in the same period. </w:t>
            </w:r>
            <w:r>
              <w:rPr>
                <w:rFonts w:cs="Arial"/>
                <w:color w:val="000000"/>
                <w:sz w:val="20"/>
                <w:szCs w:val="20"/>
              </w:rPr>
              <w:t xml:space="preserve">Further scale-up of screening in key populations via CSO is essential in closing the gaps in early detection.  </w:t>
            </w:r>
            <w:r w:rsidR="005457B4">
              <w:rPr>
                <w:rFonts w:cs="Arial"/>
                <w:color w:val="000000"/>
                <w:sz w:val="20"/>
                <w:szCs w:val="20"/>
              </w:rPr>
              <w:t>This will be a CSO-provided activity to ensure outreach and client navigation.</w:t>
            </w:r>
            <w:r>
              <w:rPr>
                <w:rFonts w:cs="Arial"/>
                <w:color w:val="000000"/>
                <w:sz w:val="20"/>
                <w:szCs w:val="20"/>
              </w:rPr>
              <w:t xml:space="preserve">  </w:t>
            </w:r>
            <w:r w:rsidRPr="00FB12E5">
              <w:rPr>
                <w:rFonts w:cs="Arial"/>
                <w:color w:val="000000"/>
                <w:sz w:val="20"/>
                <w:szCs w:val="20"/>
              </w:rPr>
              <w:t xml:space="preserve">Expected coverage </w:t>
            </w:r>
            <w:r w:rsidR="00ED4670" w:rsidRPr="005457B4">
              <w:rPr>
                <w:rFonts w:cs="Arial"/>
                <w:color w:val="000000"/>
                <w:sz w:val="20"/>
                <w:szCs w:val="20"/>
              </w:rPr>
              <w:t xml:space="preserve">is: 20,000 PWID, 11,800 homeless, 2,000 Roma, 7,000 migrants and 1,000 people with disabilities. </w:t>
            </w:r>
          </w:p>
          <w:p w14:paraId="7B097B2F" w14:textId="2B13FCEC" w:rsidR="0015208B" w:rsidRDefault="0015208B" w:rsidP="0015208B">
            <w:pPr>
              <w:spacing w:after="0" w:line="240" w:lineRule="auto"/>
              <w:jc w:val="both"/>
              <w:rPr>
                <w:rFonts w:cs="Arial"/>
                <w:color w:val="000000"/>
                <w:sz w:val="20"/>
                <w:szCs w:val="20"/>
              </w:rPr>
            </w:pPr>
            <w:r w:rsidRPr="00C13314">
              <w:rPr>
                <w:rFonts w:cs="Arial"/>
                <w:b/>
                <w:color w:val="000000"/>
                <w:sz w:val="20"/>
                <w:szCs w:val="20"/>
              </w:rPr>
              <w:lastRenderedPageBreak/>
              <w:t>Mobile X-ray using artificial intelligence (AI) technology:</w:t>
            </w:r>
            <w:r>
              <w:rPr>
                <w:rFonts w:cs="Arial"/>
                <w:color w:val="000000"/>
                <w:sz w:val="20"/>
                <w:szCs w:val="20"/>
              </w:rPr>
              <w:t xml:space="preserve"> the current 7 mobile units servicing both Right and Left bank</w:t>
            </w:r>
            <w:r w:rsidR="00FB12E5">
              <w:rPr>
                <w:rFonts w:cs="Arial"/>
                <w:color w:val="000000"/>
                <w:sz w:val="20"/>
                <w:szCs w:val="20"/>
              </w:rPr>
              <w:t>s</w:t>
            </w:r>
            <w:r>
              <w:rPr>
                <w:rFonts w:cs="Arial"/>
                <w:color w:val="000000"/>
                <w:sz w:val="20"/>
                <w:szCs w:val="20"/>
              </w:rPr>
              <w:t xml:space="preserve"> and the prison sector will be connected to AI, as well as staff capacity building and developing needed regulation to implement AI in Moldova. </w:t>
            </w:r>
            <w:r w:rsidR="00FB12E5">
              <w:rPr>
                <w:rFonts w:cs="Arial"/>
                <w:color w:val="000000"/>
                <w:sz w:val="20"/>
                <w:szCs w:val="20"/>
              </w:rPr>
              <w:t>A current b</w:t>
            </w:r>
            <w:r>
              <w:rPr>
                <w:rFonts w:cs="Arial"/>
                <w:color w:val="000000"/>
                <w:sz w:val="20"/>
                <w:szCs w:val="20"/>
              </w:rPr>
              <w:t>ottleneck</w:t>
            </w:r>
            <w:r w:rsidR="00FB12E5">
              <w:rPr>
                <w:rFonts w:cs="Arial"/>
                <w:color w:val="000000"/>
                <w:sz w:val="20"/>
                <w:szCs w:val="20"/>
              </w:rPr>
              <w:t xml:space="preserve"> a time lag needed to</w:t>
            </w:r>
            <w:r>
              <w:rPr>
                <w:rFonts w:cs="Arial"/>
                <w:color w:val="000000"/>
                <w:sz w:val="20"/>
                <w:szCs w:val="20"/>
              </w:rPr>
              <w:t xml:space="preserve"> process X-ray results: X-Ray images need to be downloaded and interpreted, </w:t>
            </w:r>
            <w:r w:rsidR="00FB12E5">
              <w:rPr>
                <w:rFonts w:cs="Arial"/>
                <w:color w:val="000000"/>
                <w:sz w:val="20"/>
                <w:szCs w:val="20"/>
              </w:rPr>
              <w:t xml:space="preserve">delivering </w:t>
            </w:r>
            <w:r>
              <w:rPr>
                <w:rFonts w:cs="Arial"/>
                <w:color w:val="000000"/>
                <w:sz w:val="20"/>
                <w:szCs w:val="20"/>
              </w:rPr>
              <w:t>results</w:t>
            </w:r>
            <w:r w:rsidR="00FB12E5">
              <w:rPr>
                <w:rFonts w:cs="Arial"/>
                <w:color w:val="000000"/>
                <w:sz w:val="20"/>
                <w:szCs w:val="20"/>
              </w:rPr>
              <w:t xml:space="preserve"> back</w:t>
            </w:r>
            <w:r>
              <w:rPr>
                <w:rFonts w:cs="Arial"/>
                <w:color w:val="000000"/>
                <w:sz w:val="20"/>
                <w:szCs w:val="20"/>
              </w:rPr>
              <w:t xml:space="preserve"> can take </w:t>
            </w:r>
            <w:r w:rsidR="00FB12E5">
              <w:rPr>
                <w:rFonts w:cs="Arial"/>
                <w:color w:val="000000"/>
                <w:sz w:val="20"/>
                <w:szCs w:val="20"/>
              </w:rPr>
              <w:t>two</w:t>
            </w:r>
            <w:r>
              <w:rPr>
                <w:rFonts w:cs="Arial"/>
                <w:color w:val="000000"/>
                <w:sz w:val="20"/>
                <w:szCs w:val="20"/>
              </w:rPr>
              <w:t xml:space="preserve"> weeks. AI technology will increase throughput and timeliness of results. The costs of mobile van operations (staff and operations) are fully covered by the national resources. </w:t>
            </w:r>
          </w:p>
          <w:p w14:paraId="35C7B21C" w14:textId="77777777" w:rsidR="0015208B" w:rsidRDefault="0015208B" w:rsidP="0015208B">
            <w:pPr>
              <w:pStyle w:val="Default"/>
              <w:rPr>
                <w:b/>
                <w:sz w:val="20"/>
                <w:szCs w:val="20"/>
              </w:rPr>
            </w:pPr>
          </w:p>
          <w:p w14:paraId="3929E0BC" w14:textId="77777777" w:rsidR="0037621C" w:rsidRPr="00D732E5" w:rsidRDefault="0015208B" w:rsidP="0037621C">
            <w:pPr>
              <w:jc w:val="both"/>
              <w:rPr>
                <w:rFonts w:cstheme="minorHAnsi"/>
              </w:rPr>
            </w:pPr>
            <w:r>
              <w:rPr>
                <w:b/>
                <w:sz w:val="20"/>
                <w:szCs w:val="20"/>
              </w:rPr>
              <w:t xml:space="preserve">Maintain universal access </w:t>
            </w:r>
            <w:r w:rsidRPr="00CB4049">
              <w:rPr>
                <w:b/>
                <w:sz w:val="20"/>
                <w:szCs w:val="20"/>
              </w:rPr>
              <w:t>to rapid molecular testing.</w:t>
            </w:r>
            <w:r w:rsidRPr="005648C5">
              <w:rPr>
                <w:sz w:val="20"/>
                <w:szCs w:val="20"/>
              </w:rPr>
              <w:t xml:space="preserve"> </w:t>
            </w:r>
            <w:r>
              <w:rPr>
                <w:sz w:val="20"/>
                <w:szCs w:val="20"/>
              </w:rPr>
              <w:t xml:space="preserve">Moldova has achieved universal access to rapid molecular testing using Xpert technology. The funding request includes support for 100% of needs of Xpert for Left Bank and </w:t>
            </w:r>
            <w:r w:rsidR="00D178CB" w:rsidRPr="00D178CB">
              <w:rPr>
                <w:sz w:val="20"/>
                <w:szCs w:val="20"/>
              </w:rPr>
              <w:t>55</w:t>
            </w:r>
            <w:r w:rsidR="00D178CB">
              <w:rPr>
                <w:sz w:val="20"/>
                <w:szCs w:val="20"/>
              </w:rPr>
              <w:t>-5</w:t>
            </w:r>
            <w:r w:rsidRPr="00D178CB">
              <w:rPr>
                <w:sz w:val="20"/>
                <w:szCs w:val="20"/>
              </w:rPr>
              <w:t>0-</w:t>
            </w:r>
            <w:r w:rsidR="00D178CB" w:rsidRPr="00D178CB">
              <w:rPr>
                <w:sz w:val="20"/>
                <w:szCs w:val="20"/>
              </w:rPr>
              <w:t>45</w:t>
            </w:r>
            <w:r w:rsidRPr="00D178CB">
              <w:rPr>
                <w:sz w:val="20"/>
                <w:szCs w:val="20"/>
              </w:rPr>
              <w:t>%</w:t>
            </w:r>
            <w:r>
              <w:rPr>
                <w:sz w:val="20"/>
                <w:szCs w:val="20"/>
              </w:rPr>
              <w:t xml:space="preserve"> needs for the Right Bank </w:t>
            </w:r>
            <w:r w:rsidRPr="00D178CB">
              <w:rPr>
                <w:sz w:val="20"/>
                <w:szCs w:val="20"/>
              </w:rPr>
              <w:t>in Xpert cartridges (standard and Ultra), including</w:t>
            </w:r>
            <w:r>
              <w:rPr>
                <w:sz w:val="20"/>
                <w:szCs w:val="20"/>
              </w:rPr>
              <w:t xml:space="preserve"> </w:t>
            </w:r>
            <w:r w:rsidRPr="00726E19">
              <w:rPr>
                <w:sz w:val="20"/>
                <w:szCs w:val="20"/>
              </w:rPr>
              <w:t xml:space="preserve">warranties, calibration cartridges, </w:t>
            </w:r>
            <w:r>
              <w:rPr>
                <w:sz w:val="20"/>
                <w:szCs w:val="20"/>
              </w:rPr>
              <w:t xml:space="preserve">ensure </w:t>
            </w:r>
            <w:r w:rsidRPr="005648C5">
              <w:rPr>
                <w:sz w:val="20"/>
                <w:szCs w:val="20"/>
              </w:rPr>
              <w:t>maintenance</w:t>
            </w:r>
            <w:r>
              <w:rPr>
                <w:sz w:val="20"/>
                <w:szCs w:val="20"/>
              </w:rPr>
              <w:t>,</w:t>
            </w:r>
            <w:r w:rsidRPr="005648C5">
              <w:rPr>
                <w:sz w:val="20"/>
                <w:szCs w:val="20"/>
              </w:rPr>
              <w:t xml:space="preserve"> </w:t>
            </w:r>
            <w:r>
              <w:rPr>
                <w:sz w:val="20"/>
                <w:szCs w:val="20"/>
              </w:rPr>
              <w:t xml:space="preserve">Xpert </w:t>
            </w:r>
            <w:r w:rsidRPr="00726E19">
              <w:rPr>
                <w:sz w:val="20"/>
                <w:szCs w:val="20"/>
              </w:rPr>
              <w:t xml:space="preserve">replacement of modules and coverage of other necessary servicing and maintenance costs. </w:t>
            </w:r>
            <w:r w:rsidR="0037621C" w:rsidRPr="0037621C">
              <w:rPr>
                <w:rFonts w:cs="Arial"/>
                <w:color w:val="000000"/>
                <w:sz w:val="20"/>
                <w:szCs w:val="20"/>
              </w:rPr>
              <w:t xml:space="preserve">Given the existing comorbidity profile as well as current COVID-19 crisis, special focus will be made on multi-disease integrated GeneXpert platforms, namely, TB/HIV/HCV/COVID-19 integration will be planned based on the need and GeneXpert utilization data. </w:t>
            </w:r>
          </w:p>
          <w:p w14:paraId="3E2F04AB" w14:textId="67E30B84" w:rsidR="0015208B" w:rsidRPr="00D178CB" w:rsidRDefault="0015208B" w:rsidP="0015208B">
            <w:pPr>
              <w:shd w:val="clear" w:color="auto" w:fill="FFFFFF" w:themeFill="background1"/>
              <w:spacing w:after="0" w:line="240" w:lineRule="auto"/>
              <w:jc w:val="both"/>
              <w:rPr>
                <w:sz w:val="20"/>
                <w:szCs w:val="20"/>
              </w:rPr>
            </w:pPr>
            <w:r w:rsidRPr="001D0860">
              <w:rPr>
                <w:rFonts w:cs="Arial"/>
                <w:b/>
                <w:color w:val="000000"/>
                <w:sz w:val="20"/>
                <w:szCs w:val="20"/>
              </w:rPr>
              <w:t>Ensure access to phenotypic DST 1st lin</w:t>
            </w:r>
            <w:r>
              <w:rPr>
                <w:rFonts w:cs="Arial"/>
                <w:b/>
                <w:color w:val="000000"/>
                <w:sz w:val="20"/>
                <w:szCs w:val="20"/>
              </w:rPr>
              <w:t>e</w:t>
            </w:r>
            <w:r w:rsidRPr="001D0860">
              <w:rPr>
                <w:rFonts w:cs="Arial"/>
                <w:b/>
                <w:color w:val="000000"/>
                <w:sz w:val="20"/>
                <w:szCs w:val="20"/>
              </w:rPr>
              <w:t xml:space="preserve"> and 2nd line</w:t>
            </w:r>
            <w:r w:rsidRPr="00D178CB">
              <w:rPr>
                <w:sz w:val="20"/>
                <w:szCs w:val="20"/>
              </w:rPr>
              <w:t xml:space="preserve">.  </w:t>
            </w:r>
            <w:r>
              <w:rPr>
                <w:sz w:val="20"/>
                <w:szCs w:val="20"/>
              </w:rPr>
              <w:t>Rapid and full DST to SLDs including that for new drugs is key to scale-up new treatment regimens for DR-TB including modified all-oral shorter regimens, directly impacting potential for treatment success.</w:t>
            </w:r>
            <w:r w:rsidR="00D178CB">
              <w:rPr>
                <w:sz w:val="20"/>
                <w:szCs w:val="20"/>
              </w:rPr>
              <w:t xml:space="preserve"> N</w:t>
            </w:r>
            <w:r w:rsidRPr="00D178CB">
              <w:rPr>
                <w:sz w:val="20"/>
                <w:szCs w:val="20"/>
              </w:rPr>
              <w:t>ew types of DST testing to fluoroquinolones require more tests needed beyond financial means of the NTP. The funding</w:t>
            </w:r>
            <w:r>
              <w:rPr>
                <w:sz w:val="20"/>
                <w:szCs w:val="20"/>
              </w:rPr>
              <w:t xml:space="preserve"> request includes support for </w:t>
            </w:r>
            <w:r w:rsidRPr="00D178CB">
              <w:rPr>
                <w:sz w:val="20"/>
                <w:szCs w:val="20"/>
              </w:rPr>
              <w:t xml:space="preserve">100% of needs for Left Bank and </w:t>
            </w:r>
            <w:r w:rsidR="00D178CB" w:rsidRPr="00D178CB">
              <w:rPr>
                <w:sz w:val="20"/>
                <w:szCs w:val="20"/>
              </w:rPr>
              <w:t xml:space="preserve">at 80-60-50% of needs </w:t>
            </w:r>
            <w:r>
              <w:rPr>
                <w:sz w:val="20"/>
                <w:szCs w:val="20"/>
              </w:rPr>
              <w:t>for the Right Bank in</w:t>
            </w:r>
            <w:r w:rsidRPr="00726E19">
              <w:rPr>
                <w:sz w:val="20"/>
                <w:szCs w:val="20"/>
              </w:rPr>
              <w:t xml:space="preserve"> </w:t>
            </w:r>
            <w:r>
              <w:rPr>
                <w:sz w:val="20"/>
                <w:szCs w:val="20"/>
              </w:rPr>
              <w:t xml:space="preserve">DST testing needs. </w:t>
            </w:r>
            <w:r w:rsidRPr="006677A6">
              <w:rPr>
                <w:sz w:val="20"/>
                <w:szCs w:val="20"/>
              </w:rPr>
              <w:t>Specimen transportation system has been well organized</w:t>
            </w:r>
            <w:r w:rsidR="006677A6" w:rsidRPr="006677A6">
              <w:rPr>
                <w:sz w:val="20"/>
                <w:szCs w:val="20"/>
              </w:rPr>
              <w:t xml:space="preserve"> and improves </w:t>
            </w:r>
            <w:r w:rsidRPr="006677A6">
              <w:rPr>
                <w:sz w:val="20"/>
                <w:szCs w:val="20"/>
              </w:rPr>
              <w:t xml:space="preserve">effective at timely sample processing. </w:t>
            </w:r>
            <w:r w:rsidR="00D178CB" w:rsidRPr="00D178CB">
              <w:rPr>
                <w:sz w:val="20"/>
                <w:szCs w:val="20"/>
              </w:rPr>
              <w:t>The funding request include gasoline costs and car maintenance for 90-50-20% and drivers for 100%.</w:t>
            </w:r>
          </w:p>
          <w:p w14:paraId="08D059C2" w14:textId="77777777" w:rsidR="005457B4" w:rsidRDefault="005457B4" w:rsidP="00EE3592">
            <w:pPr>
              <w:jc w:val="both"/>
              <w:rPr>
                <w:rFonts w:cs="Arial"/>
                <w:b/>
                <w:color w:val="000000"/>
                <w:sz w:val="20"/>
                <w:szCs w:val="20"/>
              </w:rPr>
            </w:pPr>
          </w:p>
          <w:p w14:paraId="4413190C" w14:textId="7CFC2558" w:rsidR="00EE3592" w:rsidRPr="00D42D22" w:rsidRDefault="0002767D" w:rsidP="00EE3592">
            <w:pPr>
              <w:jc w:val="both"/>
              <w:rPr>
                <w:rFonts w:cs="Arial"/>
                <w:color w:val="000000"/>
                <w:sz w:val="20"/>
                <w:szCs w:val="20"/>
              </w:rPr>
            </w:pPr>
            <w:r w:rsidRPr="0002767D">
              <w:rPr>
                <w:rFonts w:cs="Arial"/>
                <w:b/>
                <w:color w:val="000000"/>
                <w:sz w:val="20"/>
                <w:szCs w:val="20"/>
              </w:rPr>
              <w:t>Procurement of Xpert</w:t>
            </w:r>
            <w:r>
              <w:rPr>
                <w:rFonts w:cs="Arial"/>
                <w:b/>
                <w:color w:val="000000"/>
                <w:sz w:val="20"/>
                <w:szCs w:val="20"/>
              </w:rPr>
              <w:t xml:space="preserve"> for fluoroquinolone resista</w:t>
            </w:r>
            <w:r w:rsidR="00ED4670">
              <w:rPr>
                <w:rFonts w:cs="Arial"/>
                <w:b/>
                <w:color w:val="000000"/>
                <w:sz w:val="20"/>
                <w:szCs w:val="20"/>
              </w:rPr>
              <w:t>n</w:t>
            </w:r>
            <w:r>
              <w:rPr>
                <w:rFonts w:cs="Arial"/>
                <w:b/>
                <w:color w:val="000000"/>
                <w:sz w:val="20"/>
                <w:szCs w:val="20"/>
              </w:rPr>
              <w:t>ce</w:t>
            </w:r>
            <w:r w:rsidRPr="0002767D">
              <w:rPr>
                <w:rFonts w:cs="Arial"/>
                <w:b/>
                <w:color w:val="000000"/>
                <w:sz w:val="20"/>
                <w:szCs w:val="20"/>
              </w:rPr>
              <w:t xml:space="preserve"> </w:t>
            </w:r>
            <w:r w:rsidRPr="0002767D">
              <w:rPr>
                <w:rFonts w:cs="Arial"/>
                <w:color w:val="000000"/>
                <w:sz w:val="20"/>
                <w:szCs w:val="20"/>
              </w:rPr>
              <w:t>(</w:t>
            </w:r>
            <w:r w:rsidRPr="0002767D">
              <w:rPr>
                <w:rFonts w:ascii="Arial" w:hAnsi="Arial" w:cs="Arial"/>
                <w:sz w:val="19"/>
                <w:szCs w:val="19"/>
              </w:rPr>
              <w:t>a</w:t>
            </w:r>
            <w:r>
              <w:rPr>
                <w:rFonts w:ascii="Arial" w:hAnsi="Arial" w:cs="Arial"/>
                <w:sz w:val="19"/>
                <w:szCs w:val="19"/>
              </w:rPr>
              <w:t xml:space="preserve">ssay for fluoroquinolones and isoniazid </w:t>
            </w:r>
            <w:r w:rsidRPr="0002767D">
              <w:rPr>
                <w:rFonts w:ascii="Arial" w:hAnsi="Arial" w:cs="Arial"/>
                <w:sz w:val="19"/>
                <w:szCs w:val="19"/>
              </w:rPr>
              <w:t>resistance)</w:t>
            </w:r>
            <w:r w:rsidR="00EE3592" w:rsidRPr="0002767D">
              <w:rPr>
                <w:rFonts w:cs="Arial"/>
                <w:color w:val="000000"/>
                <w:sz w:val="20"/>
                <w:szCs w:val="20"/>
              </w:rPr>
              <w:t>:  4</w:t>
            </w:r>
            <w:r w:rsidR="00EE3592">
              <w:rPr>
                <w:rFonts w:cs="Arial"/>
                <w:color w:val="000000"/>
                <w:sz w:val="20"/>
                <w:szCs w:val="20"/>
              </w:rPr>
              <w:t xml:space="preserve"> </w:t>
            </w:r>
            <w:r w:rsidR="00EE3592" w:rsidRPr="003D3FD7">
              <w:rPr>
                <w:rFonts w:cs="Arial"/>
                <w:color w:val="000000"/>
                <w:sz w:val="20"/>
                <w:szCs w:val="20"/>
              </w:rPr>
              <w:t>machines of Xpert</w:t>
            </w:r>
            <w:r w:rsidR="00EE3592" w:rsidRPr="006677A6">
              <w:rPr>
                <w:rFonts w:cs="Arial"/>
                <w:color w:val="000000"/>
                <w:sz w:val="20"/>
                <w:szCs w:val="20"/>
              </w:rPr>
              <w:t xml:space="preserve"> </w:t>
            </w:r>
            <w:r>
              <w:rPr>
                <w:rFonts w:cs="Arial"/>
                <w:color w:val="000000"/>
                <w:sz w:val="20"/>
                <w:szCs w:val="20"/>
              </w:rPr>
              <w:t>a</w:t>
            </w:r>
            <w:r w:rsidR="00EE3592" w:rsidRPr="006677A6">
              <w:rPr>
                <w:rFonts w:cs="Arial"/>
                <w:color w:val="000000"/>
                <w:sz w:val="20"/>
                <w:szCs w:val="20"/>
              </w:rPr>
              <w:t>ssay for fluoroquino</w:t>
            </w:r>
            <w:r w:rsidR="00EE3592">
              <w:rPr>
                <w:rFonts w:cs="Arial"/>
                <w:color w:val="000000"/>
                <w:sz w:val="20"/>
                <w:szCs w:val="20"/>
              </w:rPr>
              <w:t xml:space="preserve">lones, second-line injectables </w:t>
            </w:r>
            <w:r w:rsidR="00EE3592" w:rsidRPr="006677A6">
              <w:rPr>
                <w:rFonts w:cs="Arial"/>
                <w:color w:val="000000"/>
                <w:sz w:val="20"/>
                <w:szCs w:val="20"/>
              </w:rPr>
              <w:t xml:space="preserve">and isoniazid resistance </w:t>
            </w:r>
            <w:r w:rsidR="00EE3592">
              <w:rPr>
                <w:rFonts w:cs="Arial"/>
                <w:color w:val="000000"/>
                <w:sz w:val="20"/>
                <w:szCs w:val="20"/>
              </w:rPr>
              <w:t>technology (</w:t>
            </w:r>
            <w:r w:rsidR="00EE3592" w:rsidRPr="003D3FD7">
              <w:rPr>
                <w:rFonts w:cs="Arial"/>
                <w:color w:val="000000"/>
                <w:sz w:val="20"/>
                <w:szCs w:val="20"/>
              </w:rPr>
              <w:t xml:space="preserve">under premarketing stage) will be introduced </w:t>
            </w:r>
            <w:r w:rsidR="00EE3592">
              <w:rPr>
                <w:rFonts w:cs="Arial"/>
                <w:color w:val="000000"/>
                <w:sz w:val="20"/>
                <w:szCs w:val="20"/>
              </w:rPr>
              <w:t>NRLs</w:t>
            </w:r>
            <w:r w:rsidR="00EE3592" w:rsidRPr="003D3FD7">
              <w:rPr>
                <w:rFonts w:cs="Arial"/>
                <w:color w:val="000000"/>
                <w:sz w:val="20"/>
                <w:szCs w:val="20"/>
              </w:rPr>
              <w:t xml:space="preserve"> to immediately expand rapid testing for all TB-positive Rif-resistant samples.</w:t>
            </w:r>
            <w:r w:rsidR="00EE3592" w:rsidRPr="006677A6">
              <w:rPr>
                <w:rFonts w:cs="Arial"/>
                <w:color w:val="000000"/>
                <w:sz w:val="20"/>
                <w:szCs w:val="20"/>
              </w:rPr>
              <w:t xml:space="preserve"> Validation of the latter novel cartridge by WHO is expected later in 2020).</w:t>
            </w:r>
            <w:r w:rsidR="00EE3592">
              <w:rPr>
                <w:rFonts w:cs="Arial"/>
                <w:color w:val="000000"/>
                <w:sz w:val="20"/>
                <w:szCs w:val="20"/>
              </w:rPr>
              <w:t xml:space="preserve"> </w:t>
            </w:r>
            <w:r w:rsidR="00EE3592" w:rsidRPr="003D3FD7">
              <w:rPr>
                <w:rFonts w:cs="Arial"/>
                <w:color w:val="000000"/>
                <w:sz w:val="20"/>
                <w:szCs w:val="20"/>
              </w:rPr>
              <w:t xml:space="preserve">Moldova is one of the three sites who </w:t>
            </w:r>
            <w:r w:rsidR="00EE3592">
              <w:rPr>
                <w:rFonts w:cs="Arial"/>
                <w:color w:val="000000"/>
                <w:sz w:val="20"/>
                <w:szCs w:val="20"/>
              </w:rPr>
              <w:t>have been included in</w:t>
            </w:r>
            <w:r w:rsidR="00EE3592" w:rsidRPr="003D3FD7">
              <w:rPr>
                <w:rFonts w:cs="Arial"/>
                <w:color w:val="000000"/>
                <w:sz w:val="20"/>
                <w:szCs w:val="20"/>
              </w:rPr>
              <w:t xml:space="preserve"> research</w:t>
            </w:r>
            <w:r w:rsidR="00EE3592">
              <w:rPr>
                <w:rFonts w:cs="Arial"/>
                <w:color w:val="000000"/>
                <w:sz w:val="20"/>
                <w:szCs w:val="20"/>
              </w:rPr>
              <w:t xml:space="preserve"> of the assay.</w:t>
            </w:r>
            <w:r w:rsidR="00EE3592" w:rsidRPr="0037621C">
              <w:rPr>
                <w:rFonts w:cs="Arial"/>
                <w:color w:val="000000"/>
                <w:sz w:val="20"/>
                <w:szCs w:val="20"/>
              </w:rPr>
              <w:t xml:space="preserve"> The NRL has been implementing the Xp</w:t>
            </w:r>
            <w:r w:rsidR="00EE3592">
              <w:rPr>
                <w:rFonts w:cs="Arial"/>
                <w:color w:val="000000"/>
                <w:sz w:val="20"/>
                <w:szCs w:val="20"/>
              </w:rPr>
              <w:t>ert MTB/XDR assay (Cepheid, USA, FIND project)</w:t>
            </w:r>
            <w:r w:rsidR="00EE3592" w:rsidRPr="0037621C">
              <w:rPr>
                <w:rFonts w:cs="Arial"/>
                <w:color w:val="000000"/>
                <w:sz w:val="20"/>
                <w:szCs w:val="20"/>
              </w:rPr>
              <w:t xml:space="preserve">. The preliminary results from diagnostic accuracy study for detecting resistance to INH, ETH, FQs, and second-line injectables suggests that Xpert MTB/XDR is highly accurate for detecting resistance in relevant clinical settings. It is </w:t>
            </w:r>
            <w:r w:rsidR="00EE3592">
              <w:rPr>
                <w:rFonts w:cs="Arial"/>
                <w:color w:val="000000"/>
                <w:sz w:val="20"/>
                <w:szCs w:val="20"/>
              </w:rPr>
              <w:t xml:space="preserve">a </w:t>
            </w:r>
            <w:r w:rsidR="00EE3592" w:rsidRPr="0037621C">
              <w:rPr>
                <w:rFonts w:cs="Arial"/>
                <w:color w:val="000000"/>
                <w:sz w:val="20"/>
                <w:szCs w:val="20"/>
              </w:rPr>
              <w:t xml:space="preserve">significant advantage that the country already has the experience of the new Xpert MTB/XDR system proposed by Cepheid, which will be put to the best use in the future. </w:t>
            </w:r>
            <w:r w:rsidR="00EE3592">
              <w:rPr>
                <w:rFonts w:cs="Arial"/>
                <w:color w:val="000000"/>
                <w:sz w:val="20"/>
                <w:szCs w:val="20"/>
              </w:rPr>
              <w:t>Expected coverage: 5,535 per year.</w:t>
            </w:r>
          </w:p>
          <w:p w14:paraId="310B9E8B" w14:textId="4EF06989" w:rsidR="0015208B" w:rsidRDefault="00EE3592" w:rsidP="0015208B">
            <w:pPr>
              <w:shd w:val="clear" w:color="auto" w:fill="FFFFFF" w:themeFill="background1"/>
              <w:spacing w:after="0" w:line="240" w:lineRule="auto"/>
              <w:jc w:val="both"/>
              <w:rPr>
                <w:rFonts w:cs="Arial"/>
                <w:color w:val="000000"/>
                <w:sz w:val="20"/>
                <w:szCs w:val="20"/>
              </w:rPr>
            </w:pPr>
            <w:r w:rsidRPr="00EE3592">
              <w:rPr>
                <w:rFonts w:cs="Arial"/>
                <w:b/>
                <w:i/>
                <w:color w:val="000000"/>
                <w:sz w:val="20"/>
                <w:szCs w:val="20"/>
              </w:rPr>
              <w:t xml:space="preserve">PAAR: </w:t>
            </w:r>
            <w:r w:rsidR="0015208B" w:rsidRPr="00EE3592">
              <w:rPr>
                <w:rFonts w:cs="Arial"/>
                <w:b/>
                <w:i/>
                <w:color w:val="000000"/>
                <w:sz w:val="20"/>
                <w:szCs w:val="20"/>
              </w:rPr>
              <w:t>Introduce innovative whole genome sequencing (WGS) technology in Moldova</w:t>
            </w:r>
            <w:r w:rsidR="0015208B" w:rsidRPr="00EE3592">
              <w:rPr>
                <w:rFonts w:cs="Arial"/>
                <w:i/>
                <w:color w:val="000000"/>
                <w:sz w:val="20"/>
                <w:szCs w:val="20"/>
              </w:rPr>
              <w:t xml:space="preserve">: </w:t>
            </w:r>
            <w:r w:rsidR="0015208B" w:rsidRPr="00EE3592">
              <w:rPr>
                <w:rFonts w:cs="Arial"/>
                <w:b/>
                <w:i/>
                <w:color w:val="000000"/>
                <w:sz w:val="20"/>
                <w:szCs w:val="20"/>
              </w:rPr>
              <w:t>procurement of genomic sequencer</w:t>
            </w:r>
            <w:r w:rsidR="0015208B">
              <w:rPr>
                <w:rFonts w:cs="Arial"/>
                <w:color w:val="000000"/>
                <w:sz w:val="20"/>
                <w:szCs w:val="20"/>
              </w:rPr>
              <w:t xml:space="preserve">: </w:t>
            </w:r>
            <w:r w:rsidR="0015208B" w:rsidRPr="00EE3592">
              <w:rPr>
                <w:rFonts w:cs="Arial"/>
                <w:i/>
                <w:color w:val="000000"/>
                <w:sz w:val="20"/>
                <w:szCs w:val="20"/>
              </w:rPr>
              <w:t>while innovations such as shorter drug regimens, better treatment MDR TB and vaccines help progressing towards ending TB, these alone are not enough. Recent RCTs and community wide case finding showed disappointing results of untargeted interventions. Similarly, while Xpert technology increases people-centered approaches, it will not have an impact on TB control, particularly in high-incidence MDR sites. A spatial analyses study conducted on 2007-2010 data in Moldova revealed striking geographic heterogeneity of MDR-TB.</w:t>
            </w:r>
            <w:r w:rsidR="0015208B" w:rsidRPr="00EE3592">
              <w:rPr>
                <w:rStyle w:val="FootnoteReference"/>
                <w:rFonts w:cs="Arial"/>
                <w:i/>
                <w:color w:val="000000"/>
                <w:sz w:val="20"/>
                <w:szCs w:val="20"/>
              </w:rPr>
              <w:footnoteReference w:id="53"/>
            </w:r>
            <w:r w:rsidR="0015208B" w:rsidRPr="00EE3592">
              <w:rPr>
                <w:rFonts w:cs="Arial"/>
                <w:i/>
                <w:color w:val="000000"/>
                <w:sz w:val="20"/>
                <w:szCs w:val="20"/>
              </w:rPr>
              <w:t xml:space="preserve"> Methods to identify locations of high MDR-TB risk and burden should allow for better resource allocation and more appropriate targeting of studies to understand local mechanisms driving resistance.</w:t>
            </w:r>
            <w:r w:rsidR="0015208B" w:rsidRPr="00EE3592">
              <w:rPr>
                <w:rFonts w:cs="Arial"/>
                <w:b/>
                <w:i/>
                <w:color w:val="000000"/>
                <w:sz w:val="20"/>
                <w:szCs w:val="20"/>
              </w:rPr>
              <w:t xml:space="preserve"> </w:t>
            </w:r>
            <w:r w:rsidR="0015208B" w:rsidRPr="00EE3592">
              <w:rPr>
                <w:rFonts w:cs="Arial"/>
                <w:i/>
                <w:color w:val="000000"/>
                <w:sz w:val="20"/>
                <w:szCs w:val="20"/>
              </w:rPr>
              <w:t>Moreover, Moldova was involved in small molecular epidemiological study using WGS which found that ~50% of initially drug-susceptible TB patients who developed MDR-TB while in the hospital had a new strain at follow-up</w:t>
            </w:r>
            <w:r w:rsidR="0015208B" w:rsidRPr="00EE3592">
              <w:rPr>
                <w:rStyle w:val="FootnoteReference"/>
                <w:rFonts w:cs="Arial"/>
                <w:i/>
                <w:color w:val="000000"/>
                <w:sz w:val="20"/>
                <w:szCs w:val="20"/>
              </w:rPr>
              <w:footnoteReference w:id="54"/>
            </w:r>
            <w:r w:rsidR="0015208B" w:rsidRPr="00EE3592">
              <w:rPr>
                <w:rFonts w:cs="Arial"/>
                <w:i/>
                <w:color w:val="000000"/>
                <w:sz w:val="20"/>
                <w:szCs w:val="20"/>
              </w:rPr>
              <w:t>. This suggests that either re-infection is occurring during treatment (potentially nosocomial transmission during the 2-month hospitalization period) and/or patients are infected with multiple strains at baseline.</w:t>
            </w:r>
            <w:r w:rsidR="0015208B">
              <w:rPr>
                <w:rFonts w:cs="Arial"/>
                <w:color w:val="000000"/>
                <w:sz w:val="20"/>
                <w:szCs w:val="20"/>
              </w:rPr>
              <w:t xml:space="preserve"> </w:t>
            </w:r>
          </w:p>
          <w:p w14:paraId="6C178E1F" w14:textId="2251979B" w:rsidR="0015208B" w:rsidRDefault="005457B4" w:rsidP="0015208B">
            <w:pPr>
              <w:shd w:val="clear" w:color="auto" w:fill="FFFFFF" w:themeFill="background1"/>
              <w:jc w:val="both"/>
              <w:rPr>
                <w:rFonts w:cs="Arial"/>
                <w:b/>
                <w:color w:val="000000"/>
                <w:sz w:val="20"/>
                <w:szCs w:val="20"/>
              </w:rPr>
            </w:pPr>
            <w:r w:rsidRPr="00EE3592">
              <w:rPr>
                <w:rFonts w:cs="Arial"/>
                <w:i/>
                <w:noProof/>
                <w:color w:val="000000"/>
                <w:sz w:val="20"/>
                <w:szCs w:val="20"/>
              </w:rPr>
              <w:lastRenderedPageBreak/>
              <w:drawing>
                <wp:anchor distT="0" distB="0" distL="114300" distR="114300" simplePos="0" relativeHeight="251660288" behindDoc="0" locked="0" layoutInCell="1" allowOverlap="1" wp14:anchorId="4754C4CF" wp14:editId="24B65C0B">
                  <wp:simplePos x="0" y="0"/>
                  <wp:positionH relativeFrom="margin">
                    <wp:posOffset>58420</wp:posOffset>
                  </wp:positionH>
                  <wp:positionV relativeFrom="margin">
                    <wp:posOffset>217805</wp:posOffset>
                  </wp:positionV>
                  <wp:extent cx="2085975" cy="2209800"/>
                  <wp:effectExtent l="0" t="0" r="9525" b="0"/>
                  <wp:wrapSquare wrapText="bothSides"/>
                  <wp:docPr id="12" name="Picture 5" descr="C:\Users\SB\Dropbox\Screenshots\Screenshot 2019-10-27 14.29.44.png"/>
                  <wp:cNvGraphicFramePr/>
                  <a:graphic xmlns:a="http://schemas.openxmlformats.org/drawingml/2006/main">
                    <a:graphicData uri="http://schemas.openxmlformats.org/drawingml/2006/picture">
                      <pic:pic xmlns:pic="http://schemas.openxmlformats.org/drawingml/2006/picture">
                        <pic:nvPicPr>
                          <pic:cNvPr id="6" name="Picture 5" descr="C:\Users\SB\Dropbox\Screenshots\Screenshot 2019-10-27 14.29.44.png"/>
                          <pic:cNvPicPr/>
                        </pic:nvPicPr>
                        <pic:blipFill rotWithShape="1">
                          <a:blip r:embed="rId42" cstate="print">
                            <a:extLst>
                              <a:ext uri="{28A0092B-C50C-407E-A947-70E740481C1C}">
                                <a14:useLocalDpi xmlns:a14="http://schemas.microsoft.com/office/drawing/2010/main" val="0"/>
                              </a:ext>
                            </a:extLst>
                          </a:blip>
                          <a:srcRect l="38655" t="23931" r="24102" b="15442"/>
                          <a:stretch/>
                        </pic:blipFill>
                        <pic:spPr bwMode="auto">
                          <a:xfrm>
                            <a:off x="0" y="0"/>
                            <a:ext cx="2085975" cy="2209800"/>
                          </a:xfrm>
                          <a:prstGeom prst="rect">
                            <a:avLst/>
                          </a:prstGeom>
                          <a:noFill/>
                          <a:ln>
                            <a:noFill/>
                          </a:ln>
                          <a:extLst>
                            <a:ext uri="{53640926-AAD7-44D8-BBD7-CCE9431645EC}">
                              <a14:shadowObscured xmlns:a14="http://schemas.microsoft.com/office/drawing/2010/main"/>
                            </a:ext>
                          </a:extLst>
                        </pic:spPr>
                      </pic:pic>
                    </a:graphicData>
                  </a:graphic>
                </wp:anchor>
              </w:drawing>
            </w:r>
            <w:r w:rsidR="0015208B">
              <w:rPr>
                <w:rFonts w:cs="Arial"/>
                <w:b/>
                <w:color w:val="000000"/>
                <w:sz w:val="20"/>
                <w:szCs w:val="20"/>
              </w:rPr>
              <w:t>Figure</w:t>
            </w:r>
            <w:r w:rsidR="0015208B" w:rsidRPr="009F103A">
              <w:rPr>
                <w:rFonts w:cs="Arial"/>
                <w:b/>
                <w:color w:val="000000"/>
                <w:sz w:val="20"/>
                <w:szCs w:val="20"/>
              </w:rPr>
              <w:t xml:space="preserve">: </w:t>
            </w:r>
            <w:r w:rsidR="0015208B">
              <w:rPr>
                <w:rFonts w:cs="Arial"/>
                <w:b/>
                <w:color w:val="000000"/>
                <w:sz w:val="20"/>
                <w:szCs w:val="20"/>
              </w:rPr>
              <w:t>Spatial h</w:t>
            </w:r>
            <w:r w:rsidR="0015208B" w:rsidRPr="009F103A">
              <w:rPr>
                <w:rFonts w:cs="Arial"/>
                <w:b/>
                <w:color w:val="000000"/>
                <w:sz w:val="20"/>
                <w:szCs w:val="20"/>
              </w:rPr>
              <w:t>eterogeneity of MRT TB transmission in Moldova</w:t>
            </w:r>
            <w:r w:rsidR="0015208B">
              <w:rPr>
                <w:rStyle w:val="FootnoteReference"/>
                <w:bCs/>
                <w:color w:val="000000"/>
                <w:sz w:val="20"/>
                <w:szCs w:val="20"/>
              </w:rPr>
              <w:footnoteReference w:id="55"/>
            </w:r>
          </w:p>
          <w:p w14:paraId="5EB42C54" w14:textId="6C5C0C52" w:rsidR="0015208B" w:rsidRPr="00EE3592" w:rsidRDefault="0015208B" w:rsidP="0015208B">
            <w:pPr>
              <w:shd w:val="clear" w:color="auto" w:fill="FFFFFF" w:themeFill="background1"/>
              <w:jc w:val="both"/>
              <w:rPr>
                <w:rFonts w:cs="Arial"/>
                <w:b/>
                <w:i/>
                <w:color w:val="000000"/>
                <w:sz w:val="20"/>
                <w:szCs w:val="20"/>
              </w:rPr>
            </w:pPr>
            <w:r w:rsidRPr="00EE3592">
              <w:rPr>
                <w:rFonts w:cs="Arial"/>
                <w:i/>
                <w:color w:val="000000"/>
                <w:sz w:val="20"/>
                <w:szCs w:val="20"/>
              </w:rPr>
              <w:t>Genomic sequencing for TB has become routine for high-income countries and is increasingly becoming an affordable technology after one-time investment and highly relevant to determine strains and adjust targeted and optimized treatment based on transmission chains. The national TB lab infrastructure in Moldova is well developed with high quality standards in the National Reference lab and quality assurance of tests. The sophisticated NRL TB lab capacity in Moldova can allow use to fully characterize the role of acquired and transmitted resistance with detailed hotspot mapping and combination with special analysis for better targeting of case finding interventions.</w:t>
            </w:r>
          </w:p>
          <w:p w14:paraId="6E7A6A43" w14:textId="77777777" w:rsidR="0015208B" w:rsidRDefault="0015208B" w:rsidP="0015208B">
            <w:pPr>
              <w:shd w:val="clear" w:color="auto" w:fill="0070C0"/>
              <w:ind w:left="1418" w:hanging="1418"/>
              <w:contextualSpacing/>
              <w:jc w:val="both"/>
              <w:rPr>
                <w:rFonts w:cs="Arial"/>
                <w:i/>
                <w:sz w:val="20"/>
                <w:szCs w:val="20"/>
                <w:u w:val="single"/>
              </w:rPr>
            </w:pPr>
            <w:r w:rsidRPr="00F13BEF">
              <w:rPr>
                <w:rFonts w:cs="Arial"/>
                <w:b/>
                <w:color w:val="FFFFFF" w:themeColor="background1"/>
                <w:sz w:val="20"/>
                <w:szCs w:val="20"/>
              </w:rPr>
              <w:t xml:space="preserve">Improve treatment outcomes of DR-TB patients </w:t>
            </w:r>
          </w:p>
          <w:p w14:paraId="694B7DDB" w14:textId="77777777" w:rsidR="0015208B" w:rsidRDefault="0015208B" w:rsidP="0015208B">
            <w:pPr>
              <w:shd w:val="clear" w:color="auto" w:fill="FFFFFF" w:themeFill="background1"/>
              <w:spacing w:after="0" w:line="240" w:lineRule="auto"/>
              <w:jc w:val="both"/>
              <w:rPr>
                <w:sz w:val="20"/>
                <w:szCs w:val="20"/>
              </w:rPr>
            </w:pPr>
          </w:p>
          <w:p w14:paraId="10281B98" w14:textId="1231B405" w:rsidR="0015208B" w:rsidRDefault="0015208B" w:rsidP="0015208B">
            <w:pPr>
              <w:shd w:val="clear" w:color="auto" w:fill="FFFFFF" w:themeFill="background1"/>
              <w:spacing w:after="0" w:line="240" w:lineRule="auto"/>
              <w:jc w:val="both"/>
              <w:rPr>
                <w:sz w:val="20"/>
                <w:szCs w:val="20"/>
              </w:rPr>
            </w:pPr>
            <w:r>
              <w:rPr>
                <w:sz w:val="20"/>
                <w:szCs w:val="20"/>
              </w:rPr>
              <w:t xml:space="preserve">As highlighted in gap analysis, DR treatment outcomes are suboptimal and </w:t>
            </w:r>
            <w:r w:rsidR="006677A6">
              <w:rPr>
                <w:sz w:val="20"/>
                <w:szCs w:val="20"/>
              </w:rPr>
              <w:t xml:space="preserve">people-centered </w:t>
            </w:r>
            <w:r>
              <w:rPr>
                <w:sz w:val="20"/>
                <w:szCs w:val="20"/>
              </w:rPr>
              <w:t xml:space="preserve">efforts put into </w:t>
            </w:r>
            <w:r w:rsidR="006677A6">
              <w:rPr>
                <w:sz w:val="20"/>
                <w:szCs w:val="20"/>
              </w:rPr>
              <w:t xml:space="preserve">to </w:t>
            </w:r>
            <w:r>
              <w:rPr>
                <w:sz w:val="20"/>
                <w:szCs w:val="20"/>
              </w:rPr>
              <w:t xml:space="preserve">improving the outcomes </w:t>
            </w:r>
            <w:r w:rsidR="006677A6">
              <w:rPr>
                <w:sz w:val="20"/>
                <w:szCs w:val="20"/>
              </w:rPr>
              <w:t>start</w:t>
            </w:r>
            <w:r>
              <w:rPr>
                <w:sz w:val="20"/>
                <w:szCs w:val="20"/>
              </w:rPr>
              <w:t xml:space="preserve"> show</w:t>
            </w:r>
            <w:r w:rsidR="006677A6">
              <w:rPr>
                <w:sz w:val="20"/>
                <w:szCs w:val="20"/>
              </w:rPr>
              <w:t>ing</w:t>
            </w:r>
            <w:r>
              <w:rPr>
                <w:sz w:val="20"/>
                <w:szCs w:val="20"/>
              </w:rPr>
              <w:t xml:space="preserve"> improvements</w:t>
            </w:r>
            <w:r w:rsidR="006677A6">
              <w:rPr>
                <w:sz w:val="20"/>
                <w:szCs w:val="20"/>
              </w:rPr>
              <w:t>, i.e. TB treatment success rate is 76% in the 2017 cohort of new DR TB cases</w:t>
            </w:r>
            <w:r>
              <w:rPr>
                <w:sz w:val="20"/>
                <w:szCs w:val="20"/>
              </w:rPr>
              <w:t>. To further improve interventions, the funding request includes a multifaceted strategy building on current lessons learned:</w:t>
            </w:r>
          </w:p>
          <w:p w14:paraId="6DB7524F" w14:textId="41758871" w:rsidR="0015208B" w:rsidRDefault="0015208B" w:rsidP="0015208B">
            <w:pPr>
              <w:shd w:val="clear" w:color="auto" w:fill="FFFFFF" w:themeFill="background1"/>
              <w:spacing w:after="0" w:line="240" w:lineRule="auto"/>
              <w:jc w:val="both"/>
              <w:rPr>
                <w:sz w:val="20"/>
                <w:szCs w:val="20"/>
              </w:rPr>
            </w:pPr>
          </w:p>
          <w:p w14:paraId="2CDD9477" w14:textId="77777777" w:rsidR="0015208B" w:rsidRDefault="0015208B" w:rsidP="0015208B">
            <w:pPr>
              <w:shd w:val="clear" w:color="auto" w:fill="FFFFFF" w:themeFill="background1"/>
              <w:spacing w:after="0" w:line="240" w:lineRule="auto"/>
              <w:jc w:val="both"/>
              <w:rPr>
                <w:sz w:val="20"/>
                <w:szCs w:val="20"/>
              </w:rPr>
            </w:pPr>
            <w:r>
              <w:rPr>
                <w:sz w:val="20"/>
                <w:szCs w:val="20"/>
              </w:rPr>
              <w:t xml:space="preserve">(1) focus on uptake on new treatment regimens, with specific focus on pediatric TB; </w:t>
            </w:r>
          </w:p>
          <w:p w14:paraId="4B956522" w14:textId="77777777" w:rsidR="0015208B" w:rsidRDefault="0015208B" w:rsidP="0015208B">
            <w:pPr>
              <w:shd w:val="clear" w:color="auto" w:fill="FFFFFF" w:themeFill="background1"/>
              <w:spacing w:after="0" w:line="240" w:lineRule="auto"/>
              <w:jc w:val="both"/>
              <w:rPr>
                <w:sz w:val="20"/>
                <w:szCs w:val="20"/>
              </w:rPr>
            </w:pPr>
            <w:r>
              <w:rPr>
                <w:sz w:val="20"/>
                <w:szCs w:val="20"/>
              </w:rPr>
              <w:t xml:space="preserve">(2) strengthen patient support systems; </w:t>
            </w:r>
          </w:p>
          <w:p w14:paraId="3D55A344" w14:textId="77777777" w:rsidR="0015208B" w:rsidRDefault="0015208B" w:rsidP="0015208B">
            <w:pPr>
              <w:shd w:val="clear" w:color="auto" w:fill="FFFFFF" w:themeFill="background1"/>
              <w:spacing w:after="0" w:line="240" w:lineRule="auto"/>
              <w:jc w:val="both"/>
              <w:rPr>
                <w:sz w:val="20"/>
                <w:szCs w:val="20"/>
              </w:rPr>
            </w:pPr>
            <w:r>
              <w:rPr>
                <w:sz w:val="20"/>
                <w:szCs w:val="20"/>
              </w:rPr>
              <w:t xml:space="preserve">(3) diversify treatment administration options </w:t>
            </w:r>
          </w:p>
          <w:p w14:paraId="19654059" w14:textId="3E22B309" w:rsidR="0015208B" w:rsidRDefault="0015208B" w:rsidP="0015208B">
            <w:pPr>
              <w:shd w:val="clear" w:color="auto" w:fill="FFFFFF" w:themeFill="background1"/>
              <w:spacing w:after="0" w:line="240" w:lineRule="auto"/>
              <w:jc w:val="both"/>
              <w:rPr>
                <w:sz w:val="20"/>
                <w:szCs w:val="20"/>
              </w:rPr>
            </w:pPr>
            <w:r>
              <w:rPr>
                <w:sz w:val="20"/>
                <w:szCs w:val="20"/>
              </w:rPr>
              <w:t xml:space="preserve">(4) address specific areas for continuity of care for people in prisons and migrants. Social determinants and further adaptation </w:t>
            </w:r>
          </w:p>
          <w:p w14:paraId="5C62453C" w14:textId="77777777" w:rsidR="0015208B" w:rsidRDefault="0015208B" w:rsidP="0015208B">
            <w:pPr>
              <w:shd w:val="clear" w:color="auto" w:fill="FFFFFF" w:themeFill="background1"/>
              <w:spacing w:after="0" w:line="240" w:lineRule="auto"/>
              <w:jc w:val="both"/>
              <w:rPr>
                <w:sz w:val="20"/>
                <w:szCs w:val="20"/>
              </w:rPr>
            </w:pPr>
          </w:p>
          <w:p w14:paraId="410703C3" w14:textId="0C68788C" w:rsidR="0015208B" w:rsidRDefault="0015208B" w:rsidP="0015208B">
            <w:pPr>
              <w:shd w:val="clear" w:color="auto" w:fill="FFFFFF" w:themeFill="background1"/>
              <w:spacing w:after="0" w:line="240" w:lineRule="auto"/>
              <w:jc w:val="both"/>
              <w:rPr>
                <w:sz w:val="20"/>
                <w:szCs w:val="20"/>
              </w:rPr>
            </w:pPr>
            <w:r>
              <w:rPr>
                <w:sz w:val="20"/>
                <w:szCs w:val="20"/>
              </w:rPr>
              <w:t xml:space="preserve">The funding request will support the key objective of universal and timely access to and targeted case finding to achieve the ambitious target of reaching &gt;90%TB and DR-TB cases.  Of note is that interventions related to health system elements of institutionalizing the people-centered of care is included in RSSH component.  </w:t>
            </w:r>
          </w:p>
          <w:p w14:paraId="45281812" w14:textId="77777777" w:rsidR="0015208B" w:rsidRDefault="0015208B" w:rsidP="0015208B">
            <w:pPr>
              <w:shd w:val="clear" w:color="auto" w:fill="FFFFFF" w:themeFill="background1"/>
              <w:spacing w:after="0" w:line="240" w:lineRule="auto"/>
              <w:rPr>
                <w:rFonts w:cs="Arial"/>
                <w:i/>
                <w:sz w:val="20"/>
                <w:szCs w:val="20"/>
                <w:u w:val="single"/>
              </w:rPr>
            </w:pPr>
          </w:p>
          <w:p w14:paraId="06A34D4C" w14:textId="3091BE8F" w:rsidR="00D178CB" w:rsidRDefault="0015208B" w:rsidP="00D178CB">
            <w:pPr>
              <w:shd w:val="clear" w:color="auto" w:fill="FFFFFF" w:themeFill="background1"/>
              <w:spacing w:after="0" w:line="240" w:lineRule="auto"/>
              <w:jc w:val="both"/>
              <w:rPr>
                <w:sz w:val="20"/>
                <w:szCs w:val="20"/>
              </w:rPr>
            </w:pPr>
            <w:r w:rsidRPr="00703114">
              <w:rPr>
                <w:rFonts w:cs="Arial"/>
                <w:b/>
                <w:color w:val="000000"/>
                <w:sz w:val="20"/>
                <w:szCs w:val="20"/>
              </w:rPr>
              <w:t>Provision of all oral MDR TB treatment regimens (including pediatric) with gradual takeover</w:t>
            </w:r>
            <w:r>
              <w:rPr>
                <w:rFonts w:cs="Arial"/>
                <w:b/>
                <w:color w:val="000000"/>
                <w:sz w:val="20"/>
                <w:szCs w:val="20"/>
              </w:rPr>
              <w:t xml:space="preserve">: </w:t>
            </w:r>
            <w:r>
              <w:rPr>
                <w:sz w:val="20"/>
                <w:szCs w:val="20"/>
              </w:rPr>
              <w:t xml:space="preserve">The country starts </w:t>
            </w:r>
            <w:r w:rsidRPr="00572FC4">
              <w:rPr>
                <w:sz w:val="20"/>
                <w:szCs w:val="20"/>
              </w:rPr>
              <w:t>full rollout of short and all oral treatment regimens from June 2</w:t>
            </w:r>
            <w:r>
              <w:rPr>
                <w:sz w:val="20"/>
                <w:szCs w:val="20"/>
              </w:rPr>
              <w:t xml:space="preserve">020, having all necessary medicines. The new </w:t>
            </w:r>
            <w:r w:rsidR="00E4422B">
              <w:rPr>
                <w:sz w:val="20"/>
                <w:szCs w:val="20"/>
              </w:rPr>
              <w:t xml:space="preserve">TB national </w:t>
            </w:r>
            <w:r w:rsidRPr="00E4422B">
              <w:rPr>
                <w:sz w:val="20"/>
                <w:szCs w:val="20"/>
              </w:rPr>
              <w:t>clinical protocol</w:t>
            </w:r>
            <w:r w:rsidR="00E4422B">
              <w:rPr>
                <w:sz w:val="20"/>
                <w:szCs w:val="20"/>
              </w:rPr>
              <w:t xml:space="preserve"> developed in May 2020 is</w:t>
            </w:r>
            <w:r w:rsidRPr="00E4422B">
              <w:rPr>
                <w:sz w:val="20"/>
                <w:szCs w:val="20"/>
              </w:rPr>
              <w:t xml:space="preserve"> aligned to </w:t>
            </w:r>
            <w:r w:rsidR="00E4422B">
              <w:rPr>
                <w:sz w:val="20"/>
                <w:szCs w:val="20"/>
              </w:rPr>
              <w:t>latest</w:t>
            </w:r>
            <w:r w:rsidRPr="00E4422B">
              <w:rPr>
                <w:sz w:val="20"/>
                <w:szCs w:val="20"/>
              </w:rPr>
              <w:t xml:space="preserve"> WHO guidance and the country will participate in Operational Research </w:t>
            </w:r>
            <w:r w:rsidR="00E4422B">
              <w:rPr>
                <w:sz w:val="20"/>
                <w:szCs w:val="20"/>
              </w:rPr>
              <w:t xml:space="preserve">(OR) </w:t>
            </w:r>
            <w:r w:rsidRPr="00E4422B">
              <w:rPr>
                <w:sz w:val="20"/>
                <w:szCs w:val="20"/>
              </w:rPr>
              <w:t>which includes administration of “Short, all-Oral Regimens for Rifampicin-resistant Tuberculosis”. The main activities included for support by TGF grant include</w:t>
            </w:r>
            <w:r w:rsidR="00D178CB" w:rsidRPr="00E4422B">
              <w:rPr>
                <w:sz w:val="20"/>
                <w:szCs w:val="20"/>
              </w:rPr>
              <w:t xml:space="preserve"> support to OR team, patien</w:t>
            </w:r>
            <w:r w:rsidR="00B20C1B" w:rsidRPr="00E4422B">
              <w:rPr>
                <w:sz w:val="20"/>
                <w:szCs w:val="20"/>
              </w:rPr>
              <w:t>t</w:t>
            </w:r>
            <w:r w:rsidR="00D178CB" w:rsidRPr="00E4422B">
              <w:rPr>
                <w:sz w:val="20"/>
                <w:szCs w:val="20"/>
              </w:rPr>
              <w:t xml:space="preserve"> incentives, lab tests (HVB, HVC, TSH) and supplies.</w:t>
            </w:r>
          </w:p>
          <w:p w14:paraId="2E304847" w14:textId="4868E292" w:rsidR="0015208B" w:rsidRDefault="0015208B" w:rsidP="0015208B">
            <w:pPr>
              <w:shd w:val="clear" w:color="auto" w:fill="FFFFFF" w:themeFill="background1"/>
              <w:spacing w:after="0" w:line="240" w:lineRule="auto"/>
              <w:jc w:val="both"/>
              <w:rPr>
                <w:sz w:val="20"/>
                <w:szCs w:val="20"/>
              </w:rPr>
            </w:pPr>
          </w:p>
          <w:p w14:paraId="0D518830" w14:textId="63839983" w:rsidR="0015208B" w:rsidRDefault="0015208B" w:rsidP="0015208B">
            <w:pPr>
              <w:shd w:val="clear" w:color="auto" w:fill="FFFFFF" w:themeFill="background1"/>
              <w:spacing w:after="0" w:line="240" w:lineRule="auto"/>
              <w:jc w:val="both"/>
              <w:rPr>
                <w:sz w:val="20"/>
                <w:szCs w:val="20"/>
              </w:rPr>
            </w:pPr>
            <w:r w:rsidRPr="00371F9D">
              <w:rPr>
                <w:sz w:val="20"/>
                <w:szCs w:val="20"/>
              </w:rPr>
              <w:t xml:space="preserve">The </w:t>
            </w:r>
            <w:r w:rsidRPr="00E4422B">
              <w:rPr>
                <w:sz w:val="20"/>
                <w:szCs w:val="20"/>
              </w:rPr>
              <w:t xml:space="preserve">funding request includes support for 100% of needs of pediatric regimens, 100% adults for Left Bank and </w:t>
            </w:r>
            <w:r w:rsidR="00E4422B" w:rsidRPr="00E4422B">
              <w:rPr>
                <w:sz w:val="20"/>
                <w:szCs w:val="20"/>
              </w:rPr>
              <w:t>45-35</w:t>
            </w:r>
            <w:r w:rsidRPr="00E4422B">
              <w:rPr>
                <w:sz w:val="20"/>
                <w:szCs w:val="20"/>
              </w:rPr>
              <w:t>-</w:t>
            </w:r>
            <w:r w:rsidR="00E4422B" w:rsidRPr="00E4422B">
              <w:rPr>
                <w:sz w:val="20"/>
                <w:szCs w:val="20"/>
              </w:rPr>
              <w:t>25</w:t>
            </w:r>
            <w:r w:rsidRPr="00E4422B">
              <w:rPr>
                <w:sz w:val="20"/>
                <w:szCs w:val="20"/>
              </w:rPr>
              <w:t>% needs for the Right Bank in DST testing needs. The Government of Moldova and de facto authorities in Transnistria will cover 100% on DS-TB drug</w:t>
            </w:r>
            <w:r>
              <w:rPr>
                <w:sz w:val="20"/>
                <w:szCs w:val="20"/>
              </w:rPr>
              <w:t xml:space="preserve"> </w:t>
            </w:r>
            <w:r w:rsidRPr="00885B6F">
              <w:rPr>
                <w:sz w:val="20"/>
                <w:szCs w:val="20"/>
              </w:rPr>
              <w:t xml:space="preserve">procurement and other </w:t>
            </w:r>
            <w:r>
              <w:rPr>
                <w:sz w:val="20"/>
                <w:szCs w:val="20"/>
              </w:rPr>
              <w:t xml:space="preserve">operational </w:t>
            </w:r>
            <w:r w:rsidRPr="00885B6F">
              <w:rPr>
                <w:sz w:val="20"/>
                <w:szCs w:val="20"/>
              </w:rPr>
              <w:t xml:space="preserve">costs of treatment including staff and facility costs. </w:t>
            </w:r>
          </w:p>
          <w:p w14:paraId="0BE25C5A" w14:textId="77777777" w:rsidR="0015208B" w:rsidRDefault="0015208B" w:rsidP="0015208B">
            <w:pPr>
              <w:shd w:val="clear" w:color="auto" w:fill="FFFFFF" w:themeFill="background1"/>
              <w:spacing w:after="0" w:line="240" w:lineRule="auto"/>
              <w:jc w:val="both"/>
              <w:rPr>
                <w:sz w:val="20"/>
                <w:szCs w:val="20"/>
              </w:rPr>
            </w:pPr>
          </w:p>
          <w:p w14:paraId="05FDA40B" w14:textId="3F51A9AE" w:rsidR="0015208B" w:rsidRPr="008B64BE" w:rsidRDefault="00A361E4" w:rsidP="0015208B">
            <w:pPr>
              <w:shd w:val="clear" w:color="auto" w:fill="FFFFFF" w:themeFill="background1"/>
              <w:spacing w:after="0" w:line="240" w:lineRule="auto"/>
              <w:jc w:val="both"/>
              <w:rPr>
                <w:rFonts w:cs="Arial"/>
                <w:color w:val="000000"/>
                <w:sz w:val="20"/>
                <w:szCs w:val="20"/>
              </w:rPr>
            </w:pPr>
            <w:r>
              <w:rPr>
                <w:rFonts w:cs="Arial"/>
                <w:b/>
                <w:color w:val="000000"/>
                <w:sz w:val="20"/>
                <w:szCs w:val="20"/>
              </w:rPr>
              <w:t>N</w:t>
            </w:r>
            <w:r w:rsidR="0015208B" w:rsidRPr="00703114">
              <w:rPr>
                <w:rFonts w:cs="Arial"/>
                <w:b/>
                <w:color w:val="000000"/>
                <w:sz w:val="20"/>
                <w:szCs w:val="20"/>
              </w:rPr>
              <w:t>ationwide scale-up</w:t>
            </w:r>
            <w:r>
              <w:rPr>
                <w:rFonts w:cs="Arial"/>
                <w:b/>
                <w:color w:val="000000"/>
                <w:sz w:val="20"/>
                <w:szCs w:val="20"/>
              </w:rPr>
              <w:t xml:space="preserve"> of digital adherence</w:t>
            </w:r>
            <w:r w:rsidR="0015208B" w:rsidRPr="008B64BE">
              <w:rPr>
                <w:rFonts w:cs="Arial"/>
                <w:color w:val="000000"/>
                <w:sz w:val="20"/>
                <w:szCs w:val="20"/>
              </w:rPr>
              <w:t>.</w:t>
            </w:r>
            <w:r w:rsidR="0015208B">
              <w:rPr>
                <w:rFonts w:cs="Arial"/>
                <w:color w:val="000000"/>
                <w:sz w:val="20"/>
                <w:szCs w:val="20"/>
              </w:rPr>
              <w:t xml:space="preserve"> Currently, with support from STP TB REACH Wave 6 grant, Moldova is in the process of expanding treatment administration via </w:t>
            </w:r>
            <w:r>
              <w:rPr>
                <w:rFonts w:cs="Arial"/>
                <w:color w:val="000000"/>
                <w:sz w:val="20"/>
                <w:szCs w:val="20"/>
              </w:rPr>
              <w:t>digital adherence technology I-LIKE-</w:t>
            </w:r>
            <w:r w:rsidR="0015208B">
              <w:rPr>
                <w:rFonts w:cs="Arial"/>
                <w:color w:val="000000"/>
                <w:sz w:val="20"/>
                <w:szCs w:val="20"/>
              </w:rPr>
              <w:t>VOT</w:t>
            </w:r>
            <w:r>
              <w:rPr>
                <w:rFonts w:cs="Arial"/>
                <w:color w:val="000000"/>
                <w:sz w:val="20"/>
                <w:szCs w:val="20"/>
              </w:rPr>
              <w:t xml:space="preserve"> app</w:t>
            </w:r>
            <w:r w:rsidR="0015208B">
              <w:rPr>
                <w:rFonts w:cs="Arial"/>
                <w:color w:val="000000"/>
                <w:sz w:val="20"/>
                <w:szCs w:val="20"/>
              </w:rPr>
              <w:t xml:space="preserve">. </w:t>
            </w:r>
            <w:r>
              <w:rPr>
                <w:rFonts w:cs="Arial"/>
                <w:color w:val="000000"/>
                <w:sz w:val="20"/>
                <w:szCs w:val="20"/>
              </w:rPr>
              <w:t>The</w:t>
            </w:r>
            <w:r w:rsidR="0015208B">
              <w:rPr>
                <w:rFonts w:cs="Arial"/>
                <w:color w:val="000000"/>
                <w:sz w:val="20"/>
                <w:szCs w:val="20"/>
              </w:rPr>
              <w:t xml:space="preserve"> app combines </w:t>
            </w:r>
            <w:r>
              <w:rPr>
                <w:rFonts w:cs="Arial"/>
                <w:color w:val="000000"/>
                <w:sz w:val="20"/>
                <w:szCs w:val="20"/>
              </w:rPr>
              <w:t xml:space="preserve">feature </w:t>
            </w:r>
            <w:r w:rsidR="0015208B">
              <w:rPr>
                <w:rFonts w:cs="Arial"/>
                <w:color w:val="000000"/>
                <w:sz w:val="20"/>
                <w:szCs w:val="20"/>
              </w:rPr>
              <w:t>o</w:t>
            </w:r>
            <w:r>
              <w:rPr>
                <w:rFonts w:cs="Arial"/>
                <w:color w:val="000000"/>
                <w:sz w:val="20"/>
                <w:szCs w:val="20"/>
              </w:rPr>
              <w:t>f</w:t>
            </w:r>
            <w:r w:rsidR="0015208B">
              <w:rPr>
                <w:rFonts w:cs="Arial"/>
                <w:color w:val="000000"/>
                <w:sz w:val="20"/>
                <w:szCs w:val="20"/>
              </w:rPr>
              <w:t xml:space="preserve"> VOT </w:t>
            </w:r>
            <w:r>
              <w:rPr>
                <w:rFonts w:cs="Arial"/>
                <w:color w:val="000000"/>
                <w:sz w:val="20"/>
                <w:szCs w:val="20"/>
              </w:rPr>
              <w:t xml:space="preserve">(including adverse reaction reporting) </w:t>
            </w:r>
            <w:r w:rsidR="0015208B">
              <w:rPr>
                <w:rFonts w:cs="Arial"/>
                <w:color w:val="000000"/>
                <w:sz w:val="20"/>
                <w:szCs w:val="20"/>
              </w:rPr>
              <w:t>and One Impact technolog</w:t>
            </w:r>
            <w:r>
              <w:rPr>
                <w:rFonts w:cs="Arial"/>
                <w:color w:val="000000"/>
                <w:sz w:val="20"/>
                <w:szCs w:val="20"/>
              </w:rPr>
              <w:t>ies, (community based monitoring</w:t>
            </w:r>
            <w:r w:rsidR="0015208B">
              <w:rPr>
                <w:rFonts w:cs="Arial"/>
                <w:color w:val="000000"/>
                <w:sz w:val="20"/>
                <w:szCs w:val="20"/>
              </w:rPr>
              <w:t xml:space="preserve">. </w:t>
            </w:r>
            <w:r>
              <w:rPr>
                <w:rFonts w:cs="Arial"/>
                <w:color w:val="000000"/>
                <w:sz w:val="20"/>
                <w:szCs w:val="20"/>
              </w:rPr>
              <w:t>Given Covid</w:t>
            </w:r>
            <w:r w:rsidR="0015208B">
              <w:rPr>
                <w:rFonts w:cs="Arial"/>
                <w:color w:val="000000"/>
                <w:sz w:val="20"/>
                <w:szCs w:val="20"/>
              </w:rPr>
              <w:t xml:space="preserve"> </w:t>
            </w:r>
            <w:r>
              <w:rPr>
                <w:rFonts w:cs="Arial"/>
                <w:color w:val="000000"/>
                <w:sz w:val="20"/>
                <w:szCs w:val="20"/>
              </w:rPr>
              <w:t>mobility restrictions and health system overload</w:t>
            </w:r>
            <w:r w:rsidR="0015208B">
              <w:rPr>
                <w:rFonts w:cs="Arial"/>
                <w:color w:val="000000"/>
                <w:sz w:val="20"/>
                <w:szCs w:val="20"/>
              </w:rPr>
              <w:t xml:space="preserve">, the country expanded the enrolment </w:t>
            </w:r>
            <w:r>
              <w:rPr>
                <w:rFonts w:cs="Arial"/>
                <w:color w:val="000000"/>
                <w:sz w:val="20"/>
                <w:szCs w:val="20"/>
              </w:rPr>
              <w:t xml:space="preserve">in VOT </w:t>
            </w:r>
            <w:r w:rsidR="0015208B">
              <w:rPr>
                <w:rFonts w:cs="Arial"/>
                <w:color w:val="000000"/>
                <w:sz w:val="20"/>
                <w:szCs w:val="20"/>
              </w:rPr>
              <w:t xml:space="preserve">in Chisinau, and </w:t>
            </w:r>
            <w:r w:rsidR="00661C8B">
              <w:rPr>
                <w:rFonts w:cs="Arial"/>
                <w:color w:val="000000"/>
                <w:sz w:val="20"/>
                <w:szCs w:val="20"/>
              </w:rPr>
              <w:t>is in the process to enroll in more sites</w:t>
            </w:r>
            <w:r w:rsidR="0015208B">
              <w:rPr>
                <w:rFonts w:cs="Arial"/>
                <w:color w:val="000000"/>
                <w:sz w:val="20"/>
                <w:szCs w:val="20"/>
              </w:rPr>
              <w:t>, including Balti, Transnistria and distri</w:t>
            </w:r>
            <w:r>
              <w:rPr>
                <w:rFonts w:cs="Arial"/>
                <w:color w:val="000000"/>
                <w:sz w:val="20"/>
                <w:szCs w:val="20"/>
              </w:rPr>
              <w:t>cts. The funding request will support</w:t>
            </w:r>
            <w:r w:rsidR="0015208B">
              <w:rPr>
                <w:rFonts w:cs="Arial"/>
                <w:color w:val="000000"/>
                <w:sz w:val="20"/>
                <w:szCs w:val="20"/>
              </w:rPr>
              <w:t xml:space="preserve"> expansion of </w:t>
            </w:r>
            <w:r>
              <w:rPr>
                <w:rFonts w:cs="Arial"/>
                <w:color w:val="000000"/>
                <w:sz w:val="20"/>
                <w:szCs w:val="20"/>
              </w:rPr>
              <w:t>I-LIKE-VOT</w:t>
            </w:r>
            <w:r w:rsidR="0015208B">
              <w:rPr>
                <w:rFonts w:cs="Arial"/>
                <w:color w:val="000000"/>
                <w:sz w:val="20"/>
                <w:szCs w:val="20"/>
              </w:rPr>
              <w:t xml:space="preserve"> at national level </w:t>
            </w:r>
            <w:r>
              <w:rPr>
                <w:rFonts w:cs="Arial"/>
                <w:color w:val="000000"/>
                <w:sz w:val="20"/>
                <w:szCs w:val="20"/>
              </w:rPr>
              <w:t xml:space="preserve">and </w:t>
            </w:r>
            <w:r w:rsidR="0015208B">
              <w:rPr>
                <w:rFonts w:cs="Arial"/>
                <w:color w:val="000000"/>
                <w:sz w:val="20"/>
                <w:szCs w:val="20"/>
              </w:rPr>
              <w:t>it</w:t>
            </w:r>
            <w:r>
              <w:rPr>
                <w:rFonts w:cs="Arial"/>
                <w:color w:val="000000"/>
                <w:sz w:val="20"/>
                <w:szCs w:val="20"/>
              </w:rPr>
              <w:t>s</w:t>
            </w:r>
            <w:r w:rsidR="0015208B">
              <w:rPr>
                <w:rFonts w:cs="Arial"/>
                <w:color w:val="000000"/>
                <w:sz w:val="20"/>
                <w:szCs w:val="20"/>
              </w:rPr>
              <w:t xml:space="preserve"> routine offering to ensure acceleration of outpatient </w:t>
            </w:r>
            <w:r>
              <w:rPr>
                <w:rFonts w:cs="Arial"/>
                <w:color w:val="000000"/>
                <w:sz w:val="20"/>
                <w:szCs w:val="20"/>
              </w:rPr>
              <w:t xml:space="preserve">decentralized </w:t>
            </w:r>
            <w:r w:rsidR="0015208B">
              <w:rPr>
                <w:rFonts w:cs="Arial"/>
                <w:color w:val="000000"/>
                <w:sz w:val="20"/>
                <w:szCs w:val="20"/>
              </w:rPr>
              <w:t>model. The funding request includes equipment and operational costs, informational materials to ensure full implementation.</w:t>
            </w:r>
          </w:p>
          <w:p w14:paraId="61F615F0" w14:textId="7CFCE88B" w:rsidR="0015208B" w:rsidRDefault="0015208B" w:rsidP="0015208B">
            <w:pPr>
              <w:shd w:val="clear" w:color="auto" w:fill="FFFFFF" w:themeFill="background1"/>
              <w:spacing w:after="0" w:line="240" w:lineRule="auto"/>
              <w:jc w:val="both"/>
              <w:rPr>
                <w:rFonts w:cs="Arial"/>
                <w:color w:val="000000"/>
                <w:sz w:val="20"/>
                <w:szCs w:val="20"/>
              </w:rPr>
            </w:pPr>
            <w:r w:rsidRPr="00703114">
              <w:rPr>
                <w:rFonts w:cs="Arial"/>
                <w:b/>
                <w:color w:val="000000"/>
                <w:sz w:val="20"/>
                <w:szCs w:val="20"/>
              </w:rPr>
              <w:lastRenderedPageBreak/>
              <w:t>Case-management and adherence sup</w:t>
            </w:r>
            <w:r>
              <w:rPr>
                <w:rFonts w:cs="Arial"/>
                <w:b/>
                <w:color w:val="000000"/>
                <w:sz w:val="20"/>
                <w:szCs w:val="20"/>
              </w:rPr>
              <w:t xml:space="preserve">port through </w:t>
            </w:r>
            <w:r w:rsidRPr="00703114">
              <w:rPr>
                <w:rFonts w:cs="Arial"/>
                <w:b/>
                <w:color w:val="000000"/>
                <w:sz w:val="20"/>
                <w:szCs w:val="20"/>
              </w:rPr>
              <w:t>multidisciplin</w:t>
            </w:r>
            <w:r>
              <w:rPr>
                <w:rFonts w:cs="Arial"/>
                <w:b/>
                <w:color w:val="000000"/>
                <w:sz w:val="20"/>
                <w:szCs w:val="20"/>
              </w:rPr>
              <w:t>ary approach</w:t>
            </w:r>
            <w:r>
              <w:rPr>
                <w:rFonts w:cs="Arial"/>
                <w:color w:val="000000"/>
                <w:sz w:val="20"/>
                <w:szCs w:val="20"/>
              </w:rPr>
              <w:t xml:space="preserve">: The current and previous grants have provided support to a multidisciplinary approach to providing non-medical support to patients on ambulatory TB case. </w:t>
            </w:r>
            <w:r w:rsidRPr="00572FC4">
              <w:rPr>
                <w:rFonts w:cs="Arial"/>
                <w:color w:val="000000"/>
                <w:sz w:val="20"/>
                <w:szCs w:val="20"/>
              </w:rPr>
              <w:t xml:space="preserve">Staff at the </w:t>
            </w:r>
            <w:r w:rsidRPr="003D3FD7">
              <w:rPr>
                <w:rFonts w:cs="Arial"/>
                <w:color w:val="000000"/>
                <w:sz w:val="20"/>
                <w:szCs w:val="20"/>
              </w:rPr>
              <w:t>TB</w:t>
            </w:r>
            <w:r>
              <w:rPr>
                <w:rFonts w:cs="Arial"/>
                <w:color w:val="000000"/>
                <w:sz w:val="20"/>
                <w:szCs w:val="20"/>
              </w:rPr>
              <w:t xml:space="preserve"> Treatment S</w:t>
            </w:r>
            <w:r w:rsidRPr="003D3FD7">
              <w:rPr>
                <w:rFonts w:cs="Arial"/>
                <w:color w:val="000000"/>
                <w:sz w:val="20"/>
                <w:szCs w:val="20"/>
              </w:rPr>
              <w:t>upport Center</w:t>
            </w:r>
            <w:r>
              <w:rPr>
                <w:rFonts w:cs="Arial"/>
                <w:color w:val="000000"/>
                <w:sz w:val="20"/>
                <w:szCs w:val="20"/>
              </w:rPr>
              <w:t xml:space="preserve"> at district level is </w:t>
            </w:r>
            <w:r w:rsidR="00AA25E4">
              <w:rPr>
                <w:rFonts w:cs="Arial"/>
                <w:color w:val="000000"/>
                <w:sz w:val="20"/>
                <w:szCs w:val="20"/>
              </w:rPr>
              <w:t xml:space="preserve">an addition to pneumo-phtisiology department </w:t>
            </w:r>
            <w:r>
              <w:rPr>
                <w:rFonts w:cs="Arial"/>
                <w:color w:val="000000"/>
                <w:sz w:val="20"/>
                <w:szCs w:val="20"/>
              </w:rPr>
              <w:t xml:space="preserve">and </w:t>
            </w:r>
            <w:r w:rsidRPr="003D3FD7">
              <w:rPr>
                <w:rFonts w:cs="Arial"/>
                <w:color w:val="000000"/>
                <w:sz w:val="20"/>
                <w:szCs w:val="20"/>
              </w:rPr>
              <w:t>include</w:t>
            </w:r>
            <w:r w:rsidR="00AA25E4">
              <w:rPr>
                <w:rFonts w:cs="Arial"/>
                <w:color w:val="000000"/>
                <w:sz w:val="20"/>
                <w:szCs w:val="20"/>
              </w:rPr>
              <w:t xml:space="preserve"> a coordinator</w:t>
            </w:r>
            <w:r w:rsidRPr="00572FC4">
              <w:rPr>
                <w:rFonts w:cs="Arial"/>
                <w:color w:val="000000"/>
                <w:sz w:val="20"/>
                <w:szCs w:val="20"/>
              </w:rPr>
              <w:t xml:space="preserve">, a psychologist, a </w:t>
            </w:r>
            <w:r w:rsidRPr="003D3FD7">
              <w:rPr>
                <w:rFonts w:cs="Arial"/>
                <w:color w:val="000000"/>
                <w:sz w:val="20"/>
                <w:szCs w:val="20"/>
              </w:rPr>
              <w:t xml:space="preserve">social worker and a DOT worker. </w:t>
            </w:r>
            <w:r w:rsidRPr="00572FC4">
              <w:rPr>
                <w:rFonts w:cs="Arial"/>
                <w:color w:val="000000"/>
                <w:sz w:val="20"/>
                <w:szCs w:val="20"/>
              </w:rPr>
              <w:t>A case management approach is used</w:t>
            </w:r>
            <w:r>
              <w:rPr>
                <w:rFonts w:cs="Arial"/>
                <w:color w:val="000000"/>
                <w:sz w:val="20"/>
                <w:szCs w:val="20"/>
              </w:rPr>
              <w:t xml:space="preserve"> to ensure patients stay on treatment and their non-medical needs are addressed.</w:t>
            </w:r>
            <w:r w:rsidRPr="003D3FD7">
              <w:rPr>
                <w:rFonts w:cs="Arial"/>
                <w:color w:val="000000"/>
                <w:sz w:val="20"/>
                <w:szCs w:val="20"/>
              </w:rPr>
              <w:t xml:space="preserve"> Such approach demonstrated success, in 2018 and 2019 prevented 16% of patients being lost-to-follow-up; 13% on the </w:t>
            </w:r>
            <w:r w:rsidR="00AA25E4">
              <w:rPr>
                <w:rFonts w:cs="Arial"/>
                <w:color w:val="000000"/>
                <w:sz w:val="20"/>
                <w:szCs w:val="20"/>
              </w:rPr>
              <w:t>r</w:t>
            </w:r>
            <w:r w:rsidRPr="003D3FD7">
              <w:rPr>
                <w:rFonts w:cs="Arial"/>
                <w:color w:val="000000"/>
                <w:sz w:val="20"/>
                <w:szCs w:val="20"/>
              </w:rPr>
              <w:t>ight bank and 26% in Transnis</w:t>
            </w:r>
            <w:r>
              <w:rPr>
                <w:rFonts w:cs="Arial"/>
                <w:color w:val="000000"/>
                <w:sz w:val="20"/>
                <w:szCs w:val="20"/>
              </w:rPr>
              <w:t>tria.</w:t>
            </w:r>
            <w:r w:rsidR="00AA25E4">
              <w:rPr>
                <w:rFonts w:cs="Arial"/>
                <w:color w:val="000000"/>
                <w:sz w:val="20"/>
                <w:szCs w:val="20"/>
              </w:rPr>
              <w:t xml:space="preserve"> </w:t>
            </w:r>
            <w:r>
              <w:rPr>
                <w:rFonts w:cs="Arial"/>
                <w:color w:val="000000"/>
                <w:sz w:val="20"/>
                <w:szCs w:val="20"/>
              </w:rPr>
              <w:t xml:space="preserve">The </w:t>
            </w:r>
            <w:r w:rsidR="00AA25E4">
              <w:rPr>
                <w:rFonts w:cs="Arial"/>
                <w:color w:val="000000"/>
                <w:sz w:val="20"/>
                <w:szCs w:val="20"/>
              </w:rPr>
              <w:t>sustainability and transition</w:t>
            </w:r>
            <w:r>
              <w:rPr>
                <w:rFonts w:cs="Arial"/>
                <w:color w:val="000000"/>
                <w:sz w:val="20"/>
                <w:szCs w:val="20"/>
              </w:rPr>
              <w:t xml:space="preserve"> plan includes full takeover of this model for the Right Bank by end of 2020. At the end of December 2019, the Ministry of Health in</w:t>
            </w:r>
            <w:r w:rsidR="00AA25E4">
              <w:rPr>
                <w:rFonts w:cs="Arial"/>
                <w:color w:val="000000"/>
                <w:sz w:val="20"/>
                <w:szCs w:val="20"/>
              </w:rPr>
              <w:t>tegrated these positions in TB pneumo-phtisiology</w:t>
            </w:r>
            <w:r>
              <w:rPr>
                <w:rFonts w:cs="Arial"/>
                <w:color w:val="000000"/>
                <w:sz w:val="20"/>
                <w:szCs w:val="20"/>
              </w:rPr>
              <w:t xml:space="preserve"> service on the Right Bank. However, no additional funding was allocated in 2020 to support staff. It is expected that as a result of TB service costing exercise currently ongoing in 2020, the TB service will be able to receive additional funding to cover these positions starting with 2021. There is no takeover plan in Transnistria. Therefore, the funding request include 100% support to current </w:t>
            </w:r>
            <w:r w:rsidR="00FC0952">
              <w:rPr>
                <w:rFonts w:cs="Arial"/>
                <w:color w:val="000000"/>
                <w:sz w:val="20"/>
                <w:szCs w:val="20"/>
              </w:rPr>
              <w:t>centers in Transn</w:t>
            </w:r>
            <w:r>
              <w:rPr>
                <w:rFonts w:cs="Arial"/>
                <w:color w:val="000000"/>
                <w:sz w:val="20"/>
                <w:szCs w:val="20"/>
              </w:rPr>
              <w:t>i</w:t>
            </w:r>
            <w:r w:rsidR="00FC0952">
              <w:rPr>
                <w:rFonts w:cs="Arial"/>
                <w:color w:val="000000"/>
                <w:sz w:val="20"/>
                <w:szCs w:val="20"/>
              </w:rPr>
              <w:t>s</w:t>
            </w:r>
            <w:r>
              <w:rPr>
                <w:rFonts w:cs="Arial"/>
                <w:color w:val="000000"/>
                <w:sz w:val="20"/>
                <w:szCs w:val="20"/>
              </w:rPr>
              <w:t>tria and operational support to ensure supervision, ca</w:t>
            </w:r>
            <w:r w:rsidR="00AA25E4">
              <w:rPr>
                <w:rFonts w:cs="Arial"/>
                <w:color w:val="000000"/>
                <w:sz w:val="20"/>
                <w:szCs w:val="20"/>
              </w:rPr>
              <w:t>pacity building activities for R</w:t>
            </w:r>
            <w:r>
              <w:rPr>
                <w:rFonts w:cs="Arial"/>
                <w:color w:val="000000"/>
                <w:sz w:val="20"/>
                <w:szCs w:val="20"/>
              </w:rPr>
              <w:t xml:space="preserve">ight Bank. </w:t>
            </w:r>
          </w:p>
          <w:p w14:paraId="38B48DE7" w14:textId="77777777" w:rsidR="0015208B" w:rsidRDefault="0015208B" w:rsidP="0015208B">
            <w:pPr>
              <w:shd w:val="clear" w:color="auto" w:fill="FFFFFF" w:themeFill="background1"/>
              <w:spacing w:after="0" w:line="240" w:lineRule="auto"/>
              <w:rPr>
                <w:rFonts w:cs="Arial"/>
                <w:color w:val="000000"/>
                <w:sz w:val="20"/>
                <w:szCs w:val="20"/>
              </w:rPr>
            </w:pPr>
          </w:p>
          <w:p w14:paraId="083C1EB3" w14:textId="683DAC04" w:rsidR="0015208B" w:rsidRDefault="00E4422B" w:rsidP="005457B4">
            <w:pPr>
              <w:shd w:val="clear" w:color="auto" w:fill="FFFFFF" w:themeFill="background1"/>
              <w:spacing w:after="0" w:line="240" w:lineRule="auto"/>
              <w:jc w:val="both"/>
              <w:rPr>
                <w:rFonts w:cs="Arial"/>
                <w:color w:val="000000"/>
                <w:sz w:val="20"/>
                <w:szCs w:val="20"/>
              </w:rPr>
            </w:pPr>
            <w:r>
              <w:rPr>
                <w:rFonts w:cs="Arial"/>
                <w:b/>
                <w:color w:val="000000"/>
                <w:sz w:val="20"/>
                <w:szCs w:val="20"/>
              </w:rPr>
              <w:t>Peer-to-peer</w:t>
            </w:r>
            <w:r w:rsidR="0015208B">
              <w:rPr>
                <w:rFonts w:cs="Arial"/>
                <w:b/>
                <w:color w:val="000000"/>
                <w:sz w:val="20"/>
                <w:szCs w:val="20"/>
              </w:rPr>
              <w:t xml:space="preserve"> </w:t>
            </w:r>
            <w:r w:rsidR="00F51699">
              <w:rPr>
                <w:rFonts w:cs="Arial"/>
                <w:b/>
                <w:color w:val="000000"/>
                <w:sz w:val="20"/>
                <w:szCs w:val="20"/>
              </w:rPr>
              <w:t xml:space="preserve">support </w:t>
            </w:r>
            <w:r>
              <w:rPr>
                <w:rFonts w:cs="Arial"/>
                <w:b/>
                <w:color w:val="000000"/>
                <w:sz w:val="20"/>
                <w:szCs w:val="20"/>
              </w:rPr>
              <w:t xml:space="preserve">and CSO-led </w:t>
            </w:r>
            <w:r w:rsidRPr="00266027">
              <w:rPr>
                <w:rFonts w:cs="Arial"/>
                <w:b/>
                <w:color w:val="000000"/>
                <w:sz w:val="20"/>
                <w:szCs w:val="20"/>
              </w:rPr>
              <w:t>adherence support</w:t>
            </w:r>
            <w:r>
              <w:rPr>
                <w:rFonts w:cs="Arial"/>
                <w:b/>
                <w:color w:val="000000"/>
                <w:sz w:val="20"/>
                <w:szCs w:val="20"/>
              </w:rPr>
              <w:t xml:space="preserve"> (</w:t>
            </w:r>
            <w:r w:rsidR="0015208B">
              <w:rPr>
                <w:rFonts w:cs="Arial"/>
                <w:b/>
                <w:color w:val="000000"/>
                <w:sz w:val="20"/>
                <w:szCs w:val="20"/>
              </w:rPr>
              <w:t>small grants</w:t>
            </w:r>
            <w:r>
              <w:rPr>
                <w:rFonts w:cs="Arial"/>
                <w:b/>
                <w:color w:val="000000"/>
                <w:sz w:val="20"/>
                <w:szCs w:val="20"/>
              </w:rPr>
              <w:t>)</w:t>
            </w:r>
            <w:r w:rsidR="0015208B">
              <w:rPr>
                <w:rFonts w:cs="Arial"/>
                <w:b/>
                <w:color w:val="000000"/>
                <w:sz w:val="20"/>
                <w:szCs w:val="20"/>
              </w:rPr>
              <w:t xml:space="preserve">: </w:t>
            </w:r>
            <w:r w:rsidR="0015208B" w:rsidRPr="008C26BD">
              <w:rPr>
                <w:rFonts w:cs="Arial"/>
                <w:color w:val="000000"/>
                <w:sz w:val="20"/>
                <w:szCs w:val="20"/>
              </w:rPr>
              <w:t>this is CSO-led support</w:t>
            </w:r>
            <w:r w:rsidR="00F51699">
              <w:rPr>
                <w:rFonts w:cs="Arial"/>
                <w:color w:val="000000"/>
                <w:sz w:val="20"/>
                <w:szCs w:val="20"/>
              </w:rPr>
              <w:t>.</w:t>
            </w:r>
            <w:r w:rsidR="0015208B" w:rsidRPr="008C26BD">
              <w:rPr>
                <w:rFonts w:cs="Arial"/>
                <w:color w:val="000000"/>
                <w:sz w:val="20"/>
                <w:szCs w:val="20"/>
              </w:rPr>
              <w:t xml:space="preserve"> </w:t>
            </w:r>
            <w:r w:rsidR="00F51699" w:rsidRPr="008E65B8">
              <w:rPr>
                <w:rFonts w:cs="Arial"/>
                <w:color w:val="000000"/>
                <w:sz w:val="20"/>
                <w:szCs w:val="20"/>
              </w:rPr>
              <w:t>It will place special emphasis on supporting patients from vulnerable groups and communities during ambulatory TB and DR-TB treatment. This will be addressed through intensified psychological support, involving families and community actors, information / education, following up on referrals and mitigating the risks of defaulting</w:t>
            </w:r>
            <w:r w:rsidR="00F51699">
              <w:rPr>
                <w:rFonts w:cs="Arial"/>
                <w:color w:val="000000"/>
                <w:sz w:val="20"/>
                <w:szCs w:val="20"/>
              </w:rPr>
              <w:t>, peer-to-peer counseling of patients at the time of treatment initiation and throughout treatment, home visits and individual and group</w:t>
            </w:r>
            <w:r w:rsidR="00F51699" w:rsidRPr="008C26BD">
              <w:rPr>
                <w:rFonts w:cs="Arial"/>
                <w:color w:val="000000"/>
                <w:sz w:val="20"/>
                <w:szCs w:val="20"/>
              </w:rPr>
              <w:t xml:space="preserve"> </w:t>
            </w:r>
            <w:r w:rsidR="00F51699">
              <w:rPr>
                <w:rFonts w:cs="Arial"/>
                <w:color w:val="000000"/>
                <w:sz w:val="20"/>
                <w:szCs w:val="20"/>
              </w:rPr>
              <w:t>counseling</w:t>
            </w:r>
            <w:r w:rsidR="00F51699" w:rsidRPr="008C26BD">
              <w:rPr>
                <w:rFonts w:cs="Arial"/>
                <w:color w:val="000000"/>
                <w:sz w:val="20"/>
                <w:szCs w:val="20"/>
              </w:rPr>
              <w:t>.</w:t>
            </w:r>
            <w:r w:rsidR="00F51699">
              <w:rPr>
                <w:rFonts w:cs="Arial"/>
                <w:color w:val="000000"/>
                <w:sz w:val="20"/>
                <w:szCs w:val="20"/>
              </w:rPr>
              <w:t xml:space="preserve"> </w:t>
            </w:r>
            <w:r w:rsidR="00F51699" w:rsidRPr="008E65B8">
              <w:rPr>
                <w:rFonts w:cs="Arial"/>
                <w:color w:val="000000"/>
                <w:sz w:val="20"/>
                <w:szCs w:val="20"/>
              </w:rPr>
              <w:t>The activities will include information and education work through peer support, motivating the beneficiaries to stay on treatment, psychological support and facilitating links between TB and HIV services, and addressing legal barriers to care and discrimination</w:t>
            </w:r>
            <w:r w:rsidR="00F51699">
              <w:rPr>
                <w:rFonts w:cs="Arial"/>
                <w:color w:val="000000"/>
                <w:sz w:val="20"/>
                <w:szCs w:val="20"/>
              </w:rPr>
              <w:t>.</w:t>
            </w:r>
            <w:r>
              <w:rPr>
                <w:rFonts w:cs="Arial"/>
                <w:color w:val="000000"/>
                <w:sz w:val="20"/>
                <w:szCs w:val="20"/>
              </w:rPr>
              <w:t xml:space="preserve"> </w:t>
            </w:r>
            <w:r w:rsidR="00F51699">
              <w:rPr>
                <w:rFonts w:cs="Arial"/>
                <w:color w:val="000000"/>
                <w:sz w:val="20"/>
                <w:szCs w:val="20"/>
              </w:rPr>
              <w:t>As part of funding request CS</w:t>
            </w:r>
            <w:r w:rsidR="0015208B" w:rsidRPr="008C26BD">
              <w:rPr>
                <w:rFonts w:cs="Arial"/>
                <w:color w:val="000000"/>
                <w:sz w:val="20"/>
                <w:szCs w:val="20"/>
              </w:rPr>
              <w:t xml:space="preserve">Os will provide such </w:t>
            </w:r>
            <w:r w:rsidR="0015208B">
              <w:rPr>
                <w:rFonts w:cs="Arial"/>
                <w:color w:val="000000"/>
                <w:sz w:val="20"/>
                <w:szCs w:val="20"/>
              </w:rPr>
              <w:t xml:space="preserve">support to </w:t>
            </w:r>
            <w:r>
              <w:rPr>
                <w:rFonts w:cs="Arial"/>
                <w:color w:val="000000"/>
                <w:sz w:val="20"/>
                <w:szCs w:val="20"/>
              </w:rPr>
              <w:t>10-15-20% of patients with DS-TB and 10-15-20% of MDR-TB patients.</w:t>
            </w:r>
          </w:p>
          <w:p w14:paraId="20FD0A32" w14:textId="77777777" w:rsidR="005457B4" w:rsidRPr="00266027" w:rsidRDefault="005457B4" w:rsidP="005457B4">
            <w:pPr>
              <w:shd w:val="clear" w:color="auto" w:fill="FFFFFF" w:themeFill="background1"/>
              <w:spacing w:after="0" w:line="240" w:lineRule="auto"/>
              <w:jc w:val="both"/>
              <w:rPr>
                <w:rFonts w:ascii="Times New Roman" w:eastAsia="SimSun" w:hAnsi="Times New Roman" w:cs="Times New Roman"/>
                <w:b/>
                <w:i/>
                <w:lang w:eastAsia="zh-CN"/>
              </w:rPr>
            </w:pPr>
          </w:p>
          <w:p w14:paraId="0572792C" w14:textId="5FB94D74" w:rsidR="0015208B" w:rsidRDefault="0015208B" w:rsidP="0015208B">
            <w:pPr>
              <w:shd w:val="clear" w:color="auto" w:fill="FFFFFF" w:themeFill="background1"/>
              <w:spacing w:after="0" w:line="240" w:lineRule="auto"/>
              <w:rPr>
                <w:rFonts w:cs="Arial"/>
                <w:color w:val="000000"/>
                <w:sz w:val="20"/>
                <w:szCs w:val="20"/>
              </w:rPr>
            </w:pPr>
            <w:r>
              <w:rPr>
                <w:rFonts w:cs="Arial"/>
                <w:b/>
                <w:color w:val="000000"/>
                <w:sz w:val="20"/>
                <w:szCs w:val="20"/>
              </w:rPr>
              <w:t>Adherence support and case management for</w:t>
            </w:r>
            <w:r w:rsidRPr="00703114">
              <w:rPr>
                <w:rFonts w:cs="Arial"/>
                <w:b/>
                <w:color w:val="000000"/>
                <w:sz w:val="20"/>
                <w:szCs w:val="20"/>
              </w:rPr>
              <w:t xml:space="preserve"> p</w:t>
            </w:r>
            <w:r w:rsidRPr="0000338D">
              <w:rPr>
                <w:rFonts w:cs="Arial"/>
                <w:b/>
                <w:color w:val="000000"/>
                <w:sz w:val="20"/>
                <w:szCs w:val="20"/>
              </w:rPr>
              <w:t>risoners:</w:t>
            </w:r>
            <w:r w:rsidRPr="005648C5">
              <w:rPr>
                <w:rFonts w:cs="Arial"/>
                <w:color w:val="000000"/>
                <w:sz w:val="20"/>
                <w:szCs w:val="20"/>
              </w:rPr>
              <w:t xml:space="preserve"> </w:t>
            </w:r>
            <w:r w:rsidR="005457B4">
              <w:rPr>
                <w:rFonts w:cs="Arial"/>
                <w:color w:val="000000"/>
                <w:sz w:val="20"/>
                <w:szCs w:val="20"/>
              </w:rPr>
              <w:t>a small grant will ensure all necessary accompaniment to provide supportive services, case-management and prerelease work to 100% of people in detention who have TB. Expected coverage 550 in the years.</w:t>
            </w:r>
          </w:p>
          <w:p w14:paraId="139F43AD" w14:textId="77777777" w:rsidR="0015208B" w:rsidRDefault="0015208B" w:rsidP="0015208B">
            <w:pPr>
              <w:shd w:val="clear" w:color="auto" w:fill="FFFFFF" w:themeFill="background1"/>
              <w:spacing w:after="0" w:line="240" w:lineRule="auto"/>
              <w:rPr>
                <w:rFonts w:cs="Arial"/>
                <w:color w:val="000000"/>
                <w:sz w:val="20"/>
                <w:szCs w:val="20"/>
              </w:rPr>
            </w:pPr>
          </w:p>
          <w:p w14:paraId="5FF3FEFE" w14:textId="563AC438" w:rsidR="0015208B" w:rsidRPr="0000338D" w:rsidRDefault="0015208B" w:rsidP="000A0A56">
            <w:pPr>
              <w:shd w:val="clear" w:color="auto" w:fill="FFFFFF" w:themeFill="background1"/>
              <w:spacing w:after="0" w:line="240" w:lineRule="auto"/>
              <w:jc w:val="both"/>
              <w:rPr>
                <w:rFonts w:cs="Arial"/>
                <w:color w:val="000000"/>
                <w:sz w:val="20"/>
                <w:szCs w:val="20"/>
              </w:rPr>
            </w:pPr>
            <w:r>
              <w:rPr>
                <w:rFonts w:cs="Arial"/>
                <w:b/>
                <w:color w:val="000000"/>
                <w:sz w:val="20"/>
                <w:szCs w:val="20"/>
              </w:rPr>
              <w:t>Continuity of care for</w:t>
            </w:r>
            <w:r w:rsidRPr="0000338D">
              <w:rPr>
                <w:rFonts w:cs="Arial"/>
                <w:b/>
                <w:color w:val="000000"/>
                <w:sz w:val="20"/>
                <w:szCs w:val="20"/>
              </w:rPr>
              <w:t xml:space="preserve"> </w:t>
            </w:r>
            <w:r>
              <w:rPr>
                <w:rFonts w:cs="Arial"/>
                <w:b/>
                <w:color w:val="000000"/>
                <w:sz w:val="20"/>
                <w:szCs w:val="20"/>
              </w:rPr>
              <w:t>m</w:t>
            </w:r>
            <w:r w:rsidRPr="0000338D">
              <w:rPr>
                <w:rFonts w:cs="Arial"/>
                <w:b/>
                <w:color w:val="000000"/>
                <w:sz w:val="20"/>
                <w:szCs w:val="20"/>
              </w:rPr>
              <w:t>igrants</w:t>
            </w:r>
            <w:r>
              <w:rPr>
                <w:b/>
              </w:rPr>
              <w:t xml:space="preserve">: </w:t>
            </w:r>
            <w:r w:rsidRPr="00A559D2">
              <w:rPr>
                <w:rFonts w:cs="Arial"/>
                <w:color w:val="000000"/>
                <w:sz w:val="20"/>
                <w:szCs w:val="20"/>
              </w:rPr>
              <w:t xml:space="preserve">activities related to </w:t>
            </w:r>
            <w:r w:rsidR="00AA25E4" w:rsidRPr="00A559D2">
              <w:rPr>
                <w:rFonts w:cs="Arial"/>
                <w:color w:val="000000"/>
                <w:sz w:val="20"/>
                <w:szCs w:val="20"/>
              </w:rPr>
              <w:t>migrants’</w:t>
            </w:r>
            <w:r w:rsidRPr="00A559D2">
              <w:rPr>
                <w:rFonts w:cs="Arial"/>
                <w:color w:val="000000"/>
                <w:sz w:val="20"/>
                <w:szCs w:val="20"/>
              </w:rPr>
              <w:t xml:space="preserve"> contribution will receive IOM </w:t>
            </w:r>
            <w:r>
              <w:rPr>
                <w:rFonts w:cs="Arial"/>
                <w:color w:val="000000"/>
                <w:sz w:val="20"/>
                <w:szCs w:val="20"/>
              </w:rPr>
              <w:t>s</w:t>
            </w:r>
            <w:r w:rsidRPr="00A559D2">
              <w:rPr>
                <w:rFonts w:cs="Arial"/>
                <w:color w:val="000000"/>
                <w:sz w:val="20"/>
                <w:szCs w:val="20"/>
              </w:rPr>
              <w:t>upport</w:t>
            </w:r>
            <w:r>
              <w:rPr>
                <w:rFonts w:cs="Arial"/>
                <w:color w:val="000000"/>
                <w:sz w:val="20"/>
                <w:szCs w:val="20"/>
              </w:rPr>
              <w:t xml:space="preserve"> from International </w:t>
            </w:r>
            <w:r w:rsidR="00AA25E4">
              <w:rPr>
                <w:rFonts w:cs="Arial"/>
                <w:color w:val="000000"/>
                <w:sz w:val="20"/>
                <w:szCs w:val="20"/>
              </w:rPr>
              <w:t>Organization</w:t>
            </w:r>
            <w:r>
              <w:rPr>
                <w:rFonts w:cs="Arial"/>
                <w:color w:val="000000"/>
                <w:sz w:val="20"/>
                <w:szCs w:val="20"/>
              </w:rPr>
              <w:t xml:space="preserve"> for Migration</w:t>
            </w:r>
            <w:r w:rsidRPr="00A559D2">
              <w:rPr>
                <w:rFonts w:cs="Arial"/>
                <w:color w:val="000000"/>
                <w:sz w:val="20"/>
                <w:szCs w:val="20"/>
              </w:rPr>
              <w:t xml:space="preserve">. The funding request includes technical assistance </w:t>
            </w:r>
            <w:r w:rsidRPr="0000338D">
              <w:rPr>
                <w:rFonts w:cs="Arial"/>
                <w:color w:val="000000"/>
                <w:sz w:val="20"/>
                <w:szCs w:val="20"/>
              </w:rPr>
              <w:t>develop standard operating procedure for TB case-management for those requesting political asylum and trans</w:t>
            </w:r>
            <w:r>
              <w:rPr>
                <w:rFonts w:cs="Arial"/>
                <w:color w:val="000000"/>
                <w:sz w:val="20"/>
                <w:szCs w:val="20"/>
              </w:rPr>
              <w:t>-</w:t>
            </w:r>
            <w:r w:rsidRPr="0000338D">
              <w:rPr>
                <w:rFonts w:cs="Arial"/>
                <w:color w:val="000000"/>
                <w:sz w:val="20"/>
                <w:szCs w:val="20"/>
              </w:rPr>
              <w:t xml:space="preserve">border transfer </w:t>
            </w:r>
          </w:p>
          <w:p w14:paraId="2E8A4398" w14:textId="77777777" w:rsidR="0015208B" w:rsidRDefault="0015208B" w:rsidP="0015208B">
            <w:pPr>
              <w:shd w:val="clear" w:color="auto" w:fill="FFFFFF" w:themeFill="background1"/>
              <w:spacing w:after="0" w:line="240" w:lineRule="auto"/>
              <w:rPr>
                <w:rFonts w:cs="Arial"/>
                <w:color w:val="000000"/>
                <w:sz w:val="20"/>
                <w:szCs w:val="20"/>
              </w:rPr>
            </w:pPr>
          </w:p>
          <w:p w14:paraId="094FF896" w14:textId="77777777" w:rsidR="0015208B" w:rsidRPr="00F13BEF" w:rsidRDefault="0015208B" w:rsidP="0015208B">
            <w:pPr>
              <w:shd w:val="clear" w:color="auto" w:fill="0070C0"/>
              <w:ind w:left="1418" w:hanging="1418"/>
              <w:contextualSpacing/>
              <w:jc w:val="both"/>
              <w:rPr>
                <w:rFonts w:cs="Arial"/>
                <w:b/>
                <w:color w:val="FFFFFF" w:themeColor="background1"/>
                <w:sz w:val="20"/>
                <w:szCs w:val="20"/>
              </w:rPr>
            </w:pPr>
            <w:r w:rsidRPr="00F13BEF">
              <w:rPr>
                <w:rFonts w:cs="Arial"/>
                <w:b/>
                <w:color w:val="FFFFFF" w:themeColor="background1"/>
                <w:sz w:val="20"/>
                <w:szCs w:val="20"/>
              </w:rPr>
              <w:t xml:space="preserve">Reduce TB transmission </w:t>
            </w:r>
          </w:p>
          <w:p w14:paraId="5C004837" w14:textId="77777777" w:rsidR="0015208B" w:rsidRDefault="0015208B" w:rsidP="0015208B">
            <w:pPr>
              <w:shd w:val="clear" w:color="auto" w:fill="FFFFFF" w:themeFill="background1"/>
              <w:spacing w:after="0" w:line="240" w:lineRule="auto"/>
              <w:rPr>
                <w:rFonts w:cs="Arial"/>
                <w:i/>
                <w:sz w:val="20"/>
                <w:szCs w:val="20"/>
                <w:u w:val="single"/>
              </w:rPr>
            </w:pPr>
          </w:p>
          <w:p w14:paraId="11DF48E4" w14:textId="29FB98C3" w:rsidR="0015208B" w:rsidRDefault="00FC0952" w:rsidP="0039496C">
            <w:pPr>
              <w:pStyle w:val="Default"/>
              <w:jc w:val="both"/>
              <w:rPr>
                <w:sz w:val="20"/>
                <w:szCs w:val="20"/>
              </w:rPr>
            </w:pPr>
            <w:r>
              <w:rPr>
                <w:b/>
                <w:sz w:val="20"/>
                <w:szCs w:val="20"/>
              </w:rPr>
              <w:t xml:space="preserve">Scale-up </w:t>
            </w:r>
            <w:r w:rsidR="00226000">
              <w:rPr>
                <w:b/>
                <w:sz w:val="20"/>
                <w:szCs w:val="20"/>
              </w:rPr>
              <w:t>TPT:</w:t>
            </w:r>
            <w:r w:rsidR="0015208B" w:rsidRPr="0000338D">
              <w:rPr>
                <w:sz w:val="20"/>
                <w:szCs w:val="20"/>
              </w:rPr>
              <w:t xml:space="preserve"> </w:t>
            </w:r>
            <w:r>
              <w:rPr>
                <w:sz w:val="20"/>
                <w:szCs w:val="20"/>
              </w:rPr>
              <w:t>the intervention will support scale-up of new approaches to TPT and targets scale-up of TPT in children and adult contacts, PLHIV</w:t>
            </w:r>
            <w:r w:rsidR="0015208B" w:rsidRPr="0000338D">
              <w:rPr>
                <w:sz w:val="20"/>
                <w:szCs w:val="20"/>
              </w:rPr>
              <w:t>.</w:t>
            </w:r>
            <w:r w:rsidR="0039496C">
              <w:rPr>
                <w:color w:val="auto"/>
                <w:sz w:val="20"/>
                <w:szCs w:val="20"/>
              </w:rPr>
              <w:t xml:space="preserve"> Shorter, </w:t>
            </w:r>
            <w:r w:rsidR="00936973">
              <w:rPr>
                <w:color w:val="auto"/>
                <w:sz w:val="20"/>
                <w:szCs w:val="20"/>
              </w:rPr>
              <w:t>R</w:t>
            </w:r>
            <w:r w:rsidR="0039496C">
              <w:rPr>
                <w:color w:val="auto"/>
                <w:sz w:val="20"/>
                <w:szCs w:val="20"/>
              </w:rPr>
              <w:t>ifapentine-containing preventive treatment regimens (</w:t>
            </w:r>
            <w:r w:rsidR="005457B4">
              <w:rPr>
                <w:color w:val="auto"/>
                <w:sz w:val="20"/>
                <w:szCs w:val="20"/>
              </w:rPr>
              <w:t>3</w:t>
            </w:r>
            <w:r w:rsidR="0039496C">
              <w:rPr>
                <w:color w:val="auto"/>
                <w:sz w:val="20"/>
                <w:szCs w:val="20"/>
              </w:rPr>
              <w:t>-month regimen</w:t>
            </w:r>
            <w:r w:rsidR="005457B4">
              <w:rPr>
                <w:color w:val="auto"/>
                <w:sz w:val="20"/>
                <w:szCs w:val="20"/>
              </w:rPr>
              <w:t>) of needs covered from th e GF 80%-40%-60%</w:t>
            </w:r>
            <w:r w:rsidR="0039496C">
              <w:rPr>
                <w:color w:val="auto"/>
                <w:sz w:val="20"/>
                <w:szCs w:val="20"/>
              </w:rPr>
              <w:t xml:space="preserve">, of all preventive treatments will be introduced. </w:t>
            </w:r>
            <w:r w:rsidR="00936973">
              <w:rPr>
                <w:color w:val="auto"/>
                <w:sz w:val="20"/>
                <w:szCs w:val="20"/>
              </w:rPr>
              <w:t xml:space="preserve"> Based on accumulated experience, national p</w:t>
            </w:r>
            <w:r w:rsidR="0039496C">
              <w:rPr>
                <w:color w:val="auto"/>
                <w:sz w:val="20"/>
                <w:szCs w:val="20"/>
              </w:rPr>
              <w:t xml:space="preserve">rocurements of Rifapentine </w:t>
            </w:r>
            <w:r w:rsidR="00936973">
              <w:rPr>
                <w:color w:val="auto"/>
                <w:sz w:val="20"/>
                <w:szCs w:val="20"/>
              </w:rPr>
              <w:t xml:space="preserve">will gradually pick up the </w:t>
            </w:r>
            <w:r w:rsidR="00936973" w:rsidRPr="00936973">
              <w:rPr>
                <w:color w:val="auto"/>
                <w:sz w:val="20"/>
                <w:szCs w:val="20"/>
              </w:rPr>
              <w:t>cost</w:t>
            </w:r>
            <w:r w:rsidR="0015208B" w:rsidRPr="00936973">
              <w:rPr>
                <w:sz w:val="20"/>
                <w:szCs w:val="20"/>
              </w:rPr>
              <w:t>. The fund</w:t>
            </w:r>
            <w:r w:rsidR="0039496C" w:rsidRPr="00936973">
              <w:rPr>
                <w:sz w:val="20"/>
                <w:szCs w:val="20"/>
              </w:rPr>
              <w:t>ing request include support to co-developing</w:t>
            </w:r>
            <w:r w:rsidR="0039496C">
              <w:rPr>
                <w:sz w:val="20"/>
                <w:szCs w:val="20"/>
              </w:rPr>
              <w:t xml:space="preserve"> a TPT</w:t>
            </w:r>
            <w:r w:rsidR="0039496C" w:rsidRPr="0000338D">
              <w:rPr>
                <w:sz w:val="20"/>
                <w:szCs w:val="20"/>
              </w:rPr>
              <w:t xml:space="preserve"> guide in line with new </w:t>
            </w:r>
            <w:r w:rsidR="0039496C">
              <w:rPr>
                <w:sz w:val="20"/>
                <w:szCs w:val="20"/>
              </w:rPr>
              <w:t>normative guidance and scale up;</w:t>
            </w:r>
            <w:r w:rsidR="0039496C" w:rsidRPr="0000338D">
              <w:rPr>
                <w:sz w:val="20"/>
                <w:szCs w:val="20"/>
              </w:rPr>
              <w:t xml:space="preserve"> LTBI testing using IGRA</w:t>
            </w:r>
            <w:r w:rsidR="00936973">
              <w:rPr>
                <w:sz w:val="20"/>
                <w:szCs w:val="20"/>
              </w:rPr>
              <w:t xml:space="preserve"> for 1,000 people per year and gradual take over through national procurement.</w:t>
            </w:r>
          </w:p>
          <w:p w14:paraId="3DFBFD50" w14:textId="77777777" w:rsidR="0015208B" w:rsidRPr="00BF4BEE" w:rsidRDefault="0015208B" w:rsidP="0015208B">
            <w:pPr>
              <w:spacing w:before="120" w:line="240" w:lineRule="auto"/>
              <w:jc w:val="both"/>
              <w:rPr>
                <w:rFonts w:ascii="Calibri" w:hAnsi="Calibri" w:cs="Times New Roman"/>
              </w:rPr>
            </w:pPr>
            <w:r w:rsidRPr="0000338D">
              <w:rPr>
                <w:rFonts w:cs="Arial"/>
                <w:b/>
                <w:sz w:val="20"/>
                <w:szCs w:val="20"/>
              </w:rPr>
              <w:t>TB care and prevention</w:t>
            </w:r>
            <w:r>
              <w:rPr>
                <w:rFonts w:cs="Arial"/>
                <w:b/>
                <w:color w:val="000000"/>
                <w:sz w:val="20"/>
                <w:szCs w:val="20"/>
              </w:rPr>
              <w:t xml:space="preserve"> - community care delivery: as part of primary prevention efforts and community mobilization, the funding request will provide support </w:t>
            </w:r>
            <w:r w:rsidRPr="00293E76">
              <w:rPr>
                <w:rFonts w:ascii="Times New Roman" w:eastAsia="SimSun" w:hAnsi="Times New Roman" w:cs="Times New Roman"/>
                <w:lang w:eastAsia="zh-CN"/>
              </w:rPr>
              <w:t xml:space="preserve">the </w:t>
            </w:r>
            <w:r w:rsidRPr="00266027">
              <w:rPr>
                <w:rFonts w:cs="Arial"/>
                <w:color w:val="000000"/>
                <w:sz w:val="20"/>
                <w:szCs w:val="20"/>
              </w:rPr>
              <w:t>project will support a number of activities aimed at increasing knowledge and awareness of TB patients, their families and communities regarding TB disease and the need to support the patients to complete treatment. At the same time, activities will target decision makers at different levels for ensuing appropriate response to the epidemic. The key approach to ACSM activities is to promote supporting attitudes to TB patients, which will facilitate provision of patient-centered care with participation, along with medical professionals, of other public service and non-state actors at community level. public TB communication and social mobilization campaigns, informational materials.) will be developed and distributed among target audiences. The project will also support production and broadcasting of TV and radio spots on local and national stations</w:t>
            </w:r>
            <w:r w:rsidRPr="00293E76">
              <w:rPr>
                <w:rFonts w:ascii="Times New Roman" w:hAnsi="Times New Roman" w:cs="Times New Roman"/>
              </w:rPr>
              <w:t>.</w:t>
            </w:r>
          </w:p>
        </w:tc>
      </w:tr>
      <w:tr w:rsidR="0015208B" w:rsidRPr="00BF4BEE" w14:paraId="3B5AF354" w14:textId="77777777" w:rsidTr="0015208B">
        <w:trPr>
          <w:trHeight w:val="440"/>
        </w:trPr>
        <w:tc>
          <w:tcPr>
            <w:tcW w:w="2448" w:type="dxa"/>
            <w:shd w:val="clear" w:color="auto" w:fill="F2F2F2"/>
            <w:vAlign w:val="center"/>
          </w:tcPr>
          <w:p w14:paraId="1A8D733D" w14:textId="77777777" w:rsidR="0015208B" w:rsidRPr="00BF4BEE" w:rsidRDefault="0015208B" w:rsidP="0015208B">
            <w:pPr>
              <w:spacing w:after="0"/>
            </w:pPr>
            <w:r w:rsidRPr="00BF4BEE">
              <w:lastRenderedPageBreak/>
              <w:t>Priority populations</w:t>
            </w:r>
          </w:p>
        </w:tc>
        <w:tc>
          <w:tcPr>
            <w:tcW w:w="7902" w:type="dxa"/>
          </w:tcPr>
          <w:p w14:paraId="3F8AB2CB" w14:textId="77777777" w:rsidR="0015208B" w:rsidRDefault="0015208B" w:rsidP="00F42E40">
            <w:pPr>
              <w:pStyle w:val="Default"/>
              <w:numPr>
                <w:ilvl w:val="0"/>
                <w:numId w:val="25"/>
              </w:numPr>
              <w:suppressAutoHyphens/>
              <w:adjustRightInd/>
              <w:textAlignment w:val="baseline"/>
              <w:rPr>
                <w:sz w:val="20"/>
                <w:szCs w:val="20"/>
              </w:rPr>
            </w:pPr>
            <w:r>
              <w:rPr>
                <w:sz w:val="20"/>
                <w:szCs w:val="20"/>
              </w:rPr>
              <w:t xml:space="preserve">Key populations: homeless people, prisoners and ex-prisoners, PLHIV, PWID people who are outside reach of primary care </w:t>
            </w:r>
          </w:p>
          <w:p w14:paraId="46F9E219" w14:textId="77777777" w:rsidR="0015208B" w:rsidRPr="00193ACC" w:rsidRDefault="0015208B" w:rsidP="00F42E40">
            <w:pPr>
              <w:pStyle w:val="Default"/>
              <w:numPr>
                <w:ilvl w:val="0"/>
                <w:numId w:val="25"/>
              </w:numPr>
              <w:suppressAutoHyphens/>
              <w:adjustRightInd/>
              <w:textAlignment w:val="baseline"/>
              <w:rPr>
                <w:sz w:val="20"/>
                <w:szCs w:val="20"/>
              </w:rPr>
            </w:pPr>
            <w:r w:rsidRPr="00193ACC">
              <w:rPr>
                <w:sz w:val="20"/>
                <w:szCs w:val="20"/>
              </w:rPr>
              <w:t>People with presumptive TB and active TB</w:t>
            </w:r>
            <w:r>
              <w:rPr>
                <w:sz w:val="20"/>
                <w:szCs w:val="20"/>
              </w:rPr>
              <w:t>, patients with drug-resistant TB and their families;</w:t>
            </w:r>
          </w:p>
          <w:p w14:paraId="7B63B670" w14:textId="77777777" w:rsidR="0015208B" w:rsidRPr="00A559D2" w:rsidRDefault="0015208B" w:rsidP="00F42E40">
            <w:pPr>
              <w:pStyle w:val="Default"/>
              <w:numPr>
                <w:ilvl w:val="0"/>
                <w:numId w:val="25"/>
              </w:numPr>
              <w:suppressAutoHyphens/>
              <w:adjustRightInd/>
              <w:textAlignment w:val="baseline"/>
              <w:rPr>
                <w:sz w:val="20"/>
                <w:szCs w:val="20"/>
              </w:rPr>
            </w:pPr>
            <w:r w:rsidRPr="001D0860">
              <w:rPr>
                <w:sz w:val="20"/>
                <w:szCs w:val="20"/>
              </w:rPr>
              <w:t>Children wi</w:t>
            </w:r>
            <w:r>
              <w:rPr>
                <w:sz w:val="20"/>
                <w:szCs w:val="20"/>
              </w:rPr>
              <w:t>th</w:t>
            </w:r>
            <w:r w:rsidRPr="001D0860">
              <w:rPr>
                <w:sz w:val="20"/>
                <w:szCs w:val="20"/>
              </w:rPr>
              <w:t xml:space="preserve"> </w:t>
            </w:r>
            <w:r w:rsidRPr="00193ACC">
              <w:rPr>
                <w:sz w:val="20"/>
                <w:szCs w:val="20"/>
              </w:rPr>
              <w:t>presumptive TB and active TB</w:t>
            </w:r>
            <w:r>
              <w:rPr>
                <w:sz w:val="20"/>
                <w:szCs w:val="20"/>
              </w:rPr>
              <w:t>, patients with drug-resistant TB and their families.</w:t>
            </w:r>
          </w:p>
        </w:tc>
      </w:tr>
      <w:tr w:rsidR="0015208B" w:rsidRPr="00BF4BEE" w14:paraId="65BD51D8" w14:textId="77777777" w:rsidTr="0015208B">
        <w:trPr>
          <w:trHeight w:val="440"/>
        </w:trPr>
        <w:tc>
          <w:tcPr>
            <w:tcW w:w="2448" w:type="dxa"/>
            <w:shd w:val="clear" w:color="auto" w:fill="F2F2F2"/>
            <w:vAlign w:val="center"/>
          </w:tcPr>
          <w:p w14:paraId="2B35B51C" w14:textId="77777777" w:rsidR="0015208B" w:rsidRPr="00633BBC" w:rsidRDefault="0015208B" w:rsidP="0015208B">
            <w:pPr>
              <w:spacing w:after="0"/>
            </w:pPr>
            <w:r>
              <w:t>Barriers and i</w:t>
            </w:r>
            <w:r w:rsidRPr="009A1DC8">
              <w:t>nequities</w:t>
            </w:r>
          </w:p>
        </w:tc>
        <w:tc>
          <w:tcPr>
            <w:tcW w:w="7902" w:type="dxa"/>
          </w:tcPr>
          <w:p w14:paraId="4671B39C" w14:textId="77777777" w:rsidR="0015208B" w:rsidRPr="008E65B8" w:rsidRDefault="0015208B" w:rsidP="00F42E40">
            <w:pPr>
              <w:pStyle w:val="ListParagraph"/>
              <w:numPr>
                <w:ilvl w:val="0"/>
                <w:numId w:val="26"/>
              </w:numPr>
              <w:spacing w:after="0" w:line="240" w:lineRule="auto"/>
              <w:ind w:left="360"/>
              <w:rPr>
                <w:sz w:val="20"/>
                <w:szCs w:val="20"/>
              </w:rPr>
            </w:pPr>
            <w:r w:rsidRPr="008E65B8">
              <w:rPr>
                <w:sz w:val="20"/>
                <w:szCs w:val="20"/>
              </w:rPr>
              <w:t>Active TB case finding activities among will address the key barriers to and inequities in accessing essential TB services faced by key populations, due to stigma and discrimination by health care staff and other providers and lack of motivation to seek and complete screening and diagnosis</w:t>
            </w:r>
          </w:p>
          <w:p w14:paraId="1304499B" w14:textId="77777777" w:rsidR="0015208B" w:rsidRDefault="0015208B" w:rsidP="0015208B">
            <w:pPr>
              <w:spacing w:after="0" w:line="240" w:lineRule="auto"/>
              <w:rPr>
                <w:sz w:val="20"/>
                <w:szCs w:val="20"/>
              </w:rPr>
            </w:pPr>
          </w:p>
          <w:p w14:paraId="2688824C" w14:textId="77777777" w:rsidR="0015208B" w:rsidRPr="008E65B8" w:rsidRDefault="0015208B" w:rsidP="00F42E40">
            <w:pPr>
              <w:pStyle w:val="ListParagraph"/>
              <w:numPr>
                <w:ilvl w:val="0"/>
                <w:numId w:val="26"/>
              </w:numPr>
              <w:spacing w:after="0" w:line="240" w:lineRule="auto"/>
              <w:ind w:left="360"/>
              <w:rPr>
                <w:sz w:val="20"/>
                <w:szCs w:val="20"/>
              </w:rPr>
            </w:pPr>
            <w:r w:rsidRPr="008E65B8">
              <w:rPr>
                <w:sz w:val="20"/>
                <w:szCs w:val="20"/>
              </w:rPr>
              <w:t xml:space="preserve">Ensuring universal access to Xpert technology at the peripheral TB service delivery level will allow to eliminate the key barrier in access to rapid and reliable diagnosis of TB and DR-TB for all people with presumptive TB. </w:t>
            </w:r>
          </w:p>
          <w:p w14:paraId="5DFB5FEB" w14:textId="77777777" w:rsidR="0015208B" w:rsidRDefault="0015208B" w:rsidP="0015208B">
            <w:pPr>
              <w:spacing w:after="0" w:line="240" w:lineRule="auto"/>
              <w:rPr>
                <w:sz w:val="20"/>
                <w:szCs w:val="20"/>
              </w:rPr>
            </w:pPr>
          </w:p>
          <w:p w14:paraId="0F9BB110" w14:textId="77777777" w:rsidR="0015208B" w:rsidRPr="008E65B8" w:rsidRDefault="0015208B" w:rsidP="00F42E40">
            <w:pPr>
              <w:pStyle w:val="ListParagraph"/>
              <w:numPr>
                <w:ilvl w:val="0"/>
                <w:numId w:val="26"/>
              </w:numPr>
              <w:spacing w:after="0" w:line="240" w:lineRule="auto"/>
              <w:ind w:left="360"/>
              <w:rPr>
                <w:sz w:val="20"/>
                <w:szCs w:val="20"/>
              </w:rPr>
            </w:pPr>
            <w:r w:rsidRPr="008E65B8">
              <w:rPr>
                <w:sz w:val="20"/>
                <w:szCs w:val="20"/>
              </w:rPr>
              <w:t>Ensuring universal coverage of quality DST will provide for timely administration of treatment based on the resistance profile, including effective implementation of modified shorter treatment regimens for DR-TB based on DST to second-line drugs and new drugs (Bdq, Dlm).</w:t>
            </w:r>
          </w:p>
          <w:p w14:paraId="62E45B7F" w14:textId="77777777" w:rsidR="0015208B" w:rsidRPr="00E41456" w:rsidRDefault="0015208B" w:rsidP="0015208B">
            <w:pPr>
              <w:spacing w:after="0" w:line="240" w:lineRule="auto"/>
              <w:rPr>
                <w:sz w:val="20"/>
                <w:szCs w:val="20"/>
              </w:rPr>
            </w:pPr>
          </w:p>
          <w:p w14:paraId="6D97092D" w14:textId="77777777" w:rsidR="0015208B" w:rsidRPr="008E65B8" w:rsidRDefault="0015208B" w:rsidP="00F42E40">
            <w:pPr>
              <w:pStyle w:val="ListParagraph"/>
              <w:numPr>
                <w:ilvl w:val="0"/>
                <w:numId w:val="26"/>
              </w:numPr>
              <w:spacing w:after="0" w:line="240" w:lineRule="auto"/>
              <w:ind w:left="360"/>
              <w:rPr>
                <w:sz w:val="20"/>
                <w:szCs w:val="20"/>
              </w:rPr>
            </w:pPr>
            <w:r w:rsidRPr="008E65B8">
              <w:rPr>
                <w:sz w:val="20"/>
                <w:szCs w:val="20"/>
              </w:rPr>
              <w:t>Expanding the use of new anti-TB drugs and treatment regimens will allow to eliminate the key barrier in access to modern and effective treatment of DR-TB including for patients with advanced drug resistance.</w:t>
            </w:r>
          </w:p>
          <w:p w14:paraId="5647EEB8" w14:textId="77777777" w:rsidR="0015208B" w:rsidRPr="00E41456" w:rsidRDefault="0015208B" w:rsidP="0015208B">
            <w:pPr>
              <w:spacing w:after="0" w:line="240" w:lineRule="auto"/>
              <w:rPr>
                <w:sz w:val="20"/>
                <w:szCs w:val="20"/>
              </w:rPr>
            </w:pPr>
          </w:p>
          <w:p w14:paraId="209DEDED" w14:textId="77777777" w:rsidR="0015208B" w:rsidRPr="008E65B8" w:rsidRDefault="0015208B" w:rsidP="00F42E40">
            <w:pPr>
              <w:pStyle w:val="ListParagraph"/>
              <w:numPr>
                <w:ilvl w:val="0"/>
                <w:numId w:val="26"/>
              </w:numPr>
              <w:spacing w:after="0" w:line="240" w:lineRule="auto"/>
              <w:ind w:left="360"/>
              <w:rPr>
                <w:sz w:val="20"/>
                <w:szCs w:val="20"/>
              </w:rPr>
            </w:pPr>
            <w:r w:rsidRPr="008E65B8">
              <w:rPr>
                <w:sz w:val="20"/>
                <w:szCs w:val="20"/>
              </w:rPr>
              <w:t>Provision of people- and patient-centered support and follow-up during TB treatment aims to address the key barriers to and inequities in accessing essential TB services faced by key populations, due to complex and lengthy treatment and service setup requiring substantial time and additional expenditures by patients and households; Substantial limitations in receiving appropriate care, stigma and discrimination, and other barriers for the most neglected and marginalized groups such as the homeless and people with alcohol dependence.</w:t>
            </w:r>
          </w:p>
        </w:tc>
      </w:tr>
      <w:tr w:rsidR="0015208B" w:rsidRPr="00BF4BEE" w14:paraId="5B68B08C" w14:textId="77777777" w:rsidTr="0015208B">
        <w:trPr>
          <w:trHeight w:val="440"/>
        </w:trPr>
        <w:tc>
          <w:tcPr>
            <w:tcW w:w="2448" w:type="dxa"/>
            <w:shd w:val="clear" w:color="auto" w:fill="F2F2F2"/>
            <w:vAlign w:val="center"/>
          </w:tcPr>
          <w:p w14:paraId="2AF9C6E1" w14:textId="77777777" w:rsidR="0015208B" w:rsidRPr="00BF4BEE" w:rsidRDefault="0015208B" w:rsidP="0015208B">
            <w:pPr>
              <w:spacing w:after="0"/>
            </w:pPr>
            <w:r w:rsidRPr="00BF4BEE">
              <w:t>Rationale</w:t>
            </w:r>
          </w:p>
        </w:tc>
        <w:tc>
          <w:tcPr>
            <w:tcW w:w="7902" w:type="dxa"/>
          </w:tcPr>
          <w:p w14:paraId="4B4F5F6F" w14:textId="42650BBE" w:rsidR="0015208B" w:rsidRDefault="0015208B" w:rsidP="0015208B">
            <w:pPr>
              <w:shd w:val="clear" w:color="auto" w:fill="FFFFFF" w:themeFill="background1"/>
              <w:spacing w:after="0" w:line="240" w:lineRule="auto"/>
              <w:jc w:val="both"/>
              <w:rPr>
                <w:rFonts w:cs="Arial"/>
                <w:color w:val="000000"/>
                <w:sz w:val="20"/>
                <w:szCs w:val="20"/>
              </w:rPr>
            </w:pPr>
            <w:r w:rsidRPr="0093226F">
              <w:rPr>
                <w:rFonts w:cs="Arial"/>
                <w:b/>
                <w:color w:val="000000"/>
                <w:sz w:val="20"/>
                <w:szCs w:val="20"/>
              </w:rPr>
              <w:t>Choice of strategic priorities:</w:t>
            </w:r>
            <w:r>
              <w:rPr>
                <w:rFonts w:cs="Arial"/>
                <w:color w:val="000000"/>
                <w:sz w:val="20"/>
                <w:szCs w:val="20"/>
              </w:rPr>
              <w:t xml:space="preserve"> </w:t>
            </w:r>
            <w:r w:rsidRPr="00572FC4">
              <w:rPr>
                <w:rFonts w:cs="Arial"/>
                <w:color w:val="000000"/>
                <w:sz w:val="20"/>
                <w:szCs w:val="20"/>
              </w:rPr>
              <w:t xml:space="preserve">Despite progress made in reducing TB incidence and deaths, Moldova’s TB response continues to face challenges, particularly in relation to increases in drug resistant TB and relatively late diagnosis of active TB. Modelling demonstrated that a shift towards more active case finding </w:t>
            </w:r>
            <w:r>
              <w:rPr>
                <w:rFonts w:cs="Arial"/>
                <w:color w:val="000000"/>
                <w:sz w:val="20"/>
                <w:szCs w:val="20"/>
              </w:rPr>
              <w:t xml:space="preserve">could lead to earlier diagnoses. </w:t>
            </w:r>
            <w:r w:rsidRPr="00572FC4">
              <w:rPr>
                <w:rFonts w:cs="Arial"/>
                <w:color w:val="000000"/>
                <w:sz w:val="20"/>
                <w:szCs w:val="20"/>
              </w:rPr>
              <w:t>To achieve an optimized use of current TB resources, specific reallocations are required in relation to how TB programs are delivered. Transitioning from hospital care to ambulatory care could reduce treatment cost by 24% and free up approximately US$2.8 million for reallocation to higher impact interventions or reinvestment to increase coverage.</w:t>
            </w:r>
            <w:r>
              <w:rPr>
                <w:rFonts w:cs="Arial"/>
                <w:color w:val="000000"/>
                <w:sz w:val="20"/>
                <w:szCs w:val="20"/>
              </w:rPr>
              <w:t xml:space="preserve"> </w:t>
            </w:r>
            <w:r w:rsidRPr="00572FC4">
              <w:rPr>
                <w:rFonts w:cs="Arial"/>
                <w:color w:val="000000"/>
                <w:sz w:val="20"/>
                <w:szCs w:val="20"/>
              </w:rPr>
              <w:t>Resources freed up by changing treatment modalities would need to be invested in selected higher-impact interventions and delivery solutions. These include provision of incentives for providers of ambulatory TB care, procurement of new, more efficacious drug regimens for MDR-TB and XDR-TB, scale up of rapid molecular diagnostics, enhanced active case finding among high-risk populations and enhanced contact tracing.</w:t>
            </w:r>
            <w:r>
              <w:rPr>
                <w:rFonts w:cs="Arial"/>
                <w:color w:val="000000"/>
                <w:sz w:val="20"/>
                <w:szCs w:val="20"/>
              </w:rPr>
              <w:t xml:space="preserve"> </w:t>
            </w:r>
            <w:r w:rsidRPr="00572FC4">
              <w:rPr>
                <w:rFonts w:cs="Arial"/>
                <w:color w:val="000000"/>
                <w:sz w:val="20"/>
                <w:szCs w:val="20"/>
              </w:rPr>
              <w:t>Despite these improvements</w:t>
            </w:r>
            <w:r>
              <w:rPr>
                <w:rFonts w:cs="Arial"/>
                <w:color w:val="000000"/>
                <w:sz w:val="20"/>
                <w:szCs w:val="20"/>
              </w:rPr>
              <w:t xml:space="preserve"> in optimized allocation, current domestic </w:t>
            </w:r>
            <w:r w:rsidRPr="00572FC4">
              <w:rPr>
                <w:rFonts w:cs="Arial"/>
                <w:color w:val="000000"/>
                <w:sz w:val="20"/>
                <w:szCs w:val="20"/>
              </w:rPr>
              <w:t>TB resources would be insufficient to achieve global TB targets set for 2035 and new technologies as well as strategies to address latent TB would be required to achieve 2035 targets.</w:t>
            </w:r>
            <w:r>
              <w:rPr>
                <w:rFonts w:cs="Arial"/>
                <w:color w:val="000000"/>
                <w:sz w:val="20"/>
                <w:szCs w:val="20"/>
              </w:rPr>
              <w:t xml:space="preserve"> </w:t>
            </w:r>
            <w:r w:rsidRPr="0018464A">
              <w:rPr>
                <w:rFonts w:cs="Arial"/>
                <w:color w:val="000000"/>
                <w:sz w:val="20"/>
                <w:szCs w:val="20"/>
              </w:rPr>
              <w:t xml:space="preserve">(Annex </w:t>
            </w:r>
            <w:r w:rsidR="0018464A" w:rsidRPr="0018464A">
              <w:rPr>
                <w:rFonts w:cs="Arial"/>
                <w:color w:val="000000"/>
                <w:sz w:val="20"/>
                <w:szCs w:val="20"/>
              </w:rPr>
              <w:t>7</w:t>
            </w:r>
            <w:r w:rsidRPr="0018464A">
              <w:rPr>
                <w:rFonts w:cs="Arial"/>
                <w:color w:val="000000"/>
                <w:sz w:val="20"/>
                <w:szCs w:val="20"/>
              </w:rPr>
              <w:t xml:space="preserve"> Optima TB)</w:t>
            </w:r>
          </w:p>
          <w:p w14:paraId="3F0CF9EB" w14:textId="77777777" w:rsidR="0015208B" w:rsidRDefault="0015208B" w:rsidP="0015208B">
            <w:pPr>
              <w:shd w:val="clear" w:color="auto" w:fill="FFFFFF" w:themeFill="background1"/>
              <w:spacing w:after="0" w:line="240" w:lineRule="auto"/>
              <w:rPr>
                <w:rFonts w:cs="Arial"/>
                <w:color w:val="000000"/>
                <w:sz w:val="20"/>
                <w:szCs w:val="20"/>
              </w:rPr>
            </w:pPr>
          </w:p>
          <w:p w14:paraId="6FDC88FB" w14:textId="77777777" w:rsidR="0015208B" w:rsidRPr="00572FC4" w:rsidRDefault="0015208B" w:rsidP="0015208B">
            <w:pPr>
              <w:shd w:val="clear" w:color="auto" w:fill="FFFFFF" w:themeFill="background1"/>
              <w:spacing w:line="240" w:lineRule="auto"/>
              <w:jc w:val="both"/>
              <w:rPr>
                <w:rFonts w:cs="Arial"/>
                <w:color w:val="000000"/>
                <w:sz w:val="20"/>
                <w:szCs w:val="20"/>
              </w:rPr>
            </w:pPr>
            <w:r w:rsidRPr="0093226F">
              <w:rPr>
                <w:rFonts w:cs="Arial"/>
                <w:b/>
                <w:color w:val="000000"/>
                <w:sz w:val="20"/>
                <w:szCs w:val="20"/>
              </w:rPr>
              <w:t>Access to rapid molecular and DST testing</w:t>
            </w:r>
            <w:r>
              <w:rPr>
                <w:rFonts w:cs="Arial"/>
                <w:color w:val="000000"/>
                <w:sz w:val="20"/>
                <w:szCs w:val="20"/>
              </w:rPr>
              <w:t xml:space="preserve">: Another modeling exercise showed that </w:t>
            </w:r>
            <w:r w:rsidRPr="00572FC4">
              <w:rPr>
                <w:rFonts w:cs="Arial"/>
                <w:color w:val="000000"/>
                <w:sz w:val="20"/>
                <w:szCs w:val="20"/>
              </w:rPr>
              <w:t>In Moldova, a combined measures scenario yields reductions of 27% (95% CrI 17–41) in cumulative incidence and 52% (35–63) in mortality, between 2018 and 2045</w:t>
            </w:r>
            <w:r>
              <w:rPr>
                <w:rFonts w:cs="Arial"/>
                <w:color w:val="000000"/>
                <w:sz w:val="20"/>
                <w:szCs w:val="20"/>
              </w:rPr>
              <w:t xml:space="preserve">, highlighting </w:t>
            </w:r>
            <w:r w:rsidRPr="00572FC4">
              <w:rPr>
                <w:rFonts w:cs="Arial"/>
                <w:color w:val="000000"/>
                <w:sz w:val="20"/>
                <w:szCs w:val="20"/>
              </w:rPr>
              <w:t>the importance of early drug sensitivity testing for settings with high MDR-tuberculosis burden, with similar effects attributable to levels of drug sensitivity testing in new and previously treated cases.</w:t>
            </w:r>
            <w:r>
              <w:rPr>
                <w:rStyle w:val="FootnoteReference"/>
                <w:rFonts w:cs="Arial"/>
                <w:color w:val="000000"/>
                <w:sz w:val="20"/>
                <w:szCs w:val="20"/>
              </w:rPr>
              <w:footnoteReference w:id="56"/>
            </w:r>
          </w:p>
          <w:p w14:paraId="7A7FF280" w14:textId="1A88CEFC" w:rsidR="0015208B" w:rsidRDefault="0015208B" w:rsidP="0015208B">
            <w:pPr>
              <w:shd w:val="clear" w:color="auto" w:fill="FFFFFF" w:themeFill="background1"/>
              <w:spacing w:after="0" w:line="240" w:lineRule="auto"/>
              <w:jc w:val="both"/>
              <w:rPr>
                <w:rFonts w:cs="Arial"/>
                <w:color w:val="000000"/>
                <w:sz w:val="20"/>
                <w:szCs w:val="20"/>
              </w:rPr>
            </w:pPr>
            <w:r>
              <w:rPr>
                <w:rFonts w:cs="Arial"/>
                <w:color w:val="000000"/>
                <w:sz w:val="20"/>
                <w:szCs w:val="20"/>
              </w:rPr>
              <w:t xml:space="preserve">The current TB screening in high and priority risk groups is integrated in primary care service provision, as well as contact investigation. However, a number of groups fall behind in reaching screening every year, i.e. those with alcohol use, those who are not on PHC list etc. There is no good quality data on key populations and an exercise to do size estimation and prioritization is planned under TB HRG module. In </w:t>
            </w:r>
            <w:r w:rsidRPr="0095133B">
              <w:rPr>
                <w:rFonts w:cs="Arial"/>
                <w:color w:val="000000"/>
                <w:sz w:val="20"/>
                <w:szCs w:val="20"/>
              </w:rPr>
              <w:t xml:space="preserve">addition to ACF conducted by the TB services through Government and National Health Insurance </w:t>
            </w:r>
            <w:r w:rsidRPr="0095133B">
              <w:rPr>
                <w:rFonts w:cs="Arial"/>
                <w:color w:val="000000"/>
                <w:sz w:val="20"/>
                <w:szCs w:val="20"/>
              </w:rPr>
              <w:lastRenderedPageBreak/>
              <w:t>Company NHIC funding.</w:t>
            </w:r>
            <w:r>
              <w:rPr>
                <w:rFonts w:cs="Arial"/>
                <w:color w:val="000000"/>
                <w:sz w:val="20"/>
                <w:szCs w:val="20"/>
              </w:rPr>
              <w:t xml:space="preserve"> Contact investigation. </w:t>
            </w:r>
            <w:r w:rsidRPr="0095133B">
              <w:rPr>
                <w:rFonts w:cs="Arial"/>
                <w:color w:val="000000"/>
                <w:sz w:val="20"/>
                <w:szCs w:val="20"/>
              </w:rPr>
              <w:t xml:space="preserve"> Family doctors do contact investigation and they receive lists of contacts through the </w:t>
            </w:r>
            <w:r>
              <w:rPr>
                <w:rFonts w:cs="Arial"/>
                <w:color w:val="000000"/>
                <w:sz w:val="20"/>
                <w:szCs w:val="20"/>
              </w:rPr>
              <w:t>p</w:t>
            </w:r>
            <w:r w:rsidRPr="0095133B">
              <w:rPr>
                <w:rFonts w:cs="Arial"/>
                <w:color w:val="000000"/>
                <w:sz w:val="20"/>
                <w:szCs w:val="20"/>
              </w:rPr>
              <w:t>htisio</w:t>
            </w:r>
            <w:r w:rsidR="00347E6D">
              <w:rPr>
                <w:rFonts w:cs="Arial"/>
                <w:color w:val="000000"/>
                <w:sz w:val="20"/>
                <w:szCs w:val="20"/>
              </w:rPr>
              <w:t>-</w:t>
            </w:r>
            <w:r w:rsidRPr="0095133B">
              <w:rPr>
                <w:rFonts w:cs="Arial"/>
                <w:color w:val="000000"/>
                <w:sz w:val="20"/>
                <w:szCs w:val="20"/>
              </w:rPr>
              <w:t>p</w:t>
            </w:r>
            <w:r w:rsidR="00347E6D">
              <w:rPr>
                <w:rFonts w:cs="Arial"/>
                <w:color w:val="000000"/>
                <w:sz w:val="20"/>
                <w:szCs w:val="20"/>
              </w:rPr>
              <w:t>neu</w:t>
            </w:r>
            <w:r w:rsidRPr="0095133B">
              <w:rPr>
                <w:rFonts w:cs="Arial"/>
                <w:color w:val="000000"/>
                <w:sz w:val="20"/>
                <w:szCs w:val="20"/>
              </w:rPr>
              <w:t>monologist. Funding is based on per capita of the population in the area where they work through the NHIC</w:t>
            </w:r>
            <w:r>
              <w:rPr>
                <w:rFonts w:cs="Arial"/>
                <w:color w:val="000000"/>
                <w:sz w:val="20"/>
                <w:szCs w:val="20"/>
              </w:rPr>
              <w:t xml:space="preserve">. Results of involvement of CSOs in screening high risk population shows higher yield compared to routine screening through PHC and thus is a cost-effective intervention. At the same time, reduced investment form GF allocation in current cycle to CSO-led case finding activities had a negative impact on results. According to the evaluation reduced funding for </w:t>
            </w:r>
            <w:r w:rsidRPr="0095133B">
              <w:rPr>
                <w:rFonts w:cs="Arial"/>
                <w:color w:val="000000"/>
                <w:sz w:val="20"/>
                <w:szCs w:val="20"/>
              </w:rPr>
              <w:t>ACF in KP</w:t>
            </w:r>
            <w:r>
              <w:rPr>
                <w:rFonts w:cs="Arial"/>
                <w:color w:val="000000"/>
                <w:sz w:val="20"/>
                <w:szCs w:val="20"/>
              </w:rPr>
              <w:t xml:space="preserve"> in 2018-2019 has substantially affected additional cases found: </w:t>
            </w:r>
            <w:r w:rsidRPr="00224E57">
              <w:rPr>
                <w:rFonts w:cs="Arial"/>
                <w:color w:val="000000"/>
                <w:sz w:val="20"/>
                <w:szCs w:val="20"/>
              </w:rPr>
              <w:t xml:space="preserve">2016-2017, community-based screening of 3,108 people detection 115 TB patients, a rate of 3,700 per 100,000. 2018-2019 out of 953 people screened, 23 TB patients diagnosed, a rate of 2,413 per 100,000. These data show there is clearly a need for ACF activities in KP, and investigating less people will result in less TB </w:t>
            </w:r>
            <w:r>
              <w:rPr>
                <w:rFonts w:cs="Arial"/>
                <w:color w:val="000000"/>
                <w:sz w:val="20"/>
                <w:szCs w:val="20"/>
              </w:rPr>
              <w:t>p</w:t>
            </w:r>
            <w:r w:rsidRPr="00224E57">
              <w:rPr>
                <w:rFonts w:cs="Arial"/>
                <w:color w:val="000000"/>
                <w:sz w:val="20"/>
                <w:szCs w:val="20"/>
              </w:rPr>
              <w:t>atients detected with potentially continued transmission in communities.</w:t>
            </w:r>
            <w:r w:rsidRPr="0095133B">
              <w:rPr>
                <w:rFonts w:cs="Arial"/>
                <w:color w:val="000000"/>
                <w:sz w:val="20"/>
                <w:szCs w:val="20"/>
              </w:rPr>
              <w:t xml:space="preserve"> </w:t>
            </w:r>
          </w:p>
          <w:p w14:paraId="0D7946BB" w14:textId="77777777" w:rsidR="00AB3105" w:rsidRDefault="00AB3105" w:rsidP="0015208B">
            <w:pPr>
              <w:shd w:val="clear" w:color="auto" w:fill="FFFFFF" w:themeFill="background1"/>
              <w:spacing w:after="0" w:line="240" w:lineRule="auto"/>
              <w:jc w:val="both"/>
              <w:rPr>
                <w:rFonts w:cs="Arial"/>
                <w:color w:val="000000"/>
                <w:sz w:val="20"/>
                <w:szCs w:val="20"/>
              </w:rPr>
            </w:pPr>
          </w:p>
          <w:p w14:paraId="6EE2821A" w14:textId="0F68D751" w:rsidR="0015208B" w:rsidRDefault="0015208B" w:rsidP="0015208B">
            <w:pPr>
              <w:shd w:val="clear" w:color="auto" w:fill="FFFFFF" w:themeFill="background1"/>
              <w:spacing w:after="0" w:line="240" w:lineRule="auto"/>
              <w:jc w:val="both"/>
              <w:rPr>
                <w:rFonts w:cs="Arial"/>
                <w:color w:val="000000"/>
                <w:sz w:val="20"/>
                <w:szCs w:val="20"/>
              </w:rPr>
            </w:pPr>
            <w:r w:rsidRPr="0093226F">
              <w:rPr>
                <w:rFonts w:cs="Arial"/>
                <w:b/>
                <w:color w:val="000000"/>
                <w:sz w:val="20"/>
                <w:szCs w:val="20"/>
              </w:rPr>
              <w:t>Transition to new regimens</w:t>
            </w:r>
            <w:r>
              <w:rPr>
                <w:rFonts w:cs="Arial"/>
                <w:color w:val="000000"/>
                <w:sz w:val="20"/>
                <w:szCs w:val="20"/>
              </w:rPr>
              <w:t xml:space="preserve">: </w:t>
            </w:r>
            <w:r w:rsidRPr="0093226F">
              <w:rPr>
                <w:rFonts w:cs="Arial"/>
                <w:color w:val="000000"/>
                <w:sz w:val="20"/>
                <w:szCs w:val="20"/>
              </w:rPr>
              <w:t>The country anticipates full rollout of short and all oral treatment regimens from June 2020, when Moldova expect to receive all necessary medicines and clinical protocols will be endorsed by MoH</w:t>
            </w:r>
            <w:r>
              <w:rPr>
                <w:rFonts w:cs="Arial"/>
                <w:color w:val="000000"/>
                <w:sz w:val="20"/>
                <w:szCs w:val="20"/>
              </w:rPr>
              <w:t>LSP</w:t>
            </w:r>
            <w:r w:rsidRPr="0093226F">
              <w:rPr>
                <w:rFonts w:cs="Arial"/>
                <w:color w:val="000000"/>
                <w:sz w:val="20"/>
                <w:szCs w:val="20"/>
              </w:rPr>
              <w:t>. A new protocol is approved in June 2020. The country anticipates full rollout of short and all oral treatment regimens from June 2020, when Moldova expect to receive all necessary medicines and clinical pr</w:t>
            </w:r>
            <w:r>
              <w:rPr>
                <w:rFonts w:cs="Arial"/>
                <w:color w:val="000000"/>
                <w:sz w:val="20"/>
                <w:szCs w:val="20"/>
              </w:rPr>
              <w:t>otocols will be endorsed by MoHLSP</w:t>
            </w:r>
            <w:r w:rsidR="0039496C">
              <w:rPr>
                <w:rFonts w:cs="Arial"/>
                <w:color w:val="000000"/>
                <w:sz w:val="20"/>
                <w:szCs w:val="20"/>
              </w:rPr>
              <w:t>.</w:t>
            </w:r>
          </w:p>
          <w:p w14:paraId="4418F3DA" w14:textId="77777777" w:rsidR="00AB3105" w:rsidRDefault="00AB3105" w:rsidP="0015208B">
            <w:pPr>
              <w:shd w:val="clear" w:color="auto" w:fill="FFFFFF" w:themeFill="background1"/>
              <w:spacing w:after="0" w:line="240" w:lineRule="auto"/>
              <w:jc w:val="both"/>
              <w:rPr>
                <w:rFonts w:cs="Arial"/>
                <w:color w:val="000000"/>
                <w:sz w:val="20"/>
                <w:szCs w:val="20"/>
              </w:rPr>
            </w:pPr>
          </w:p>
          <w:p w14:paraId="362242C8" w14:textId="77777777" w:rsidR="0015208B" w:rsidRPr="00BF4BEE" w:rsidRDefault="0015208B" w:rsidP="0015208B">
            <w:pPr>
              <w:shd w:val="clear" w:color="auto" w:fill="FFFFFF" w:themeFill="background1"/>
              <w:spacing w:after="0" w:line="240" w:lineRule="auto"/>
              <w:jc w:val="both"/>
              <w:rPr>
                <w:rFonts w:ascii="Calibri" w:hAnsi="Calibri" w:cs="Times New Roman"/>
              </w:rPr>
            </w:pPr>
            <w:r w:rsidRPr="0093226F">
              <w:rPr>
                <w:b/>
                <w:sz w:val="20"/>
                <w:szCs w:val="20"/>
              </w:rPr>
              <w:t>Models of patient support and treatment administration modalities</w:t>
            </w:r>
            <w:r>
              <w:rPr>
                <w:sz w:val="20"/>
                <w:szCs w:val="20"/>
              </w:rPr>
              <w:t xml:space="preserve">: </w:t>
            </w:r>
            <w:r w:rsidRPr="00EE6B2C">
              <w:rPr>
                <w:sz w:val="20"/>
                <w:szCs w:val="20"/>
              </w:rPr>
              <w:t xml:space="preserve">Taking into account as a result of the prioritization process, the proposal includes a comprehensive set of activities aimed at strengthening </w:t>
            </w:r>
            <w:r>
              <w:rPr>
                <w:sz w:val="20"/>
                <w:szCs w:val="20"/>
              </w:rPr>
              <w:t>and diversifying approaches of people</w:t>
            </w:r>
            <w:r w:rsidRPr="00EE6B2C">
              <w:rPr>
                <w:sz w:val="20"/>
                <w:szCs w:val="20"/>
              </w:rPr>
              <w:t>-centered approaches in TB care with a special emphasis on key population groups that face limitations in access to quality services.</w:t>
            </w:r>
            <w:r>
              <w:rPr>
                <w:sz w:val="20"/>
                <w:szCs w:val="20"/>
              </w:rPr>
              <w:t xml:space="preserve"> The approach is phasing out payment for patient incentives for the Right Bank (fully absorbed by the country), and multidisciplinary approach (keeping a capacity building and oversight and support component) for Right Bank, with a stronger and more differentiated approach to CSO-led support. On the Left Bank, given much poorer outcomes.  </w:t>
            </w:r>
          </w:p>
        </w:tc>
      </w:tr>
      <w:tr w:rsidR="0015208B" w:rsidRPr="00BF4BEE" w14:paraId="079B50FB" w14:textId="77777777" w:rsidTr="0015208B">
        <w:trPr>
          <w:trHeight w:val="431"/>
        </w:trPr>
        <w:tc>
          <w:tcPr>
            <w:tcW w:w="2448" w:type="dxa"/>
            <w:shd w:val="clear" w:color="auto" w:fill="F2F2F2"/>
            <w:vAlign w:val="center"/>
          </w:tcPr>
          <w:p w14:paraId="5A49DD0C" w14:textId="77777777" w:rsidR="0015208B" w:rsidRPr="00BF4BEE" w:rsidRDefault="0015208B" w:rsidP="0015208B">
            <w:pPr>
              <w:spacing w:after="0"/>
            </w:pPr>
            <w:r w:rsidRPr="00BF4BEE">
              <w:lastRenderedPageBreak/>
              <w:t>Expected Outcome</w:t>
            </w:r>
          </w:p>
        </w:tc>
        <w:tc>
          <w:tcPr>
            <w:tcW w:w="7902" w:type="dxa"/>
          </w:tcPr>
          <w:p w14:paraId="5EB20EAB" w14:textId="77777777" w:rsidR="0015208B" w:rsidRDefault="0015208B" w:rsidP="0015208B">
            <w:pPr>
              <w:spacing w:after="0" w:line="240" w:lineRule="auto"/>
              <w:jc w:val="center"/>
              <w:rPr>
                <w:b/>
                <w:bCs/>
                <w:sz w:val="20"/>
                <w:szCs w:val="20"/>
                <w:highlight w:val="yellow"/>
              </w:rPr>
            </w:pPr>
          </w:p>
          <w:p w14:paraId="6FE992E1" w14:textId="26035D14" w:rsidR="0015208B" w:rsidRDefault="0015208B" w:rsidP="0015208B">
            <w:pPr>
              <w:spacing w:after="0" w:line="240" w:lineRule="auto"/>
              <w:jc w:val="center"/>
              <w:rPr>
                <w:b/>
                <w:bCs/>
                <w:sz w:val="20"/>
                <w:szCs w:val="20"/>
              </w:rPr>
            </w:pPr>
            <w:r w:rsidRPr="00F835E6">
              <w:rPr>
                <w:b/>
                <w:bCs/>
                <w:sz w:val="20"/>
                <w:szCs w:val="20"/>
              </w:rPr>
              <w:t>Number of people reached within active TB case finding activities</w:t>
            </w:r>
          </w:p>
          <w:p w14:paraId="6EB4BCFE" w14:textId="726B5897" w:rsidR="0015208B" w:rsidRPr="00F835E6" w:rsidRDefault="00AB3105" w:rsidP="0015208B">
            <w:pPr>
              <w:spacing w:after="0" w:line="240" w:lineRule="auto"/>
              <w:jc w:val="center"/>
              <w:rPr>
                <w:b/>
                <w:bCs/>
                <w:sz w:val="20"/>
                <w:szCs w:val="20"/>
              </w:rPr>
            </w:pPr>
            <w:r>
              <w:rPr>
                <w:b/>
                <w:bCs/>
                <w:sz w:val="20"/>
                <w:szCs w:val="20"/>
              </w:rPr>
              <w:t>among key populations</w:t>
            </w:r>
            <w:r w:rsidR="0015208B">
              <w:rPr>
                <w:b/>
                <w:bCs/>
                <w:sz w:val="20"/>
                <w:szCs w:val="20"/>
              </w:rPr>
              <w:t xml:space="preserve"> and hard to reach</w:t>
            </w:r>
          </w:p>
          <w:p w14:paraId="26C354D6" w14:textId="77777777" w:rsidR="0015208B" w:rsidRPr="00F835E6" w:rsidRDefault="0015208B" w:rsidP="0015208B">
            <w:pPr>
              <w:spacing w:after="0" w:line="240" w:lineRule="auto"/>
              <w:rPr>
                <w:sz w:val="8"/>
                <w:szCs w:val="8"/>
              </w:rPr>
            </w:pPr>
          </w:p>
          <w:tbl>
            <w:tblPr>
              <w:tblStyle w:val="ListTable3-Accent5"/>
              <w:tblW w:w="0" w:type="auto"/>
              <w:tblLook w:val="04A0" w:firstRow="1" w:lastRow="0" w:firstColumn="1" w:lastColumn="0" w:noHBand="0" w:noVBand="1"/>
            </w:tblPr>
            <w:tblGrid>
              <w:gridCol w:w="2529"/>
              <w:gridCol w:w="1268"/>
              <w:gridCol w:w="1268"/>
              <w:gridCol w:w="1268"/>
              <w:gridCol w:w="1343"/>
            </w:tblGrid>
            <w:tr w:rsidR="0015208B" w:rsidRPr="00AB3105" w14:paraId="1FD44D5B" w14:textId="77777777" w:rsidTr="00AB31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9" w:type="dxa"/>
                </w:tcPr>
                <w:p w14:paraId="2E9A5342" w14:textId="77777777" w:rsidR="0015208B" w:rsidRPr="005457B4" w:rsidRDefault="0015208B" w:rsidP="0015208B">
                  <w:pPr>
                    <w:spacing w:after="0" w:line="240" w:lineRule="auto"/>
                    <w:jc w:val="center"/>
                    <w:rPr>
                      <w:rFonts w:cs="Arial"/>
                      <w:iCs/>
                      <w:sz w:val="20"/>
                      <w:szCs w:val="20"/>
                    </w:rPr>
                  </w:pPr>
                  <w:r w:rsidRPr="005457B4">
                    <w:rPr>
                      <w:rFonts w:cs="Arial"/>
                      <w:iCs/>
                      <w:sz w:val="20"/>
                      <w:szCs w:val="20"/>
                    </w:rPr>
                    <w:t>KP group</w:t>
                  </w:r>
                </w:p>
              </w:tc>
              <w:tc>
                <w:tcPr>
                  <w:tcW w:w="1268" w:type="dxa"/>
                </w:tcPr>
                <w:p w14:paraId="7178E9AF" w14:textId="268253A2" w:rsidR="0015208B" w:rsidRPr="005457B4" w:rsidRDefault="00AB3105" w:rsidP="001520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iCs/>
                      <w:sz w:val="20"/>
                      <w:szCs w:val="20"/>
                    </w:rPr>
                  </w:pPr>
                  <w:r w:rsidRPr="005457B4">
                    <w:rPr>
                      <w:rFonts w:cs="Arial"/>
                      <w:iCs/>
                      <w:sz w:val="20"/>
                      <w:szCs w:val="20"/>
                    </w:rPr>
                    <w:t>2021</w:t>
                  </w:r>
                </w:p>
              </w:tc>
              <w:tc>
                <w:tcPr>
                  <w:tcW w:w="1268" w:type="dxa"/>
                </w:tcPr>
                <w:p w14:paraId="46A9CF31" w14:textId="784B0559" w:rsidR="0015208B" w:rsidRPr="005457B4" w:rsidRDefault="0015208B" w:rsidP="00AB31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iCs/>
                      <w:sz w:val="20"/>
                      <w:szCs w:val="20"/>
                    </w:rPr>
                  </w:pPr>
                  <w:r w:rsidRPr="005457B4">
                    <w:rPr>
                      <w:rFonts w:cs="Arial"/>
                      <w:iCs/>
                      <w:sz w:val="20"/>
                      <w:szCs w:val="20"/>
                    </w:rPr>
                    <w:t>2022</w:t>
                  </w:r>
                </w:p>
              </w:tc>
              <w:tc>
                <w:tcPr>
                  <w:tcW w:w="1268" w:type="dxa"/>
                </w:tcPr>
                <w:p w14:paraId="7B7E64F0" w14:textId="28493C31" w:rsidR="0015208B" w:rsidRPr="005457B4" w:rsidRDefault="0015208B" w:rsidP="00AB31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iCs/>
                      <w:sz w:val="20"/>
                      <w:szCs w:val="20"/>
                    </w:rPr>
                  </w:pPr>
                  <w:r w:rsidRPr="005457B4">
                    <w:rPr>
                      <w:rFonts w:cs="Arial"/>
                      <w:iCs/>
                      <w:sz w:val="20"/>
                      <w:szCs w:val="20"/>
                    </w:rPr>
                    <w:t>2023</w:t>
                  </w:r>
                </w:p>
              </w:tc>
              <w:tc>
                <w:tcPr>
                  <w:tcW w:w="1343" w:type="dxa"/>
                </w:tcPr>
                <w:p w14:paraId="3AF338BC" w14:textId="769ADD12" w:rsidR="0015208B" w:rsidRPr="005457B4" w:rsidRDefault="0015208B" w:rsidP="00AB31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iCs/>
                      <w:sz w:val="20"/>
                      <w:szCs w:val="20"/>
                    </w:rPr>
                  </w:pPr>
                  <w:r w:rsidRPr="005457B4">
                    <w:rPr>
                      <w:rFonts w:cs="Arial"/>
                      <w:bCs w:val="0"/>
                      <w:iCs/>
                      <w:sz w:val="20"/>
                      <w:szCs w:val="20"/>
                    </w:rPr>
                    <w:t xml:space="preserve">Total </w:t>
                  </w:r>
                </w:p>
              </w:tc>
            </w:tr>
            <w:tr w:rsidR="0015208B" w:rsidRPr="00AB3105" w14:paraId="6E138710" w14:textId="77777777" w:rsidTr="00AB3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9" w:type="dxa"/>
                </w:tcPr>
                <w:p w14:paraId="2EA8535B" w14:textId="77777777" w:rsidR="0015208B" w:rsidRPr="005457B4" w:rsidRDefault="0015208B" w:rsidP="0015208B">
                  <w:pPr>
                    <w:spacing w:after="0" w:line="240" w:lineRule="auto"/>
                    <w:rPr>
                      <w:rFonts w:cs="Arial"/>
                      <w:sz w:val="20"/>
                      <w:szCs w:val="20"/>
                    </w:rPr>
                  </w:pPr>
                  <w:r w:rsidRPr="005457B4">
                    <w:rPr>
                      <w:rFonts w:cs="Arial"/>
                      <w:sz w:val="20"/>
                      <w:szCs w:val="20"/>
                    </w:rPr>
                    <w:t>Homeless</w:t>
                  </w:r>
                </w:p>
              </w:tc>
              <w:tc>
                <w:tcPr>
                  <w:tcW w:w="1268" w:type="dxa"/>
                </w:tcPr>
                <w:p w14:paraId="0A92A5D9" w14:textId="20BDED4F" w:rsidR="0015208B" w:rsidRPr="005457B4" w:rsidRDefault="005457B4" w:rsidP="001520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57B4">
                    <w:rPr>
                      <w:rFonts w:cs="Arial"/>
                      <w:sz w:val="20"/>
                      <w:szCs w:val="20"/>
                    </w:rPr>
                    <w:t>3,900</w:t>
                  </w:r>
                </w:p>
              </w:tc>
              <w:tc>
                <w:tcPr>
                  <w:tcW w:w="1268" w:type="dxa"/>
                </w:tcPr>
                <w:p w14:paraId="36F13CDD" w14:textId="31EE84E2" w:rsidR="0015208B" w:rsidRPr="005457B4" w:rsidRDefault="005457B4" w:rsidP="001520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57B4">
                    <w:rPr>
                      <w:rFonts w:cs="Arial"/>
                      <w:sz w:val="20"/>
                      <w:szCs w:val="20"/>
                    </w:rPr>
                    <w:t>3,900</w:t>
                  </w:r>
                </w:p>
              </w:tc>
              <w:tc>
                <w:tcPr>
                  <w:tcW w:w="1268" w:type="dxa"/>
                </w:tcPr>
                <w:p w14:paraId="5FB8CB9E" w14:textId="4AC7D87A" w:rsidR="0015208B" w:rsidRPr="005457B4" w:rsidRDefault="005457B4" w:rsidP="001520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57B4">
                    <w:rPr>
                      <w:rFonts w:cs="Arial"/>
                      <w:sz w:val="20"/>
                      <w:szCs w:val="20"/>
                    </w:rPr>
                    <w:t>4000</w:t>
                  </w:r>
                </w:p>
              </w:tc>
              <w:tc>
                <w:tcPr>
                  <w:tcW w:w="1343" w:type="dxa"/>
                </w:tcPr>
                <w:p w14:paraId="4F68445D" w14:textId="10155255" w:rsidR="0015208B" w:rsidRPr="005457B4" w:rsidRDefault="005457B4" w:rsidP="001520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5457B4">
                    <w:rPr>
                      <w:rFonts w:cs="Arial"/>
                      <w:b/>
                      <w:bCs/>
                      <w:sz w:val="20"/>
                      <w:szCs w:val="20"/>
                    </w:rPr>
                    <w:t>11800</w:t>
                  </w:r>
                </w:p>
              </w:tc>
            </w:tr>
            <w:tr w:rsidR="0015208B" w:rsidRPr="00AB3105" w14:paraId="1D6F308A" w14:textId="77777777" w:rsidTr="00AB3105">
              <w:tc>
                <w:tcPr>
                  <w:cnfStyle w:val="001000000000" w:firstRow="0" w:lastRow="0" w:firstColumn="1" w:lastColumn="0" w:oddVBand="0" w:evenVBand="0" w:oddHBand="0" w:evenHBand="0" w:firstRowFirstColumn="0" w:firstRowLastColumn="0" w:lastRowFirstColumn="0" w:lastRowLastColumn="0"/>
                  <w:tcW w:w="2529" w:type="dxa"/>
                </w:tcPr>
                <w:p w14:paraId="7E316480" w14:textId="77777777" w:rsidR="0015208B" w:rsidRPr="005457B4" w:rsidRDefault="0015208B" w:rsidP="0015208B">
                  <w:pPr>
                    <w:spacing w:after="0" w:line="240" w:lineRule="auto"/>
                    <w:rPr>
                      <w:rFonts w:cs="Arial"/>
                      <w:sz w:val="20"/>
                      <w:szCs w:val="20"/>
                    </w:rPr>
                  </w:pPr>
                  <w:r w:rsidRPr="005457B4">
                    <w:rPr>
                      <w:rFonts w:cs="Arial"/>
                      <w:sz w:val="20"/>
                      <w:szCs w:val="20"/>
                    </w:rPr>
                    <w:t>People who inject drugs (PWID)</w:t>
                  </w:r>
                </w:p>
              </w:tc>
              <w:tc>
                <w:tcPr>
                  <w:tcW w:w="1268" w:type="dxa"/>
                </w:tcPr>
                <w:p w14:paraId="47E96DB9" w14:textId="6ADFF0EA" w:rsidR="0015208B" w:rsidRPr="005457B4" w:rsidRDefault="005457B4" w:rsidP="001520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57B4">
                    <w:rPr>
                      <w:rFonts w:cs="Arial"/>
                      <w:sz w:val="20"/>
                      <w:szCs w:val="20"/>
                    </w:rPr>
                    <w:t>5400</w:t>
                  </w:r>
                </w:p>
              </w:tc>
              <w:tc>
                <w:tcPr>
                  <w:tcW w:w="1268" w:type="dxa"/>
                </w:tcPr>
                <w:p w14:paraId="61232959" w14:textId="0842BB68" w:rsidR="0015208B" w:rsidRPr="005457B4" w:rsidRDefault="005457B4" w:rsidP="001520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57B4">
                    <w:rPr>
                      <w:rFonts w:cs="Arial"/>
                      <w:sz w:val="20"/>
                      <w:szCs w:val="20"/>
                    </w:rPr>
                    <w:t>6800</w:t>
                  </w:r>
                </w:p>
              </w:tc>
              <w:tc>
                <w:tcPr>
                  <w:tcW w:w="1268" w:type="dxa"/>
                </w:tcPr>
                <w:p w14:paraId="1CF61EB0" w14:textId="10A8EE2D" w:rsidR="0015208B" w:rsidRPr="005457B4" w:rsidRDefault="005457B4" w:rsidP="001520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57B4">
                    <w:rPr>
                      <w:rFonts w:cs="Arial"/>
                      <w:sz w:val="20"/>
                      <w:szCs w:val="20"/>
                    </w:rPr>
                    <w:t>7800</w:t>
                  </w:r>
                </w:p>
              </w:tc>
              <w:tc>
                <w:tcPr>
                  <w:tcW w:w="1343" w:type="dxa"/>
                </w:tcPr>
                <w:p w14:paraId="29041A3C" w14:textId="13323DF8" w:rsidR="0015208B" w:rsidRPr="005457B4" w:rsidRDefault="005457B4" w:rsidP="001520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5457B4">
                    <w:rPr>
                      <w:rFonts w:cs="Arial"/>
                      <w:b/>
                      <w:bCs/>
                      <w:sz w:val="20"/>
                      <w:szCs w:val="20"/>
                    </w:rPr>
                    <w:t>20000</w:t>
                  </w:r>
                </w:p>
              </w:tc>
            </w:tr>
            <w:tr w:rsidR="0015208B" w:rsidRPr="00AB3105" w14:paraId="7B539F4F" w14:textId="77777777" w:rsidTr="00AB3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9" w:type="dxa"/>
                </w:tcPr>
                <w:p w14:paraId="4DA5CF36" w14:textId="20DB7415" w:rsidR="0015208B" w:rsidRPr="005457B4" w:rsidRDefault="005457B4" w:rsidP="005457B4">
                  <w:pPr>
                    <w:spacing w:after="0" w:line="240" w:lineRule="auto"/>
                    <w:rPr>
                      <w:rFonts w:cs="Arial"/>
                      <w:sz w:val="20"/>
                      <w:szCs w:val="20"/>
                    </w:rPr>
                  </w:pPr>
                  <w:r w:rsidRPr="005457B4">
                    <w:rPr>
                      <w:rFonts w:cs="Arial"/>
                      <w:sz w:val="20"/>
                      <w:szCs w:val="20"/>
                    </w:rPr>
                    <w:t>Roma</w:t>
                  </w:r>
                </w:p>
              </w:tc>
              <w:tc>
                <w:tcPr>
                  <w:tcW w:w="1268" w:type="dxa"/>
                </w:tcPr>
                <w:p w14:paraId="6D0B237B" w14:textId="087AA7CE" w:rsidR="0015208B" w:rsidRPr="005457B4" w:rsidRDefault="0015208B" w:rsidP="001520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68" w:type="dxa"/>
                </w:tcPr>
                <w:p w14:paraId="5F5D0FDB" w14:textId="332F3664" w:rsidR="0015208B" w:rsidRPr="005457B4" w:rsidRDefault="005457B4" w:rsidP="001520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57B4">
                    <w:rPr>
                      <w:rFonts w:cs="Arial"/>
                      <w:sz w:val="20"/>
                      <w:szCs w:val="20"/>
                    </w:rPr>
                    <w:t>1000</w:t>
                  </w:r>
                </w:p>
              </w:tc>
              <w:tc>
                <w:tcPr>
                  <w:tcW w:w="1268" w:type="dxa"/>
                </w:tcPr>
                <w:p w14:paraId="10362D3D" w14:textId="69D558D4" w:rsidR="0015208B" w:rsidRPr="005457B4" w:rsidRDefault="005457B4" w:rsidP="001520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57B4">
                    <w:rPr>
                      <w:rFonts w:cs="Arial"/>
                      <w:sz w:val="20"/>
                      <w:szCs w:val="20"/>
                    </w:rPr>
                    <w:t>1000</w:t>
                  </w:r>
                </w:p>
              </w:tc>
              <w:tc>
                <w:tcPr>
                  <w:tcW w:w="1343" w:type="dxa"/>
                </w:tcPr>
                <w:p w14:paraId="09722720" w14:textId="20B5EC5F" w:rsidR="0015208B" w:rsidRPr="005457B4" w:rsidRDefault="005457B4" w:rsidP="001520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5457B4">
                    <w:rPr>
                      <w:rFonts w:cs="Arial"/>
                      <w:b/>
                      <w:bCs/>
                      <w:sz w:val="20"/>
                      <w:szCs w:val="20"/>
                    </w:rPr>
                    <w:t>2000</w:t>
                  </w:r>
                </w:p>
              </w:tc>
            </w:tr>
            <w:tr w:rsidR="0015208B" w:rsidRPr="00AB3105" w14:paraId="1A4B5D49" w14:textId="77777777" w:rsidTr="00AB3105">
              <w:tc>
                <w:tcPr>
                  <w:cnfStyle w:val="001000000000" w:firstRow="0" w:lastRow="0" w:firstColumn="1" w:lastColumn="0" w:oddVBand="0" w:evenVBand="0" w:oddHBand="0" w:evenHBand="0" w:firstRowFirstColumn="0" w:firstRowLastColumn="0" w:lastRowFirstColumn="0" w:lastRowLastColumn="0"/>
                  <w:tcW w:w="2529" w:type="dxa"/>
                </w:tcPr>
                <w:p w14:paraId="52138BBD" w14:textId="11D2014B" w:rsidR="0015208B" w:rsidRPr="005457B4" w:rsidRDefault="005457B4" w:rsidP="0015208B">
                  <w:pPr>
                    <w:spacing w:after="0" w:line="240" w:lineRule="auto"/>
                    <w:rPr>
                      <w:rFonts w:cs="Arial"/>
                      <w:sz w:val="20"/>
                      <w:szCs w:val="20"/>
                    </w:rPr>
                  </w:pPr>
                  <w:r w:rsidRPr="005457B4">
                    <w:rPr>
                      <w:rFonts w:cs="Arial"/>
                      <w:sz w:val="20"/>
                      <w:szCs w:val="20"/>
                    </w:rPr>
                    <w:t>Migrants</w:t>
                  </w:r>
                </w:p>
              </w:tc>
              <w:tc>
                <w:tcPr>
                  <w:tcW w:w="1268" w:type="dxa"/>
                </w:tcPr>
                <w:p w14:paraId="52E4BD2E" w14:textId="77777777" w:rsidR="0015208B" w:rsidRPr="005457B4" w:rsidRDefault="0015208B" w:rsidP="001520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268" w:type="dxa"/>
                </w:tcPr>
                <w:p w14:paraId="2C3A80A7" w14:textId="110D0D1C" w:rsidR="0015208B" w:rsidRPr="005457B4" w:rsidRDefault="005457B4" w:rsidP="001520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57B4">
                    <w:rPr>
                      <w:rFonts w:cs="Arial"/>
                      <w:sz w:val="20"/>
                      <w:szCs w:val="20"/>
                    </w:rPr>
                    <w:t>3500</w:t>
                  </w:r>
                </w:p>
              </w:tc>
              <w:tc>
                <w:tcPr>
                  <w:tcW w:w="1268" w:type="dxa"/>
                </w:tcPr>
                <w:p w14:paraId="5B665292" w14:textId="5AB0907F" w:rsidR="0015208B" w:rsidRPr="005457B4" w:rsidRDefault="005457B4" w:rsidP="001520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5457B4">
                    <w:rPr>
                      <w:rFonts w:cs="Arial"/>
                      <w:sz w:val="20"/>
                      <w:szCs w:val="20"/>
                    </w:rPr>
                    <w:t>3500</w:t>
                  </w:r>
                </w:p>
              </w:tc>
              <w:tc>
                <w:tcPr>
                  <w:tcW w:w="1343" w:type="dxa"/>
                </w:tcPr>
                <w:p w14:paraId="7F7A84F3" w14:textId="7999C008" w:rsidR="0015208B" w:rsidRPr="005457B4" w:rsidRDefault="005457B4" w:rsidP="001520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5457B4">
                    <w:rPr>
                      <w:rFonts w:cs="Arial"/>
                      <w:b/>
                      <w:bCs/>
                      <w:sz w:val="20"/>
                      <w:szCs w:val="20"/>
                    </w:rPr>
                    <w:t>7000</w:t>
                  </w:r>
                </w:p>
              </w:tc>
            </w:tr>
            <w:tr w:rsidR="0015208B" w:rsidRPr="00AB3105" w14:paraId="2AF472B2" w14:textId="77777777" w:rsidTr="00AB3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9" w:type="dxa"/>
                </w:tcPr>
                <w:p w14:paraId="58466880" w14:textId="1CF8F446" w:rsidR="0015208B" w:rsidRPr="005457B4" w:rsidRDefault="005457B4" w:rsidP="0015208B">
                  <w:pPr>
                    <w:spacing w:after="0" w:line="240" w:lineRule="auto"/>
                    <w:rPr>
                      <w:rFonts w:cs="Arial"/>
                      <w:sz w:val="20"/>
                      <w:szCs w:val="20"/>
                    </w:rPr>
                  </w:pPr>
                  <w:r w:rsidRPr="005457B4">
                    <w:rPr>
                      <w:rFonts w:cs="Arial"/>
                      <w:sz w:val="20"/>
                      <w:szCs w:val="20"/>
                    </w:rPr>
                    <w:t>People with disabilities</w:t>
                  </w:r>
                </w:p>
              </w:tc>
              <w:tc>
                <w:tcPr>
                  <w:tcW w:w="1268" w:type="dxa"/>
                </w:tcPr>
                <w:p w14:paraId="2023CC12" w14:textId="77777777" w:rsidR="0015208B" w:rsidRPr="005457B4" w:rsidRDefault="0015208B" w:rsidP="001520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68" w:type="dxa"/>
                </w:tcPr>
                <w:p w14:paraId="185892A7" w14:textId="5A418DBE" w:rsidR="0015208B" w:rsidRPr="005457B4" w:rsidRDefault="005457B4" w:rsidP="001520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57B4">
                    <w:rPr>
                      <w:rFonts w:cs="Arial"/>
                      <w:sz w:val="20"/>
                      <w:szCs w:val="20"/>
                    </w:rPr>
                    <w:t>500</w:t>
                  </w:r>
                </w:p>
              </w:tc>
              <w:tc>
                <w:tcPr>
                  <w:tcW w:w="1268" w:type="dxa"/>
                </w:tcPr>
                <w:p w14:paraId="18FEC86B" w14:textId="4DAE4856" w:rsidR="0015208B" w:rsidRPr="005457B4" w:rsidRDefault="005457B4" w:rsidP="001520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5457B4">
                    <w:rPr>
                      <w:rFonts w:cs="Arial"/>
                      <w:sz w:val="20"/>
                      <w:szCs w:val="20"/>
                    </w:rPr>
                    <w:t>500</w:t>
                  </w:r>
                </w:p>
              </w:tc>
              <w:tc>
                <w:tcPr>
                  <w:tcW w:w="1343" w:type="dxa"/>
                </w:tcPr>
                <w:p w14:paraId="015B69BF" w14:textId="2E5757BE" w:rsidR="0015208B" w:rsidRPr="005457B4" w:rsidRDefault="005457B4" w:rsidP="001520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5457B4">
                    <w:rPr>
                      <w:rFonts w:cs="Arial"/>
                      <w:b/>
                      <w:bCs/>
                      <w:sz w:val="20"/>
                      <w:szCs w:val="20"/>
                    </w:rPr>
                    <w:t>11000</w:t>
                  </w:r>
                </w:p>
              </w:tc>
            </w:tr>
          </w:tbl>
          <w:p w14:paraId="0C74A802" w14:textId="77777777" w:rsidR="0015208B" w:rsidRDefault="0015208B" w:rsidP="0015208B">
            <w:pPr>
              <w:spacing w:after="0" w:line="240" w:lineRule="auto"/>
              <w:jc w:val="center"/>
              <w:rPr>
                <w:b/>
                <w:bCs/>
                <w:sz w:val="20"/>
                <w:szCs w:val="20"/>
                <w:highlight w:val="green"/>
              </w:rPr>
            </w:pPr>
          </w:p>
          <w:p w14:paraId="725E152A" w14:textId="7BA6C894" w:rsidR="0015208B" w:rsidRPr="00885B6F" w:rsidRDefault="0015208B" w:rsidP="0015208B">
            <w:pPr>
              <w:spacing w:after="0" w:line="240" w:lineRule="auto"/>
              <w:jc w:val="center"/>
              <w:rPr>
                <w:b/>
                <w:bCs/>
                <w:sz w:val="20"/>
                <w:szCs w:val="20"/>
              </w:rPr>
            </w:pPr>
            <w:r w:rsidRPr="00885B6F">
              <w:rPr>
                <w:b/>
                <w:bCs/>
                <w:sz w:val="20"/>
                <w:szCs w:val="20"/>
              </w:rPr>
              <w:t xml:space="preserve"> Estimated number of people with TB </w:t>
            </w:r>
            <w:r>
              <w:rPr>
                <w:b/>
                <w:bCs/>
                <w:sz w:val="20"/>
                <w:szCs w:val="20"/>
              </w:rPr>
              <w:t>on MDR-TB</w:t>
            </w:r>
            <w:r w:rsidRPr="00885B6F">
              <w:rPr>
                <w:b/>
                <w:bCs/>
                <w:sz w:val="20"/>
                <w:szCs w:val="20"/>
              </w:rPr>
              <w:t>, 2021-2023</w:t>
            </w:r>
          </w:p>
          <w:p w14:paraId="1E5ECE31" w14:textId="77777777" w:rsidR="0015208B" w:rsidRPr="00885B6F" w:rsidRDefault="0015208B" w:rsidP="0015208B">
            <w:pPr>
              <w:spacing w:after="0" w:line="240" w:lineRule="auto"/>
              <w:rPr>
                <w:sz w:val="8"/>
                <w:szCs w:val="8"/>
              </w:rPr>
            </w:pPr>
          </w:p>
          <w:tbl>
            <w:tblPr>
              <w:tblStyle w:val="ListTable3-Accent5"/>
              <w:tblW w:w="0" w:type="auto"/>
              <w:tblLook w:val="04A0" w:firstRow="1" w:lastRow="0" w:firstColumn="1" w:lastColumn="0" w:noHBand="0" w:noVBand="1"/>
            </w:tblPr>
            <w:tblGrid>
              <w:gridCol w:w="2520"/>
              <w:gridCol w:w="1270"/>
              <w:gridCol w:w="1270"/>
              <w:gridCol w:w="1270"/>
              <w:gridCol w:w="1346"/>
            </w:tblGrid>
            <w:tr w:rsidR="0015208B" w:rsidRPr="00885B6F" w14:paraId="1E736E2B" w14:textId="77777777" w:rsidTr="00AB31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0" w:type="dxa"/>
                </w:tcPr>
                <w:p w14:paraId="3618F0DD" w14:textId="77777777" w:rsidR="0015208B" w:rsidRPr="00885B6F" w:rsidRDefault="0015208B" w:rsidP="0015208B">
                  <w:pPr>
                    <w:spacing w:after="0" w:line="240" w:lineRule="auto"/>
                    <w:jc w:val="center"/>
                    <w:rPr>
                      <w:rFonts w:cs="Arial"/>
                      <w:i/>
                      <w:iCs/>
                      <w:sz w:val="20"/>
                      <w:szCs w:val="20"/>
                    </w:rPr>
                  </w:pPr>
                </w:p>
              </w:tc>
              <w:tc>
                <w:tcPr>
                  <w:tcW w:w="1270" w:type="dxa"/>
                </w:tcPr>
                <w:p w14:paraId="75DD1790" w14:textId="42C52DCB" w:rsidR="0015208B" w:rsidRPr="00AB3105" w:rsidRDefault="0015208B" w:rsidP="00AB31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iCs/>
                      <w:sz w:val="20"/>
                      <w:szCs w:val="20"/>
                    </w:rPr>
                  </w:pPr>
                  <w:r w:rsidRPr="00AB3105">
                    <w:rPr>
                      <w:rFonts w:cs="Arial"/>
                      <w:iCs/>
                      <w:sz w:val="20"/>
                      <w:szCs w:val="20"/>
                    </w:rPr>
                    <w:t>2021</w:t>
                  </w:r>
                </w:p>
              </w:tc>
              <w:tc>
                <w:tcPr>
                  <w:tcW w:w="1270" w:type="dxa"/>
                </w:tcPr>
                <w:p w14:paraId="3DDDE1E1" w14:textId="16894982" w:rsidR="0015208B" w:rsidRPr="00AB3105" w:rsidRDefault="00AB3105" w:rsidP="001520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iCs/>
                      <w:sz w:val="20"/>
                      <w:szCs w:val="20"/>
                    </w:rPr>
                  </w:pPr>
                  <w:r w:rsidRPr="00AB3105">
                    <w:rPr>
                      <w:rFonts w:cs="Arial"/>
                      <w:iCs/>
                      <w:sz w:val="20"/>
                      <w:szCs w:val="20"/>
                    </w:rPr>
                    <w:t>2022</w:t>
                  </w:r>
                </w:p>
              </w:tc>
              <w:tc>
                <w:tcPr>
                  <w:tcW w:w="1270" w:type="dxa"/>
                </w:tcPr>
                <w:p w14:paraId="042F443E" w14:textId="6F8BDF12" w:rsidR="0015208B" w:rsidRPr="00AB3105" w:rsidRDefault="00AB3105" w:rsidP="001520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iCs/>
                      <w:sz w:val="20"/>
                      <w:szCs w:val="20"/>
                    </w:rPr>
                  </w:pPr>
                  <w:r w:rsidRPr="00AB3105">
                    <w:rPr>
                      <w:rFonts w:cs="Arial"/>
                      <w:iCs/>
                      <w:sz w:val="20"/>
                      <w:szCs w:val="20"/>
                    </w:rPr>
                    <w:t>2023</w:t>
                  </w:r>
                </w:p>
              </w:tc>
              <w:tc>
                <w:tcPr>
                  <w:tcW w:w="1346" w:type="dxa"/>
                </w:tcPr>
                <w:p w14:paraId="2459A749" w14:textId="12D068A3" w:rsidR="0015208B" w:rsidRPr="00AB3105" w:rsidRDefault="00AB3105" w:rsidP="001520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iCs/>
                      <w:sz w:val="20"/>
                      <w:szCs w:val="20"/>
                    </w:rPr>
                  </w:pPr>
                  <w:r w:rsidRPr="00AB3105">
                    <w:rPr>
                      <w:rFonts w:cs="Arial"/>
                      <w:bCs w:val="0"/>
                      <w:iCs/>
                      <w:sz w:val="20"/>
                      <w:szCs w:val="20"/>
                    </w:rPr>
                    <w:t>Total</w:t>
                  </w:r>
                </w:p>
              </w:tc>
            </w:tr>
            <w:tr w:rsidR="00347E6D" w:rsidRPr="00885B6F" w14:paraId="2D08A319" w14:textId="77777777" w:rsidTr="00AB3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F5E6278" w14:textId="77777777" w:rsidR="00347E6D" w:rsidRPr="00347E6D" w:rsidRDefault="00347E6D" w:rsidP="00347E6D">
                  <w:pPr>
                    <w:spacing w:after="0" w:line="240" w:lineRule="auto"/>
                    <w:rPr>
                      <w:rFonts w:cs="Arial"/>
                      <w:sz w:val="20"/>
                      <w:szCs w:val="20"/>
                    </w:rPr>
                  </w:pPr>
                  <w:r w:rsidRPr="00347E6D">
                    <w:rPr>
                      <w:rFonts w:cs="Arial"/>
                      <w:sz w:val="20"/>
                      <w:szCs w:val="20"/>
                    </w:rPr>
                    <w:t xml:space="preserve">DR-TB: Individualized longer treatment regimens (iLTRs) </w:t>
                  </w:r>
                </w:p>
                <w:p w14:paraId="7D5CE89A" w14:textId="32F45343" w:rsidR="00347E6D" w:rsidRPr="00347E6D" w:rsidRDefault="00347E6D" w:rsidP="00347E6D">
                  <w:pPr>
                    <w:spacing w:after="0" w:line="240" w:lineRule="auto"/>
                    <w:rPr>
                      <w:rFonts w:cs="Arial"/>
                      <w:sz w:val="20"/>
                      <w:szCs w:val="20"/>
                    </w:rPr>
                  </w:pPr>
                  <w:r w:rsidRPr="00347E6D">
                    <w:rPr>
                      <w:rFonts w:cs="Arial"/>
                      <w:sz w:val="20"/>
                      <w:szCs w:val="20"/>
                    </w:rPr>
                    <w:t>(Right Bank)</w:t>
                  </w:r>
                </w:p>
              </w:tc>
              <w:tc>
                <w:tcPr>
                  <w:tcW w:w="1270" w:type="dxa"/>
                </w:tcPr>
                <w:p w14:paraId="705452EE" w14:textId="256A7724" w:rsidR="00347E6D" w:rsidRPr="00347E6D" w:rsidRDefault="00347E6D" w:rsidP="00347E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47E6D">
                    <w:rPr>
                      <w:rFonts w:eastAsia="Times New Roman" w:cs="Arial"/>
                      <w:color w:val="000000"/>
                      <w:sz w:val="20"/>
                      <w:szCs w:val="20"/>
                      <w:lang w:val="en-GB"/>
                    </w:rPr>
                    <w:t>420</w:t>
                  </w:r>
                </w:p>
              </w:tc>
              <w:tc>
                <w:tcPr>
                  <w:tcW w:w="1270" w:type="dxa"/>
                </w:tcPr>
                <w:p w14:paraId="6DFE5F62" w14:textId="63DC9E93" w:rsidR="00347E6D" w:rsidRPr="00347E6D" w:rsidRDefault="00347E6D" w:rsidP="00347E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47E6D">
                    <w:rPr>
                      <w:rFonts w:eastAsia="Times New Roman" w:cs="Arial"/>
                      <w:color w:val="000000"/>
                      <w:sz w:val="20"/>
                      <w:szCs w:val="20"/>
                      <w:lang w:val="en-GB"/>
                    </w:rPr>
                    <w:t>403</w:t>
                  </w:r>
                </w:p>
              </w:tc>
              <w:tc>
                <w:tcPr>
                  <w:tcW w:w="1270" w:type="dxa"/>
                </w:tcPr>
                <w:p w14:paraId="529E143B" w14:textId="526CEE65" w:rsidR="00347E6D" w:rsidRPr="00347E6D" w:rsidRDefault="00347E6D" w:rsidP="00347E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47E6D">
                    <w:rPr>
                      <w:rFonts w:eastAsia="Times New Roman" w:cs="Arial"/>
                      <w:color w:val="000000"/>
                      <w:sz w:val="20"/>
                      <w:szCs w:val="20"/>
                      <w:lang w:val="en-GB"/>
                    </w:rPr>
                    <w:t>391</w:t>
                  </w:r>
                </w:p>
              </w:tc>
              <w:tc>
                <w:tcPr>
                  <w:tcW w:w="1346" w:type="dxa"/>
                </w:tcPr>
                <w:p w14:paraId="157B0F5A" w14:textId="52BF6841" w:rsidR="00347E6D" w:rsidRPr="00347E6D" w:rsidRDefault="00347E6D" w:rsidP="00347E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347E6D">
                    <w:rPr>
                      <w:rFonts w:eastAsia="Times New Roman" w:cs="Arial"/>
                      <w:b/>
                      <w:bCs/>
                      <w:color w:val="000000"/>
                      <w:sz w:val="20"/>
                      <w:szCs w:val="20"/>
                      <w:lang w:val="en-GB"/>
                    </w:rPr>
                    <w:t>1214</w:t>
                  </w:r>
                </w:p>
              </w:tc>
            </w:tr>
            <w:tr w:rsidR="00347E6D" w:rsidRPr="00885B6F" w14:paraId="0EAE030D" w14:textId="77777777" w:rsidTr="00AB3105">
              <w:tc>
                <w:tcPr>
                  <w:cnfStyle w:val="001000000000" w:firstRow="0" w:lastRow="0" w:firstColumn="1" w:lastColumn="0" w:oddVBand="0" w:evenVBand="0" w:oddHBand="0" w:evenHBand="0" w:firstRowFirstColumn="0" w:firstRowLastColumn="0" w:lastRowFirstColumn="0" w:lastRowLastColumn="0"/>
                  <w:tcW w:w="2520" w:type="dxa"/>
                </w:tcPr>
                <w:p w14:paraId="30CA28E7" w14:textId="77777777" w:rsidR="00347E6D" w:rsidRPr="00347E6D" w:rsidRDefault="00347E6D" w:rsidP="00347E6D">
                  <w:pPr>
                    <w:spacing w:after="0" w:line="240" w:lineRule="auto"/>
                    <w:rPr>
                      <w:rFonts w:cs="Arial"/>
                      <w:sz w:val="20"/>
                      <w:szCs w:val="20"/>
                    </w:rPr>
                  </w:pPr>
                  <w:r w:rsidRPr="00347E6D">
                    <w:rPr>
                      <w:rFonts w:cs="Arial"/>
                      <w:sz w:val="20"/>
                      <w:szCs w:val="20"/>
                    </w:rPr>
                    <w:t xml:space="preserve">DR-TB: Individualized longer treatment regimens (iLTRs) </w:t>
                  </w:r>
                </w:p>
                <w:p w14:paraId="3DA1BC88" w14:textId="568FFA23" w:rsidR="00347E6D" w:rsidRPr="00347E6D" w:rsidRDefault="00347E6D" w:rsidP="00347E6D">
                  <w:pPr>
                    <w:spacing w:after="0" w:line="240" w:lineRule="auto"/>
                    <w:rPr>
                      <w:rFonts w:cs="Arial"/>
                      <w:sz w:val="20"/>
                      <w:szCs w:val="20"/>
                    </w:rPr>
                  </w:pPr>
                  <w:r w:rsidRPr="00347E6D">
                    <w:rPr>
                      <w:rFonts w:cs="Arial"/>
                      <w:sz w:val="20"/>
                      <w:szCs w:val="20"/>
                    </w:rPr>
                    <w:t>(Left Bank)</w:t>
                  </w:r>
                </w:p>
              </w:tc>
              <w:tc>
                <w:tcPr>
                  <w:tcW w:w="1270" w:type="dxa"/>
                </w:tcPr>
                <w:p w14:paraId="00CA7B43" w14:textId="6C7BF0D8" w:rsidR="00347E6D" w:rsidRPr="00347E6D" w:rsidRDefault="00347E6D" w:rsidP="00347E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47E6D">
                    <w:rPr>
                      <w:rFonts w:cs="Arial"/>
                      <w:sz w:val="20"/>
                      <w:szCs w:val="20"/>
                    </w:rPr>
                    <w:t>206</w:t>
                  </w:r>
                </w:p>
              </w:tc>
              <w:tc>
                <w:tcPr>
                  <w:tcW w:w="1270" w:type="dxa"/>
                </w:tcPr>
                <w:p w14:paraId="72E7623F" w14:textId="69D39064" w:rsidR="00347E6D" w:rsidRPr="00347E6D" w:rsidRDefault="00347E6D" w:rsidP="00347E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47E6D">
                    <w:rPr>
                      <w:rFonts w:cs="Arial"/>
                      <w:sz w:val="20"/>
                      <w:szCs w:val="20"/>
                    </w:rPr>
                    <w:t>206</w:t>
                  </w:r>
                </w:p>
              </w:tc>
              <w:tc>
                <w:tcPr>
                  <w:tcW w:w="1270" w:type="dxa"/>
                </w:tcPr>
                <w:p w14:paraId="31B111D6" w14:textId="74574B54" w:rsidR="00347E6D" w:rsidRPr="00347E6D" w:rsidRDefault="00347E6D" w:rsidP="00347E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47E6D">
                    <w:rPr>
                      <w:rFonts w:cs="Arial"/>
                      <w:sz w:val="20"/>
                      <w:szCs w:val="20"/>
                    </w:rPr>
                    <w:t>209</w:t>
                  </w:r>
                </w:p>
              </w:tc>
              <w:tc>
                <w:tcPr>
                  <w:tcW w:w="1346" w:type="dxa"/>
                </w:tcPr>
                <w:p w14:paraId="71060300" w14:textId="53F1D125" w:rsidR="00347E6D" w:rsidRPr="00347E6D" w:rsidRDefault="00347E6D" w:rsidP="00347E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347E6D">
                    <w:rPr>
                      <w:rFonts w:cs="Arial"/>
                      <w:b/>
                      <w:bCs/>
                      <w:sz w:val="20"/>
                      <w:szCs w:val="20"/>
                    </w:rPr>
                    <w:t>213</w:t>
                  </w:r>
                </w:p>
              </w:tc>
            </w:tr>
            <w:tr w:rsidR="00347E6D" w:rsidRPr="00885B6F" w14:paraId="47B02896" w14:textId="77777777" w:rsidTr="00AB3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4B7BA80" w14:textId="0F04B6C2" w:rsidR="00347E6D" w:rsidRPr="00347E6D" w:rsidRDefault="00347E6D" w:rsidP="00347E6D">
                  <w:pPr>
                    <w:spacing w:after="0" w:line="240" w:lineRule="auto"/>
                    <w:rPr>
                      <w:rFonts w:cs="Arial"/>
                      <w:sz w:val="20"/>
                      <w:szCs w:val="20"/>
                    </w:rPr>
                  </w:pPr>
                  <w:r w:rsidRPr="00347E6D">
                    <w:rPr>
                      <w:rFonts w:cs="Arial"/>
                      <w:sz w:val="20"/>
                      <w:szCs w:val="20"/>
                    </w:rPr>
                    <w:t xml:space="preserve">DR-TB: modified al-oral shorter treatment regimens (mSTRs) (for FQ-sensitive cases) </w:t>
                  </w:r>
                </w:p>
              </w:tc>
              <w:tc>
                <w:tcPr>
                  <w:tcW w:w="1270" w:type="dxa"/>
                </w:tcPr>
                <w:p w14:paraId="577AA3DB" w14:textId="3B0BE08E" w:rsidR="00347E6D" w:rsidRPr="00347E6D" w:rsidRDefault="00347E6D" w:rsidP="00347E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47E6D">
                    <w:rPr>
                      <w:rFonts w:cs="Arial"/>
                      <w:sz w:val="20"/>
                      <w:szCs w:val="20"/>
                    </w:rPr>
                    <w:t>170</w:t>
                  </w:r>
                </w:p>
              </w:tc>
              <w:tc>
                <w:tcPr>
                  <w:tcW w:w="1270" w:type="dxa"/>
                </w:tcPr>
                <w:p w14:paraId="16ECDCDB" w14:textId="4821C403" w:rsidR="00347E6D" w:rsidRPr="00347E6D" w:rsidRDefault="00347E6D" w:rsidP="00347E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47E6D">
                    <w:rPr>
                      <w:rFonts w:cs="Arial"/>
                      <w:sz w:val="20"/>
                      <w:szCs w:val="20"/>
                    </w:rPr>
                    <w:t>166</w:t>
                  </w:r>
                </w:p>
              </w:tc>
              <w:tc>
                <w:tcPr>
                  <w:tcW w:w="1270" w:type="dxa"/>
                </w:tcPr>
                <w:p w14:paraId="17E17E4D" w14:textId="33368B23" w:rsidR="00347E6D" w:rsidRPr="00347E6D" w:rsidRDefault="00347E6D" w:rsidP="00347E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47E6D">
                    <w:rPr>
                      <w:rFonts w:cs="Arial"/>
                      <w:sz w:val="20"/>
                      <w:szCs w:val="20"/>
                    </w:rPr>
                    <w:t>160</w:t>
                  </w:r>
                </w:p>
              </w:tc>
              <w:tc>
                <w:tcPr>
                  <w:tcW w:w="1346" w:type="dxa"/>
                </w:tcPr>
                <w:p w14:paraId="40B7010D" w14:textId="4C8C58BA" w:rsidR="00347E6D" w:rsidRPr="00347E6D" w:rsidRDefault="00347E6D" w:rsidP="00347E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347E6D">
                    <w:rPr>
                      <w:rFonts w:cs="Arial"/>
                      <w:b/>
                      <w:bCs/>
                      <w:sz w:val="20"/>
                      <w:szCs w:val="20"/>
                    </w:rPr>
                    <w:t>496</w:t>
                  </w:r>
                </w:p>
              </w:tc>
            </w:tr>
            <w:tr w:rsidR="00347E6D" w:rsidRPr="00885B6F" w14:paraId="658E554C" w14:textId="77777777" w:rsidTr="00AB3105">
              <w:tc>
                <w:tcPr>
                  <w:cnfStyle w:val="001000000000" w:firstRow="0" w:lastRow="0" w:firstColumn="1" w:lastColumn="0" w:oddVBand="0" w:evenVBand="0" w:oddHBand="0" w:evenHBand="0" w:firstRowFirstColumn="0" w:firstRowLastColumn="0" w:lastRowFirstColumn="0" w:lastRowLastColumn="0"/>
                  <w:tcW w:w="2520" w:type="dxa"/>
                </w:tcPr>
                <w:p w14:paraId="4C11ECAA" w14:textId="6524C831" w:rsidR="00347E6D" w:rsidRPr="00347E6D" w:rsidRDefault="00347E6D" w:rsidP="00347E6D">
                  <w:pPr>
                    <w:spacing w:after="0" w:line="240" w:lineRule="auto"/>
                    <w:rPr>
                      <w:rFonts w:cs="Arial"/>
                      <w:sz w:val="20"/>
                      <w:szCs w:val="20"/>
                    </w:rPr>
                  </w:pPr>
                  <w:r w:rsidRPr="00347E6D">
                    <w:rPr>
                      <w:rFonts w:cs="Arial"/>
                      <w:sz w:val="20"/>
                      <w:szCs w:val="20"/>
                    </w:rPr>
                    <w:t xml:space="preserve">DR-TB: modified al-oral shorter treatment regimens (mSTRs) (for FQ-sensitive cases) </w:t>
                  </w:r>
                </w:p>
              </w:tc>
              <w:tc>
                <w:tcPr>
                  <w:tcW w:w="1270" w:type="dxa"/>
                </w:tcPr>
                <w:p w14:paraId="66B11E5B" w14:textId="3D46D7DA" w:rsidR="00347E6D" w:rsidRPr="00347E6D" w:rsidRDefault="00347E6D" w:rsidP="00347E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47E6D">
                    <w:rPr>
                      <w:rFonts w:cs="Arial"/>
                      <w:sz w:val="20"/>
                      <w:szCs w:val="20"/>
                    </w:rPr>
                    <w:t>76</w:t>
                  </w:r>
                </w:p>
              </w:tc>
              <w:tc>
                <w:tcPr>
                  <w:tcW w:w="1270" w:type="dxa"/>
                </w:tcPr>
                <w:p w14:paraId="33E678C7" w14:textId="0B50F1BE" w:rsidR="00347E6D" w:rsidRPr="00347E6D" w:rsidRDefault="00347E6D" w:rsidP="00347E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47E6D">
                    <w:rPr>
                      <w:rFonts w:cs="Arial"/>
                      <w:sz w:val="20"/>
                      <w:szCs w:val="20"/>
                    </w:rPr>
                    <w:t>76</w:t>
                  </w:r>
                </w:p>
              </w:tc>
              <w:tc>
                <w:tcPr>
                  <w:tcW w:w="1270" w:type="dxa"/>
                </w:tcPr>
                <w:p w14:paraId="2BB43D77" w14:textId="0A5366F3" w:rsidR="00347E6D" w:rsidRPr="00347E6D" w:rsidRDefault="00347E6D" w:rsidP="00347E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347E6D">
                    <w:rPr>
                      <w:rFonts w:cs="Arial"/>
                      <w:sz w:val="20"/>
                      <w:szCs w:val="20"/>
                    </w:rPr>
                    <w:t>76</w:t>
                  </w:r>
                </w:p>
              </w:tc>
              <w:tc>
                <w:tcPr>
                  <w:tcW w:w="1346" w:type="dxa"/>
                </w:tcPr>
                <w:p w14:paraId="3CA6C989" w14:textId="0F155168" w:rsidR="00347E6D" w:rsidRPr="00347E6D" w:rsidRDefault="00347E6D" w:rsidP="00347E6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347E6D">
                    <w:rPr>
                      <w:rFonts w:cs="Arial"/>
                      <w:b/>
                      <w:bCs/>
                      <w:sz w:val="20"/>
                      <w:szCs w:val="20"/>
                    </w:rPr>
                    <w:t>228</w:t>
                  </w:r>
                </w:p>
              </w:tc>
            </w:tr>
            <w:tr w:rsidR="00347E6D" w:rsidRPr="00885B6F" w14:paraId="596C69CD" w14:textId="77777777" w:rsidTr="00AB3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06B3E38" w14:textId="2DD07037" w:rsidR="00347E6D" w:rsidRPr="00347E6D" w:rsidRDefault="00347E6D" w:rsidP="00347E6D">
                  <w:pPr>
                    <w:spacing w:after="0" w:line="240" w:lineRule="auto"/>
                    <w:jc w:val="center"/>
                    <w:rPr>
                      <w:rFonts w:cs="Arial"/>
                      <w:b w:val="0"/>
                      <w:bCs w:val="0"/>
                      <w:sz w:val="20"/>
                      <w:szCs w:val="20"/>
                    </w:rPr>
                  </w:pPr>
                  <w:r w:rsidRPr="00347E6D">
                    <w:rPr>
                      <w:rFonts w:cs="Arial"/>
                      <w:b w:val="0"/>
                      <w:bCs w:val="0"/>
                      <w:sz w:val="20"/>
                      <w:szCs w:val="20"/>
                    </w:rPr>
                    <w:t>Total DR TB cases</w:t>
                  </w:r>
                </w:p>
              </w:tc>
              <w:tc>
                <w:tcPr>
                  <w:tcW w:w="1270" w:type="dxa"/>
                </w:tcPr>
                <w:p w14:paraId="4D3EBC9D" w14:textId="7C083272" w:rsidR="00347E6D" w:rsidRPr="00347E6D" w:rsidRDefault="00347E6D" w:rsidP="00347E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347E6D">
                    <w:rPr>
                      <w:rFonts w:cs="Arial"/>
                      <w:sz w:val="20"/>
                      <w:szCs w:val="20"/>
                    </w:rPr>
                    <w:t>872</w:t>
                  </w:r>
                </w:p>
              </w:tc>
              <w:tc>
                <w:tcPr>
                  <w:tcW w:w="1270" w:type="dxa"/>
                </w:tcPr>
                <w:p w14:paraId="7AD6BDCE" w14:textId="268CC48C" w:rsidR="00347E6D" w:rsidRPr="00347E6D" w:rsidRDefault="00347E6D" w:rsidP="00347E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347E6D">
                    <w:rPr>
                      <w:rFonts w:cs="Arial"/>
                      <w:sz w:val="20"/>
                      <w:szCs w:val="20"/>
                    </w:rPr>
                    <w:t>851</w:t>
                  </w:r>
                </w:p>
              </w:tc>
              <w:tc>
                <w:tcPr>
                  <w:tcW w:w="1270" w:type="dxa"/>
                </w:tcPr>
                <w:p w14:paraId="1B3C81D2" w14:textId="67AAFDA4" w:rsidR="00347E6D" w:rsidRPr="00347E6D" w:rsidRDefault="00347E6D" w:rsidP="00347E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347E6D">
                    <w:rPr>
                      <w:rFonts w:cs="Arial"/>
                      <w:sz w:val="20"/>
                      <w:szCs w:val="20"/>
                    </w:rPr>
                    <w:t>836</w:t>
                  </w:r>
                </w:p>
              </w:tc>
              <w:tc>
                <w:tcPr>
                  <w:tcW w:w="1346" w:type="dxa"/>
                </w:tcPr>
                <w:p w14:paraId="7B4D2409" w14:textId="6B463FFF" w:rsidR="00347E6D" w:rsidRPr="00347E6D" w:rsidRDefault="00347E6D" w:rsidP="00347E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347E6D">
                    <w:rPr>
                      <w:rFonts w:cs="Arial"/>
                      <w:b/>
                      <w:bCs/>
                      <w:sz w:val="20"/>
                      <w:szCs w:val="20"/>
                    </w:rPr>
                    <w:t>2151</w:t>
                  </w:r>
                </w:p>
              </w:tc>
            </w:tr>
          </w:tbl>
          <w:p w14:paraId="2F23B31E" w14:textId="77777777" w:rsidR="0015208B" w:rsidRPr="00BF4BEE" w:rsidRDefault="0015208B" w:rsidP="0015208B">
            <w:pPr>
              <w:spacing w:after="0"/>
              <w:rPr>
                <w:rFonts w:ascii="Calibri" w:hAnsi="Calibri" w:cs="Times New Roman"/>
              </w:rPr>
            </w:pPr>
          </w:p>
        </w:tc>
      </w:tr>
      <w:tr w:rsidR="00D26A7A" w:rsidRPr="00BF4BEE" w14:paraId="16F3EFFE" w14:textId="77777777" w:rsidTr="0015208B">
        <w:trPr>
          <w:trHeight w:val="431"/>
        </w:trPr>
        <w:tc>
          <w:tcPr>
            <w:tcW w:w="2448" w:type="dxa"/>
            <w:shd w:val="clear" w:color="auto" w:fill="F2F2F2"/>
            <w:vAlign w:val="center"/>
          </w:tcPr>
          <w:p w14:paraId="4EC26301" w14:textId="2FE987BF" w:rsidR="00D26A7A" w:rsidRPr="00BF4BEE" w:rsidRDefault="00D26A7A" w:rsidP="0015208B">
            <w:pPr>
              <w:spacing w:after="0"/>
            </w:pPr>
            <w:r>
              <w:t>Expected investment</w:t>
            </w:r>
          </w:p>
        </w:tc>
        <w:tc>
          <w:tcPr>
            <w:tcW w:w="7902" w:type="dxa"/>
          </w:tcPr>
          <w:p w14:paraId="19C6C67E" w14:textId="16E145C4" w:rsidR="00D26A7A" w:rsidRDefault="00D26A7A" w:rsidP="00D26A7A">
            <w:pPr>
              <w:spacing w:after="0" w:line="240" w:lineRule="auto"/>
              <w:rPr>
                <w:rFonts w:cs="Arial"/>
                <w:color w:val="000000"/>
                <w:sz w:val="20"/>
                <w:szCs w:val="20"/>
              </w:rPr>
            </w:pPr>
            <w:r w:rsidRPr="00D26A7A">
              <w:rPr>
                <w:rFonts w:ascii="Arial" w:hAnsi="Arial" w:cs="Arial"/>
                <w:color w:val="000000"/>
                <w:sz w:val="20"/>
                <w:szCs w:val="20"/>
                <w:highlight w:val="yellow"/>
              </w:rPr>
              <w:t>EUR 7,582,725</w:t>
            </w:r>
          </w:p>
          <w:p w14:paraId="125D0E22" w14:textId="63654644" w:rsidR="00D26A7A" w:rsidRDefault="00D26A7A" w:rsidP="00D26A7A">
            <w:pPr>
              <w:spacing w:after="0" w:line="240" w:lineRule="auto"/>
              <w:rPr>
                <w:b/>
                <w:bCs/>
                <w:sz w:val="20"/>
                <w:szCs w:val="20"/>
                <w:highlight w:val="yellow"/>
              </w:rPr>
            </w:pPr>
            <w:r w:rsidRPr="005B648A">
              <w:rPr>
                <w:rFonts w:cstheme="minorHAnsi"/>
                <w:sz w:val="20"/>
                <w:highlight w:val="yellow"/>
              </w:rPr>
              <w:t>PAAR</w:t>
            </w:r>
          </w:p>
        </w:tc>
      </w:tr>
    </w:tbl>
    <w:p w14:paraId="6C7E60CF" w14:textId="77777777" w:rsidR="0015208B" w:rsidRDefault="0015208B" w:rsidP="0015208B">
      <w:pPr>
        <w:spacing w:after="0"/>
      </w:pPr>
    </w:p>
    <w:p w14:paraId="18095C58" w14:textId="77777777" w:rsidR="001F7F10" w:rsidRDefault="001F7F10">
      <w:pPr>
        <w:spacing w:after="160" w:line="0" w:lineRule="auto"/>
        <w:rPr>
          <w:rFonts w:asciiTheme="majorHAnsi" w:hAnsiTheme="majorHAnsi" w:cstheme="majorHAnsi"/>
        </w:rPr>
      </w:pPr>
    </w:p>
    <w:p w14:paraId="2842399A" w14:textId="77777777" w:rsidR="001F7F10" w:rsidRDefault="001F7F10">
      <w:pPr>
        <w:spacing w:after="160" w:line="0" w:lineRule="auto"/>
        <w:rPr>
          <w:rFonts w:asciiTheme="majorHAnsi" w:hAnsiTheme="majorHAnsi" w:cstheme="majorHAnsi"/>
        </w:rPr>
      </w:pPr>
    </w:p>
    <w:p w14:paraId="16E3D707" w14:textId="77777777" w:rsidR="0015208B" w:rsidRDefault="008C36D5">
      <w:pPr>
        <w:spacing w:after="160" w:line="0" w:lineRule="auto"/>
        <w:rPr>
          <w:rFonts w:asciiTheme="majorHAnsi" w:hAnsiTheme="majorHAnsi" w:cstheme="majorHAnsi"/>
        </w:rPr>
      </w:pPr>
      <w:r>
        <w:rPr>
          <w:rFonts w:asciiTheme="majorHAnsi" w:hAnsiTheme="majorHAnsi" w:cstheme="majorHAnsi"/>
        </w:rPr>
        <w:br w:type="page"/>
      </w:r>
    </w:p>
    <w:tbl>
      <w:tblPr>
        <w:tblStyle w:val="TableGrid30"/>
        <w:tblW w:w="10350" w:type="dxa"/>
        <w:tblInd w:w="-5" w:type="dxa"/>
        <w:tblLook w:val="04A0" w:firstRow="1" w:lastRow="0" w:firstColumn="1" w:lastColumn="0" w:noHBand="0" w:noVBand="1"/>
      </w:tblPr>
      <w:tblGrid>
        <w:gridCol w:w="2419"/>
        <w:gridCol w:w="7931"/>
      </w:tblGrid>
      <w:tr w:rsidR="0015208B" w:rsidRPr="00224E57" w14:paraId="243C2595" w14:textId="77777777" w:rsidTr="00713B46">
        <w:trPr>
          <w:trHeight w:val="422"/>
        </w:trPr>
        <w:tc>
          <w:tcPr>
            <w:tcW w:w="2448" w:type="dxa"/>
            <w:shd w:val="clear" w:color="auto" w:fill="F2F2F2"/>
            <w:vAlign w:val="center"/>
          </w:tcPr>
          <w:p w14:paraId="3DBCF744" w14:textId="77777777" w:rsidR="0015208B" w:rsidRPr="00BF4BEE" w:rsidRDefault="0015208B" w:rsidP="0015208B">
            <w:pPr>
              <w:spacing w:after="0"/>
            </w:pPr>
            <w:r>
              <w:lastRenderedPageBreak/>
              <w:t xml:space="preserve">Component </w:t>
            </w:r>
          </w:p>
        </w:tc>
        <w:tc>
          <w:tcPr>
            <w:tcW w:w="7902" w:type="dxa"/>
            <w:shd w:val="clear" w:color="auto" w:fill="C00000"/>
          </w:tcPr>
          <w:p w14:paraId="1566CFBC" w14:textId="43C21573" w:rsidR="0015208B" w:rsidRPr="000A7A8A" w:rsidRDefault="009B7CC7" w:rsidP="009B7CC7">
            <w:pPr>
              <w:spacing w:after="0" w:line="240" w:lineRule="auto"/>
              <w:jc w:val="both"/>
              <w:rPr>
                <w:b/>
                <w:color w:val="FFFFFF" w:themeColor="background1"/>
                <w:sz w:val="20"/>
                <w:szCs w:val="20"/>
              </w:rPr>
            </w:pPr>
            <w:r>
              <w:rPr>
                <w:b/>
                <w:color w:val="FFFFFF" w:themeColor="background1"/>
                <w:sz w:val="20"/>
                <w:szCs w:val="20"/>
              </w:rPr>
              <w:t>HIV: Reduce new HIV transmission</w:t>
            </w:r>
            <w:r w:rsidR="00936973">
              <w:rPr>
                <w:b/>
                <w:color w:val="FFFFFF" w:themeColor="background1"/>
                <w:sz w:val="20"/>
                <w:szCs w:val="20"/>
              </w:rPr>
              <w:t>s</w:t>
            </w:r>
            <w:r w:rsidR="0015208B" w:rsidRPr="000A7A8A">
              <w:rPr>
                <w:b/>
                <w:color w:val="FFFFFF" w:themeColor="background1"/>
                <w:sz w:val="20"/>
                <w:szCs w:val="20"/>
              </w:rPr>
              <w:t xml:space="preserve">, close the gap in achieving 90-90-90 targets through increased early HIV detection, link to rapid ART initiation and increased treatment retention </w:t>
            </w:r>
          </w:p>
        </w:tc>
      </w:tr>
      <w:tr w:rsidR="0015208B" w:rsidRPr="00BF4BEE" w14:paraId="0092CC7B" w14:textId="77777777" w:rsidTr="0015208B">
        <w:trPr>
          <w:trHeight w:val="440"/>
        </w:trPr>
        <w:tc>
          <w:tcPr>
            <w:tcW w:w="2448" w:type="dxa"/>
            <w:shd w:val="clear" w:color="auto" w:fill="F2F2F2"/>
            <w:vAlign w:val="center"/>
          </w:tcPr>
          <w:p w14:paraId="327A8724" w14:textId="77777777" w:rsidR="0015208B" w:rsidRPr="00BF4BEE" w:rsidRDefault="0015208B" w:rsidP="0015208B">
            <w:pPr>
              <w:spacing w:after="0"/>
            </w:pPr>
            <w:r>
              <w:t>Module/i</w:t>
            </w:r>
            <w:r w:rsidRPr="00BF4BEE">
              <w:t>nterventions</w:t>
            </w:r>
          </w:p>
        </w:tc>
        <w:tc>
          <w:tcPr>
            <w:tcW w:w="7902" w:type="dxa"/>
          </w:tcPr>
          <w:p w14:paraId="34E8249A" w14:textId="77777777" w:rsidR="00713B46" w:rsidRDefault="0015208B" w:rsidP="0015208B">
            <w:pPr>
              <w:spacing w:after="0" w:line="240" w:lineRule="auto"/>
              <w:jc w:val="both"/>
              <w:rPr>
                <w:sz w:val="20"/>
                <w:szCs w:val="20"/>
              </w:rPr>
            </w:pPr>
            <w:r>
              <w:rPr>
                <w:sz w:val="20"/>
                <w:szCs w:val="20"/>
              </w:rPr>
              <w:t>The current national program end</w:t>
            </w:r>
            <w:r w:rsidR="006E6461">
              <w:rPr>
                <w:sz w:val="20"/>
                <w:szCs w:val="20"/>
              </w:rPr>
              <w:t>s</w:t>
            </w:r>
            <w:r>
              <w:rPr>
                <w:sz w:val="20"/>
                <w:szCs w:val="20"/>
              </w:rPr>
              <w:t xml:space="preserve"> in 2020</w:t>
            </w:r>
            <w:r w:rsidR="006E6461">
              <w:rPr>
                <w:sz w:val="20"/>
                <w:szCs w:val="20"/>
              </w:rPr>
              <w:t xml:space="preserve">. The targets were </w:t>
            </w:r>
            <w:r>
              <w:rPr>
                <w:sz w:val="20"/>
                <w:szCs w:val="20"/>
              </w:rPr>
              <w:t>set at 60%: e</w:t>
            </w:r>
            <w:r w:rsidRPr="007420D0">
              <w:rPr>
                <w:sz w:val="20"/>
                <w:szCs w:val="20"/>
              </w:rPr>
              <w:t>xpansion of HIV testing: PW</w:t>
            </w:r>
            <w:r>
              <w:rPr>
                <w:sz w:val="20"/>
                <w:szCs w:val="20"/>
              </w:rPr>
              <w:t>I</w:t>
            </w:r>
            <w:r w:rsidRPr="007420D0">
              <w:rPr>
                <w:sz w:val="20"/>
                <w:szCs w:val="20"/>
              </w:rPr>
              <w:t xml:space="preserve">D 60%; SW 60%; MSM 40%; </w:t>
            </w:r>
            <w:r>
              <w:rPr>
                <w:sz w:val="20"/>
                <w:szCs w:val="20"/>
              </w:rPr>
              <w:t>a</w:t>
            </w:r>
            <w:r w:rsidRPr="007420D0">
              <w:rPr>
                <w:sz w:val="20"/>
                <w:szCs w:val="20"/>
              </w:rPr>
              <w:t xml:space="preserve">ntiretroviral treatment coverage </w:t>
            </w:r>
            <w:r>
              <w:rPr>
                <w:sz w:val="20"/>
                <w:szCs w:val="20"/>
              </w:rPr>
              <w:t>of people living with HIV: 60%, c</w:t>
            </w:r>
            <w:r w:rsidRPr="007420D0">
              <w:rPr>
                <w:sz w:val="20"/>
                <w:szCs w:val="20"/>
              </w:rPr>
              <w:t>overage of prevention servi</w:t>
            </w:r>
            <w:r>
              <w:rPr>
                <w:sz w:val="20"/>
                <w:szCs w:val="20"/>
              </w:rPr>
              <w:t xml:space="preserve">ces: PWUD 60%; SW 60%; MSM 40%. </w:t>
            </w:r>
            <w:r w:rsidRPr="009247F2">
              <w:rPr>
                <w:sz w:val="20"/>
                <w:szCs w:val="20"/>
              </w:rPr>
              <w:t xml:space="preserve">Despite an acceleration </w:t>
            </w:r>
            <w:r>
              <w:rPr>
                <w:sz w:val="20"/>
                <w:szCs w:val="20"/>
              </w:rPr>
              <w:t>in recent years</w:t>
            </w:r>
            <w:r w:rsidRPr="009247F2">
              <w:rPr>
                <w:sz w:val="20"/>
                <w:szCs w:val="20"/>
              </w:rPr>
              <w:t xml:space="preserve">, Moldova </w:t>
            </w:r>
            <w:r>
              <w:rPr>
                <w:sz w:val="20"/>
                <w:szCs w:val="20"/>
              </w:rPr>
              <w:t xml:space="preserve">is behind </w:t>
            </w:r>
            <w:r w:rsidRPr="009247F2">
              <w:rPr>
                <w:sz w:val="20"/>
                <w:szCs w:val="20"/>
              </w:rPr>
              <w:t xml:space="preserve">the 90/90/90 goals </w:t>
            </w:r>
            <w:r w:rsidR="006E6461">
              <w:rPr>
                <w:sz w:val="20"/>
                <w:szCs w:val="20"/>
              </w:rPr>
              <w:t>due to low starting point</w:t>
            </w:r>
            <w:r w:rsidRPr="009247F2">
              <w:rPr>
                <w:sz w:val="20"/>
                <w:szCs w:val="20"/>
              </w:rPr>
              <w:t xml:space="preserve">. </w:t>
            </w:r>
            <w:r>
              <w:rPr>
                <w:sz w:val="20"/>
                <w:szCs w:val="20"/>
              </w:rPr>
              <w:t>According to HIV Optima 2019, t</w:t>
            </w:r>
            <w:r w:rsidRPr="009247F2">
              <w:rPr>
                <w:sz w:val="20"/>
                <w:szCs w:val="20"/>
              </w:rPr>
              <w:t xml:space="preserve">o reach 95-95-95, a 230% increase in the budget is needed, which is unrealistic. </w:t>
            </w:r>
          </w:p>
          <w:p w14:paraId="2F4F341F" w14:textId="77777777" w:rsidR="00713B46" w:rsidRDefault="00713B46" w:rsidP="0015208B">
            <w:pPr>
              <w:spacing w:after="0" w:line="240" w:lineRule="auto"/>
              <w:jc w:val="both"/>
              <w:rPr>
                <w:sz w:val="20"/>
                <w:szCs w:val="20"/>
              </w:rPr>
            </w:pPr>
          </w:p>
          <w:p w14:paraId="5C1356E8" w14:textId="77777777" w:rsidR="00D00A6A" w:rsidRDefault="0015208B" w:rsidP="0015208B">
            <w:pPr>
              <w:spacing w:after="0" w:line="240" w:lineRule="auto"/>
              <w:jc w:val="both"/>
              <w:rPr>
                <w:sz w:val="20"/>
                <w:szCs w:val="20"/>
              </w:rPr>
            </w:pPr>
            <w:r>
              <w:rPr>
                <w:sz w:val="20"/>
                <w:szCs w:val="20"/>
              </w:rPr>
              <w:t>T</w:t>
            </w:r>
            <w:r w:rsidRPr="009247F2">
              <w:rPr>
                <w:sz w:val="20"/>
                <w:szCs w:val="20"/>
              </w:rPr>
              <w:t>he</w:t>
            </w:r>
            <w:r>
              <w:rPr>
                <w:sz w:val="20"/>
                <w:szCs w:val="20"/>
              </w:rPr>
              <w:t>refore, t</w:t>
            </w:r>
            <w:r w:rsidRPr="009247F2">
              <w:rPr>
                <w:sz w:val="20"/>
                <w:szCs w:val="20"/>
              </w:rPr>
              <w:t xml:space="preserve">he national program </w:t>
            </w:r>
            <w:r>
              <w:rPr>
                <w:sz w:val="20"/>
                <w:szCs w:val="20"/>
              </w:rPr>
              <w:t xml:space="preserve">2021-2025 </w:t>
            </w:r>
            <w:r w:rsidRPr="009247F2">
              <w:rPr>
                <w:sz w:val="20"/>
                <w:szCs w:val="20"/>
              </w:rPr>
              <w:t xml:space="preserve">sets </w:t>
            </w:r>
            <w:r>
              <w:rPr>
                <w:sz w:val="20"/>
                <w:szCs w:val="20"/>
              </w:rPr>
              <w:t xml:space="preserve">highly </w:t>
            </w:r>
            <w:r w:rsidRPr="009247F2">
              <w:rPr>
                <w:sz w:val="20"/>
                <w:szCs w:val="20"/>
              </w:rPr>
              <w:t xml:space="preserve">ambitious </w:t>
            </w:r>
            <w:r>
              <w:rPr>
                <w:sz w:val="20"/>
                <w:szCs w:val="20"/>
              </w:rPr>
              <w:t>targets for the country context</w:t>
            </w:r>
            <w:r w:rsidR="006E6461">
              <w:rPr>
                <w:sz w:val="20"/>
                <w:szCs w:val="20"/>
              </w:rPr>
              <w:t>. For NAP 2021-2025 t</w:t>
            </w:r>
            <w:r>
              <w:rPr>
                <w:sz w:val="20"/>
                <w:szCs w:val="20"/>
              </w:rPr>
              <w:t>he national stakeholders adopted targets</w:t>
            </w:r>
            <w:r w:rsidR="006E6461">
              <w:rPr>
                <w:sz w:val="20"/>
                <w:szCs w:val="20"/>
              </w:rPr>
              <w:t xml:space="preserve"> set at </w:t>
            </w:r>
            <w:r>
              <w:rPr>
                <w:sz w:val="20"/>
                <w:szCs w:val="20"/>
              </w:rPr>
              <w:t xml:space="preserve">90-90-90 by </w:t>
            </w:r>
            <w:r w:rsidR="006E6461">
              <w:rPr>
                <w:sz w:val="20"/>
                <w:szCs w:val="20"/>
              </w:rPr>
              <w:t>2025 and next NAP will adopt</w:t>
            </w:r>
            <w:r>
              <w:rPr>
                <w:sz w:val="20"/>
                <w:szCs w:val="20"/>
              </w:rPr>
              <w:t xml:space="preserve"> </w:t>
            </w:r>
            <w:r w:rsidRPr="009247F2">
              <w:rPr>
                <w:sz w:val="20"/>
                <w:szCs w:val="20"/>
              </w:rPr>
              <w:t>95-95-95 targets for 2030</w:t>
            </w:r>
            <w:r>
              <w:rPr>
                <w:sz w:val="20"/>
                <w:szCs w:val="20"/>
              </w:rPr>
              <w:t>.</w:t>
            </w:r>
          </w:p>
          <w:p w14:paraId="5D470BD0" w14:textId="1ACD967F" w:rsidR="00713B46" w:rsidRDefault="0015208B" w:rsidP="0015208B">
            <w:pPr>
              <w:spacing w:after="0" w:line="240" w:lineRule="auto"/>
              <w:jc w:val="both"/>
              <w:rPr>
                <w:sz w:val="20"/>
                <w:szCs w:val="20"/>
              </w:rPr>
            </w:pPr>
            <w:r>
              <w:rPr>
                <w:sz w:val="20"/>
                <w:szCs w:val="20"/>
              </w:rPr>
              <w:t xml:space="preserve"> </w:t>
            </w:r>
          </w:p>
          <w:p w14:paraId="0A072791" w14:textId="2B231A26" w:rsidR="00713B46" w:rsidRPr="003744D9" w:rsidRDefault="00713B46" w:rsidP="00713B46">
            <w:pPr>
              <w:rPr>
                <w:rStyle w:val="e24kjd"/>
                <w:rFonts w:asciiTheme="majorHAnsi" w:hAnsiTheme="majorHAnsi" w:cstheme="majorHAnsi"/>
                <w:sz w:val="20"/>
              </w:rPr>
            </w:pPr>
            <w:r w:rsidRPr="003744D9">
              <w:rPr>
                <w:rStyle w:val="e24kjd"/>
                <w:rFonts w:asciiTheme="majorHAnsi" w:hAnsiTheme="majorHAnsi" w:cstheme="majorHAnsi"/>
                <w:b/>
                <w:sz w:val="20"/>
              </w:rPr>
              <w:t>Strategic Goal</w:t>
            </w:r>
            <w:r w:rsidRPr="003744D9">
              <w:rPr>
                <w:rStyle w:val="e24kjd"/>
                <w:rFonts w:asciiTheme="majorHAnsi" w:hAnsiTheme="majorHAnsi" w:cstheme="majorHAnsi"/>
                <w:sz w:val="20"/>
              </w:rPr>
              <w:t xml:space="preserve">: Reduce negative consequences of HIV and STIs through decreasing the number of infections and transmission in key populations &lt;10% in MSM, &lt;20% in PWID and &lt;6% in SWs and reduce AIDS mortality to minimum. </w:t>
            </w:r>
          </w:p>
          <w:p w14:paraId="4F858BD0" w14:textId="5AF051CC" w:rsidR="00713B46" w:rsidRPr="003744D9" w:rsidRDefault="00713B46" w:rsidP="00713B46">
            <w:pPr>
              <w:rPr>
                <w:rStyle w:val="e24kjd"/>
                <w:rFonts w:asciiTheme="majorHAnsi" w:hAnsiTheme="majorHAnsi" w:cstheme="majorHAnsi"/>
                <w:sz w:val="20"/>
              </w:rPr>
            </w:pPr>
            <w:r w:rsidRPr="003744D9">
              <w:rPr>
                <w:rStyle w:val="e24kjd"/>
                <w:rFonts w:asciiTheme="majorHAnsi" w:hAnsiTheme="majorHAnsi" w:cstheme="majorHAnsi"/>
                <w:sz w:val="20"/>
              </w:rPr>
              <w:t>Three strategic priorities</w:t>
            </w:r>
            <w:r w:rsidR="0018464A">
              <w:rPr>
                <w:rStyle w:val="e24kjd"/>
                <w:rFonts w:asciiTheme="majorHAnsi" w:hAnsiTheme="majorHAnsi" w:cstheme="majorHAnsi"/>
                <w:sz w:val="20"/>
              </w:rPr>
              <w:t xml:space="preserve"> of the national program are to</w:t>
            </w:r>
            <w:r w:rsidRPr="003744D9">
              <w:rPr>
                <w:rStyle w:val="e24kjd"/>
                <w:rFonts w:asciiTheme="majorHAnsi" w:hAnsiTheme="majorHAnsi" w:cstheme="majorHAnsi"/>
                <w:sz w:val="20"/>
              </w:rPr>
              <w:t>:</w:t>
            </w:r>
          </w:p>
          <w:p w14:paraId="1CBC9A8D" w14:textId="695C3CDB" w:rsidR="00713B46" w:rsidRPr="003744D9" w:rsidRDefault="00713B46" w:rsidP="00326A6B">
            <w:pPr>
              <w:pStyle w:val="ListParagraph"/>
              <w:numPr>
                <w:ilvl w:val="0"/>
                <w:numId w:val="60"/>
              </w:numPr>
              <w:rPr>
                <w:rStyle w:val="e24kjd"/>
                <w:rFonts w:asciiTheme="majorHAnsi" w:hAnsiTheme="majorHAnsi" w:cstheme="majorHAnsi"/>
                <w:sz w:val="20"/>
              </w:rPr>
            </w:pPr>
            <w:r w:rsidRPr="003744D9">
              <w:rPr>
                <w:rStyle w:val="e24kjd"/>
                <w:rFonts w:asciiTheme="majorHAnsi" w:hAnsiTheme="majorHAnsi" w:cstheme="majorHAnsi"/>
                <w:b/>
                <w:sz w:val="20"/>
              </w:rPr>
              <w:t>Reduce number of new HIV cases</w:t>
            </w:r>
            <w:r w:rsidRPr="003744D9">
              <w:rPr>
                <w:rStyle w:val="e24kjd"/>
                <w:rFonts w:asciiTheme="majorHAnsi" w:hAnsiTheme="majorHAnsi" w:cstheme="majorHAnsi"/>
                <w:sz w:val="20"/>
              </w:rPr>
              <w:t xml:space="preserve">: </w:t>
            </w:r>
          </w:p>
          <w:p w14:paraId="0A81C833" w14:textId="161691AE" w:rsidR="00713B46" w:rsidRPr="003744D9" w:rsidRDefault="00713B46" w:rsidP="00326A6B">
            <w:pPr>
              <w:pStyle w:val="ListParagraph"/>
              <w:numPr>
                <w:ilvl w:val="0"/>
                <w:numId w:val="60"/>
              </w:numPr>
              <w:rPr>
                <w:rStyle w:val="e24kjd"/>
                <w:rFonts w:asciiTheme="majorHAnsi" w:hAnsiTheme="majorHAnsi" w:cstheme="majorHAnsi"/>
                <w:sz w:val="20"/>
              </w:rPr>
            </w:pPr>
            <w:r w:rsidRPr="003744D9">
              <w:rPr>
                <w:rStyle w:val="e24kjd"/>
                <w:rFonts w:asciiTheme="majorHAnsi" w:hAnsiTheme="majorHAnsi" w:cstheme="majorHAnsi"/>
                <w:b/>
                <w:sz w:val="20"/>
              </w:rPr>
              <w:t>Increase access to health services and improve health status of people living with HIV</w:t>
            </w:r>
            <w:r w:rsidR="003744D9" w:rsidRPr="003744D9">
              <w:rPr>
                <w:rStyle w:val="e24kjd"/>
                <w:rFonts w:asciiTheme="majorHAnsi" w:hAnsiTheme="majorHAnsi" w:cstheme="majorHAnsi"/>
                <w:b/>
                <w:sz w:val="20"/>
              </w:rPr>
              <w:t xml:space="preserve"> </w:t>
            </w:r>
            <w:r w:rsidRPr="003744D9">
              <w:rPr>
                <w:rStyle w:val="e24kjd"/>
                <w:rFonts w:asciiTheme="majorHAnsi" w:hAnsiTheme="majorHAnsi" w:cstheme="majorHAnsi"/>
                <w:sz w:val="20"/>
              </w:rPr>
              <w:t xml:space="preserve"> </w:t>
            </w:r>
          </w:p>
          <w:p w14:paraId="2FEA101D" w14:textId="40CE5827" w:rsidR="00713B46" w:rsidRPr="003744D9" w:rsidRDefault="00713B46" w:rsidP="00326A6B">
            <w:pPr>
              <w:pStyle w:val="ListParagraph"/>
              <w:numPr>
                <w:ilvl w:val="0"/>
                <w:numId w:val="60"/>
              </w:numPr>
              <w:rPr>
                <w:rStyle w:val="e24kjd"/>
                <w:rFonts w:asciiTheme="majorHAnsi" w:hAnsiTheme="majorHAnsi" w:cstheme="majorHAnsi"/>
                <w:sz w:val="20"/>
              </w:rPr>
            </w:pPr>
            <w:r w:rsidRPr="003744D9">
              <w:rPr>
                <w:rStyle w:val="e24kjd"/>
                <w:rFonts w:asciiTheme="majorHAnsi" w:hAnsiTheme="majorHAnsi" w:cstheme="majorHAnsi"/>
                <w:b/>
                <w:sz w:val="20"/>
              </w:rPr>
              <w:t>Ensure effective coordination of NAP through strength</w:t>
            </w:r>
            <w:r w:rsidR="003744D9" w:rsidRPr="003744D9">
              <w:rPr>
                <w:rStyle w:val="e24kjd"/>
                <w:rFonts w:asciiTheme="majorHAnsi" w:hAnsiTheme="majorHAnsi" w:cstheme="majorHAnsi"/>
                <w:b/>
                <w:sz w:val="20"/>
              </w:rPr>
              <w:t>ening health system</w:t>
            </w:r>
          </w:p>
          <w:p w14:paraId="219F4AE5" w14:textId="7D89A28F" w:rsidR="0015208B" w:rsidRDefault="0015208B" w:rsidP="0015208B">
            <w:pPr>
              <w:spacing w:after="0" w:line="240" w:lineRule="auto"/>
              <w:jc w:val="both"/>
              <w:rPr>
                <w:sz w:val="20"/>
                <w:szCs w:val="20"/>
              </w:rPr>
            </w:pPr>
            <w:r>
              <w:rPr>
                <w:sz w:val="20"/>
                <w:szCs w:val="20"/>
              </w:rPr>
              <w:t>To reach reduction in HIV transmission, 90/90/90 and zero discrimination, the</w:t>
            </w:r>
            <w:r w:rsidR="00713B46">
              <w:rPr>
                <w:sz w:val="20"/>
                <w:szCs w:val="20"/>
              </w:rPr>
              <w:t xml:space="preserve"> funding request focuses </w:t>
            </w:r>
            <w:r>
              <w:rPr>
                <w:sz w:val="20"/>
                <w:szCs w:val="20"/>
              </w:rPr>
              <w:t xml:space="preserve">on several strategic axes and technical approaches: </w:t>
            </w:r>
          </w:p>
          <w:p w14:paraId="7708EC5C" w14:textId="4515B06B" w:rsidR="0015208B" w:rsidRDefault="002233FE" w:rsidP="00F42E40">
            <w:pPr>
              <w:pStyle w:val="ListParagraph"/>
              <w:numPr>
                <w:ilvl w:val="0"/>
                <w:numId w:val="30"/>
              </w:numPr>
              <w:spacing w:after="0" w:line="240" w:lineRule="auto"/>
              <w:jc w:val="both"/>
              <w:rPr>
                <w:sz w:val="20"/>
                <w:szCs w:val="20"/>
              </w:rPr>
            </w:pPr>
            <w:r w:rsidRPr="0031486C">
              <w:rPr>
                <w:sz w:val="20"/>
                <w:szCs w:val="20"/>
              </w:rPr>
              <w:t xml:space="preserve">reprioritize focus on MSM </w:t>
            </w:r>
            <w:r>
              <w:rPr>
                <w:sz w:val="20"/>
                <w:szCs w:val="20"/>
              </w:rPr>
              <w:t xml:space="preserve">as the </w:t>
            </w:r>
            <w:r w:rsidR="0018464A">
              <w:rPr>
                <w:sz w:val="20"/>
                <w:szCs w:val="20"/>
              </w:rPr>
              <w:t xml:space="preserve">group with </w:t>
            </w:r>
            <w:r>
              <w:rPr>
                <w:sz w:val="20"/>
                <w:szCs w:val="20"/>
              </w:rPr>
              <w:t>highest increas</w:t>
            </w:r>
            <w:r w:rsidR="0018464A">
              <w:rPr>
                <w:sz w:val="20"/>
                <w:szCs w:val="20"/>
              </w:rPr>
              <w:t>e HIV transmission</w:t>
            </w:r>
            <w:r>
              <w:rPr>
                <w:sz w:val="20"/>
                <w:szCs w:val="20"/>
              </w:rPr>
              <w:t xml:space="preserve">, </w:t>
            </w:r>
            <w:r w:rsidR="0015208B">
              <w:rPr>
                <w:sz w:val="20"/>
                <w:szCs w:val="20"/>
              </w:rPr>
              <w:t>sustain</w:t>
            </w:r>
            <w:r w:rsidR="0015208B" w:rsidRPr="0031486C">
              <w:rPr>
                <w:sz w:val="20"/>
                <w:szCs w:val="20"/>
              </w:rPr>
              <w:t xml:space="preserve"> the gains of current KP prevention programs</w:t>
            </w:r>
            <w:r>
              <w:rPr>
                <w:sz w:val="20"/>
                <w:szCs w:val="20"/>
              </w:rPr>
              <w:t xml:space="preserve"> (PWID</w:t>
            </w:r>
            <w:r w:rsidR="00713B46">
              <w:rPr>
                <w:sz w:val="20"/>
                <w:szCs w:val="20"/>
              </w:rPr>
              <w:t xml:space="preserve">, </w:t>
            </w:r>
            <w:r w:rsidR="0015208B" w:rsidRPr="0031486C">
              <w:rPr>
                <w:sz w:val="20"/>
                <w:szCs w:val="20"/>
              </w:rPr>
              <w:t>S</w:t>
            </w:r>
            <w:r w:rsidR="0015208B">
              <w:rPr>
                <w:sz w:val="20"/>
                <w:szCs w:val="20"/>
              </w:rPr>
              <w:t>Ws</w:t>
            </w:r>
            <w:r w:rsidR="00713B46">
              <w:rPr>
                <w:sz w:val="20"/>
                <w:szCs w:val="20"/>
              </w:rPr>
              <w:t xml:space="preserve"> and people in detention</w:t>
            </w:r>
            <w:r>
              <w:rPr>
                <w:sz w:val="20"/>
                <w:szCs w:val="20"/>
              </w:rPr>
              <w:t>)</w:t>
            </w:r>
            <w:r w:rsidR="0015208B">
              <w:rPr>
                <w:sz w:val="20"/>
                <w:szCs w:val="20"/>
              </w:rPr>
              <w:t xml:space="preserve"> and innovate mature programs to expand reach and achieve higher coverage</w:t>
            </w:r>
          </w:p>
          <w:p w14:paraId="2C6075F7" w14:textId="77777777" w:rsidR="0015208B" w:rsidRPr="0031486C" w:rsidRDefault="0015208B" w:rsidP="00F42E40">
            <w:pPr>
              <w:pStyle w:val="ListParagraph"/>
              <w:numPr>
                <w:ilvl w:val="0"/>
                <w:numId w:val="30"/>
              </w:numPr>
              <w:spacing w:after="0" w:line="240" w:lineRule="auto"/>
              <w:jc w:val="both"/>
              <w:rPr>
                <w:sz w:val="20"/>
                <w:szCs w:val="20"/>
              </w:rPr>
            </w:pPr>
            <w:r>
              <w:rPr>
                <w:sz w:val="20"/>
                <w:szCs w:val="20"/>
              </w:rPr>
              <w:t xml:space="preserve">design a people-centered model of HIV care based on a health system approach and strong focus on care cascade to decrease leakages </w:t>
            </w:r>
          </w:p>
          <w:p w14:paraId="0B9A57FB" w14:textId="3F703F21" w:rsidR="0015208B" w:rsidRDefault="002233FE" w:rsidP="00F42E40">
            <w:pPr>
              <w:pStyle w:val="ListParagraph"/>
              <w:numPr>
                <w:ilvl w:val="0"/>
                <w:numId w:val="30"/>
              </w:numPr>
              <w:spacing w:after="0" w:line="240" w:lineRule="auto"/>
              <w:jc w:val="both"/>
              <w:rPr>
                <w:sz w:val="20"/>
                <w:szCs w:val="20"/>
              </w:rPr>
            </w:pPr>
            <w:r>
              <w:rPr>
                <w:sz w:val="20"/>
                <w:szCs w:val="20"/>
              </w:rPr>
              <w:t>optimize</w:t>
            </w:r>
            <w:r w:rsidR="0015208B">
              <w:rPr>
                <w:sz w:val="20"/>
                <w:szCs w:val="20"/>
              </w:rPr>
              <w:t xml:space="preserve"> testing strategies to incentivize finding the positives and early linkage to care, improve strategies to bring back to care those lost between pillars and achieve higher treatment retention</w:t>
            </w:r>
          </w:p>
          <w:p w14:paraId="3B2DE418" w14:textId="41312294" w:rsidR="0015208B" w:rsidRDefault="0015208B" w:rsidP="00F42E40">
            <w:pPr>
              <w:pStyle w:val="ListParagraph"/>
              <w:numPr>
                <w:ilvl w:val="0"/>
                <w:numId w:val="30"/>
              </w:numPr>
              <w:spacing w:after="0" w:line="240" w:lineRule="auto"/>
              <w:jc w:val="both"/>
              <w:rPr>
                <w:sz w:val="20"/>
                <w:szCs w:val="20"/>
              </w:rPr>
            </w:pPr>
            <w:r w:rsidRPr="002B3265">
              <w:rPr>
                <w:sz w:val="20"/>
                <w:szCs w:val="20"/>
              </w:rPr>
              <w:t>focus on integration</w:t>
            </w:r>
            <w:r>
              <w:rPr>
                <w:sz w:val="20"/>
                <w:szCs w:val="20"/>
              </w:rPr>
              <w:t>, starti</w:t>
            </w:r>
            <w:r w:rsidR="002233FE">
              <w:rPr>
                <w:sz w:val="20"/>
                <w:szCs w:val="20"/>
              </w:rPr>
              <w:t xml:space="preserve">ng from service integration, including of CSO-led programs, and </w:t>
            </w:r>
            <w:r>
              <w:rPr>
                <w:sz w:val="20"/>
                <w:szCs w:val="20"/>
              </w:rPr>
              <w:t>evolv</w:t>
            </w:r>
            <w:r w:rsidR="002233FE">
              <w:rPr>
                <w:sz w:val="20"/>
                <w:szCs w:val="20"/>
              </w:rPr>
              <w:t>e</w:t>
            </w:r>
            <w:r>
              <w:rPr>
                <w:sz w:val="20"/>
                <w:szCs w:val="20"/>
              </w:rPr>
              <w:t xml:space="preserve"> the governance model for national programs for communicable diseases (RSSH component)</w:t>
            </w:r>
          </w:p>
          <w:p w14:paraId="6A943120" w14:textId="541E21E3" w:rsidR="0015208B" w:rsidRPr="002B3265" w:rsidRDefault="0015208B" w:rsidP="00F42E40">
            <w:pPr>
              <w:pStyle w:val="ListParagraph"/>
              <w:numPr>
                <w:ilvl w:val="0"/>
                <w:numId w:val="30"/>
              </w:numPr>
              <w:spacing w:after="0" w:line="240" w:lineRule="auto"/>
              <w:jc w:val="both"/>
              <w:rPr>
                <w:sz w:val="20"/>
                <w:szCs w:val="20"/>
              </w:rPr>
            </w:pPr>
            <w:r>
              <w:rPr>
                <w:sz w:val="20"/>
                <w:szCs w:val="20"/>
              </w:rPr>
              <w:t xml:space="preserve">strong focus on health systems strengthening to advance sustainability of HIV response, </w:t>
            </w:r>
            <w:r w:rsidR="002233FE" w:rsidRPr="002233FE">
              <w:rPr>
                <w:sz w:val="20"/>
                <w:szCs w:val="20"/>
              </w:rPr>
              <w:t>focus on better quality and stronger data collection tools, towards integrated HMIS, prevention, treatment, epidemiological, laboratory and procurement components</w:t>
            </w:r>
            <w:r>
              <w:rPr>
                <w:sz w:val="20"/>
                <w:szCs w:val="20"/>
              </w:rPr>
              <w:t xml:space="preserve"> (RSSH component) </w:t>
            </w:r>
          </w:p>
          <w:p w14:paraId="7FC63C71" w14:textId="4CFB6888" w:rsidR="00C4686B" w:rsidRPr="00AB3105" w:rsidRDefault="0015208B" w:rsidP="00047D69">
            <w:pPr>
              <w:pStyle w:val="ListParagraph"/>
              <w:numPr>
                <w:ilvl w:val="0"/>
                <w:numId w:val="30"/>
              </w:numPr>
              <w:spacing w:after="0" w:line="240" w:lineRule="auto"/>
              <w:jc w:val="both"/>
              <w:rPr>
                <w:sz w:val="20"/>
                <w:szCs w:val="20"/>
              </w:rPr>
            </w:pPr>
            <w:r w:rsidRPr="00AB3105">
              <w:rPr>
                <w:sz w:val="20"/>
                <w:szCs w:val="20"/>
              </w:rPr>
              <w:t>maintain a vibrant community voice able to monitor the response and reduce human rights barriers (in HRG component)</w:t>
            </w:r>
            <w:r w:rsidR="00AB3105" w:rsidRPr="00AB3105">
              <w:rPr>
                <w:sz w:val="20"/>
                <w:szCs w:val="20"/>
              </w:rPr>
              <w:t>.</w:t>
            </w:r>
          </w:p>
          <w:p w14:paraId="6ECDBA66" w14:textId="06580A76" w:rsidR="0015208B" w:rsidRPr="00F13BEF" w:rsidRDefault="0015208B" w:rsidP="00713B46">
            <w:pPr>
              <w:shd w:val="clear" w:color="auto" w:fill="C00000"/>
              <w:spacing w:line="240" w:lineRule="auto"/>
              <w:jc w:val="both"/>
              <w:rPr>
                <w:b/>
                <w:color w:val="FFFFFF" w:themeColor="background1"/>
                <w:sz w:val="20"/>
                <w:szCs w:val="20"/>
              </w:rPr>
            </w:pPr>
            <w:r w:rsidRPr="00F13BEF">
              <w:rPr>
                <w:b/>
                <w:color w:val="FFFFFF" w:themeColor="background1"/>
                <w:sz w:val="20"/>
                <w:szCs w:val="20"/>
              </w:rPr>
              <w:t xml:space="preserve">Reduce new </w:t>
            </w:r>
            <w:r w:rsidR="009B7CC7">
              <w:rPr>
                <w:b/>
                <w:color w:val="FFFFFF" w:themeColor="background1"/>
                <w:sz w:val="20"/>
                <w:szCs w:val="20"/>
              </w:rPr>
              <w:t>HIV transmission</w:t>
            </w:r>
            <w:r w:rsidRPr="00F13BEF">
              <w:rPr>
                <w:b/>
                <w:color w:val="FFFFFF" w:themeColor="background1"/>
                <w:sz w:val="20"/>
                <w:szCs w:val="20"/>
              </w:rPr>
              <w:t xml:space="preserve"> </w:t>
            </w:r>
          </w:p>
          <w:p w14:paraId="4E658C39" w14:textId="7DCFC6AA" w:rsidR="0015208B" w:rsidRDefault="0015208B" w:rsidP="008D2446">
            <w:pPr>
              <w:pStyle w:val="CommentText"/>
              <w:jc w:val="both"/>
            </w:pPr>
            <w:r w:rsidRPr="00EB3D61">
              <w:t xml:space="preserve">High risk key populations MSMs, SWs, PWID and their sexual partners and people in detention will be the focus of key interventions and activities. </w:t>
            </w:r>
            <w:r>
              <w:t xml:space="preserve">The funding request will support </w:t>
            </w:r>
            <w:r w:rsidR="003744D9">
              <w:t>further improvements</w:t>
            </w:r>
            <w:r>
              <w:t xml:space="preserve"> to KPs programs: (1) s</w:t>
            </w:r>
            <w:r w:rsidRPr="00EB3D61">
              <w:t xml:space="preserve">cale-up </w:t>
            </w:r>
            <w:r>
              <w:t>and redesign</w:t>
            </w:r>
            <w:r w:rsidRPr="00EB3D61">
              <w:t xml:space="preserve"> interventions that have been supported by the Global Fund, such as needle and syringe exchange, opioid substitution therapy, prev</w:t>
            </w:r>
            <w:r>
              <w:t>entive programs for SW and MSM; (2) innovative approaches: support PrEP scale-up.</w:t>
            </w:r>
            <w:r w:rsidR="008D2446">
              <w:t xml:space="preserve"> treatment as prevention, condoms and other interventions will help reduce new HIV infections.  </w:t>
            </w:r>
          </w:p>
          <w:p w14:paraId="3F00D11C" w14:textId="77777777" w:rsidR="000A0A56" w:rsidRDefault="0015208B" w:rsidP="0015208B">
            <w:pPr>
              <w:spacing w:line="240" w:lineRule="auto"/>
              <w:jc w:val="both"/>
              <w:rPr>
                <w:sz w:val="20"/>
                <w:szCs w:val="20"/>
              </w:rPr>
            </w:pPr>
            <w:r w:rsidRPr="000421B6">
              <w:rPr>
                <w:b/>
                <w:sz w:val="20"/>
                <w:szCs w:val="20"/>
              </w:rPr>
              <w:t>New service package</w:t>
            </w:r>
            <w:r>
              <w:rPr>
                <w:b/>
                <w:sz w:val="20"/>
                <w:szCs w:val="20"/>
              </w:rPr>
              <w:t>s</w:t>
            </w:r>
            <w:r w:rsidRPr="000421B6">
              <w:rPr>
                <w:b/>
                <w:sz w:val="20"/>
                <w:szCs w:val="20"/>
              </w:rPr>
              <w:t xml:space="preserve"> for all key populations</w:t>
            </w:r>
            <w:r>
              <w:rPr>
                <w:sz w:val="20"/>
                <w:szCs w:val="20"/>
              </w:rPr>
              <w:t xml:space="preserve">: </w:t>
            </w:r>
            <w:r w:rsidRPr="00EB3D61">
              <w:rPr>
                <w:sz w:val="20"/>
                <w:szCs w:val="20"/>
              </w:rPr>
              <w:t>In NFM1 the KP service packages w</w:t>
            </w:r>
            <w:r>
              <w:rPr>
                <w:sz w:val="20"/>
                <w:szCs w:val="20"/>
              </w:rPr>
              <w:t xml:space="preserve">ere </w:t>
            </w:r>
            <w:r w:rsidRPr="00EB3D61">
              <w:rPr>
                <w:sz w:val="20"/>
                <w:szCs w:val="20"/>
              </w:rPr>
              <w:t>costed at 42-48 EUR/covered person different for PWID, SWs and MSM</w:t>
            </w:r>
            <w:r w:rsidR="00C1409F">
              <w:rPr>
                <w:sz w:val="20"/>
                <w:szCs w:val="20"/>
              </w:rPr>
              <w:t>, de facto NFM1 covered for</w:t>
            </w:r>
            <w:r w:rsidR="00AA4ACC">
              <w:rPr>
                <w:sz w:val="20"/>
                <w:szCs w:val="20"/>
              </w:rPr>
              <w:t xml:space="preserve"> </w:t>
            </w:r>
            <w:r w:rsidR="00C1409F">
              <w:rPr>
                <w:sz w:val="20"/>
                <w:szCs w:val="20"/>
              </w:rPr>
              <w:t>44/PWID, 24/SW and 37/MSM</w:t>
            </w:r>
            <w:r w:rsidRPr="00EB3D61">
              <w:rPr>
                <w:sz w:val="20"/>
                <w:szCs w:val="20"/>
              </w:rPr>
              <w:t>. In NFM 2 the service package reduced to 25</w:t>
            </w:r>
            <w:r w:rsidR="00C1409F">
              <w:rPr>
                <w:sz w:val="20"/>
                <w:szCs w:val="20"/>
              </w:rPr>
              <w:t xml:space="preserve"> EUR</w:t>
            </w:r>
            <w:r w:rsidRPr="00EB3D61">
              <w:rPr>
                <w:sz w:val="20"/>
                <w:szCs w:val="20"/>
              </w:rPr>
              <w:t xml:space="preserve"> </w:t>
            </w:r>
            <w:r w:rsidR="00C1409F">
              <w:rPr>
                <w:sz w:val="20"/>
                <w:szCs w:val="20"/>
              </w:rPr>
              <w:t>(</w:t>
            </w:r>
            <w:r w:rsidR="00C1409F" w:rsidRPr="00EB3D61">
              <w:rPr>
                <w:sz w:val="20"/>
                <w:szCs w:val="20"/>
              </w:rPr>
              <w:t>8 EUR for consumables procured separately</w:t>
            </w:r>
            <w:r w:rsidR="00C1409F">
              <w:rPr>
                <w:sz w:val="20"/>
                <w:szCs w:val="20"/>
              </w:rPr>
              <w:t>)</w:t>
            </w:r>
            <w:r>
              <w:rPr>
                <w:sz w:val="20"/>
                <w:szCs w:val="20"/>
              </w:rPr>
              <w:t>,</w:t>
            </w:r>
            <w:r w:rsidRPr="00EB3D61">
              <w:rPr>
                <w:sz w:val="20"/>
                <w:szCs w:val="20"/>
              </w:rPr>
              <w:t xml:space="preserve"> </w:t>
            </w:r>
            <w:r>
              <w:rPr>
                <w:sz w:val="20"/>
                <w:szCs w:val="20"/>
              </w:rPr>
              <w:t xml:space="preserve">then added to 38 </w:t>
            </w:r>
            <w:r w:rsidRPr="00EB3D61">
              <w:rPr>
                <w:sz w:val="20"/>
                <w:szCs w:val="20"/>
              </w:rPr>
              <w:t>EUR</w:t>
            </w:r>
            <w:r w:rsidR="00C1409F">
              <w:rPr>
                <w:sz w:val="20"/>
                <w:szCs w:val="20"/>
              </w:rPr>
              <w:t xml:space="preserve"> during implementation</w:t>
            </w:r>
            <w:r w:rsidRPr="00EB3D61">
              <w:rPr>
                <w:sz w:val="20"/>
                <w:szCs w:val="20"/>
              </w:rPr>
              <w:t xml:space="preserve">. </w:t>
            </w:r>
            <w:r>
              <w:rPr>
                <w:sz w:val="20"/>
                <w:szCs w:val="20"/>
              </w:rPr>
              <w:t>T</w:t>
            </w:r>
            <w:r w:rsidRPr="00EB3D61">
              <w:rPr>
                <w:sz w:val="20"/>
                <w:szCs w:val="20"/>
              </w:rPr>
              <w:t xml:space="preserve">he recommendations of the 2020 HIV evaluation concluded that </w:t>
            </w:r>
            <w:r>
              <w:rPr>
                <w:sz w:val="20"/>
                <w:szCs w:val="20"/>
              </w:rPr>
              <w:t>25 EUR</w:t>
            </w:r>
            <w:r w:rsidRPr="00EB3D61">
              <w:rPr>
                <w:sz w:val="20"/>
                <w:szCs w:val="20"/>
              </w:rPr>
              <w:t xml:space="preserve"> was inadequate for effective </w:t>
            </w:r>
            <w:r>
              <w:rPr>
                <w:sz w:val="20"/>
                <w:szCs w:val="20"/>
              </w:rPr>
              <w:t xml:space="preserve">prevention and testing and </w:t>
            </w:r>
            <w:r w:rsidRPr="00EB3D61">
              <w:rPr>
                <w:sz w:val="20"/>
                <w:szCs w:val="20"/>
              </w:rPr>
              <w:t>not</w:t>
            </w:r>
            <w:r>
              <w:rPr>
                <w:sz w:val="20"/>
                <w:szCs w:val="20"/>
              </w:rPr>
              <w:t xml:space="preserve"> aligned to</w:t>
            </w:r>
            <w:r w:rsidRPr="00EB3D61">
              <w:rPr>
                <w:sz w:val="20"/>
                <w:szCs w:val="20"/>
              </w:rPr>
              <w:t xml:space="preserve"> global good practice to cost all KP servicers at the same level as the range of services needed by SW and PWID for example are different and are likely to cost different amounts.</w:t>
            </w:r>
            <w:r>
              <w:rPr>
                <w:sz w:val="20"/>
                <w:szCs w:val="20"/>
              </w:rPr>
              <w:t xml:space="preserve"> </w:t>
            </w:r>
          </w:p>
          <w:p w14:paraId="5E0AE6F1" w14:textId="426E3B46" w:rsidR="00C1409F" w:rsidRDefault="000A0A56" w:rsidP="000A0A56">
            <w:pPr>
              <w:spacing w:line="240" w:lineRule="auto"/>
              <w:jc w:val="both"/>
              <w:rPr>
                <w:sz w:val="20"/>
                <w:szCs w:val="20"/>
              </w:rPr>
            </w:pPr>
            <w:r>
              <w:rPr>
                <w:sz w:val="20"/>
                <w:szCs w:val="20"/>
              </w:rPr>
              <w:lastRenderedPageBreak/>
              <w:t>The</w:t>
            </w:r>
            <w:r w:rsidRPr="00EB3D61">
              <w:rPr>
                <w:sz w:val="20"/>
                <w:szCs w:val="20"/>
              </w:rPr>
              <w:t xml:space="preserve"> service package</w:t>
            </w:r>
            <w:r>
              <w:rPr>
                <w:sz w:val="20"/>
                <w:szCs w:val="20"/>
              </w:rPr>
              <w:t>s</w:t>
            </w:r>
            <w:r w:rsidRPr="00EB3D61">
              <w:rPr>
                <w:sz w:val="20"/>
                <w:szCs w:val="20"/>
              </w:rPr>
              <w:t xml:space="preserve"> for KPs ha</w:t>
            </w:r>
            <w:r>
              <w:rPr>
                <w:sz w:val="20"/>
                <w:szCs w:val="20"/>
              </w:rPr>
              <w:t>ve</w:t>
            </w:r>
            <w:r w:rsidRPr="00EB3D61">
              <w:rPr>
                <w:sz w:val="20"/>
                <w:szCs w:val="20"/>
              </w:rPr>
              <w:t xml:space="preserve"> been revised and adjusted based on new standard</w:t>
            </w:r>
            <w:r>
              <w:rPr>
                <w:sz w:val="20"/>
                <w:szCs w:val="20"/>
              </w:rPr>
              <w:t>s</w:t>
            </w:r>
            <w:r w:rsidRPr="00EB3D61">
              <w:rPr>
                <w:sz w:val="20"/>
                <w:szCs w:val="20"/>
              </w:rPr>
              <w:t xml:space="preserve"> approved in March 2020. </w:t>
            </w:r>
            <w:r>
              <w:rPr>
                <w:sz w:val="20"/>
                <w:szCs w:val="20"/>
              </w:rPr>
              <w:t>Standards take</w:t>
            </w:r>
            <w:r w:rsidRPr="000A0A56">
              <w:rPr>
                <w:sz w:val="20"/>
                <w:szCs w:val="20"/>
              </w:rPr>
              <w:t xml:space="preserve"> into account the last international recommendations for all groups at high risk of HIV infection; </w:t>
            </w:r>
            <w:r>
              <w:rPr>
                <w:sz w:val="20"/>
                <w:szCs w:val="20"/>
              </w:rPr>
              <w:t>age-specific</w:t>
            </w:r>
            <w:r w:rsidRPr="000A0A56">
              <w:rPr>
                <w:sz w:val="20"/>
                <w:szCs w:val="20"/>
              </w:rPr>
              <w:t xml:space="preserve"> </w:t>
            </w:r>
            <w:r>
              <w:rPr>
                <w:sz w:val="20"/>
                <w:szCs w:val="20"/>
              </w:rPr>
              <w:t>services for</w:t>
            </w:r>
            <w:r w:rsidRPr="000A0A56">
              <w:rPr>
                <w:sz w:val="20"/>
                <w:szCs w:val="20"/>
              </w:rPr>
              <w:t xml:space="preserve"> young people from these groups; </w:t>
            </w:r>
            <w:r>
              <w:rPr>
                <w:sz w:val="20"/>
                <w:szCs w:val="20"/>
              </w:rPr>
              <w:t xml:space="preserve">people who use </w:t>
            </w:r>
            <w:r w:rsidRPr="000A0A56">
              <w:rPr>
                <w:sz w:val="20"/>
                <w:szCs w:val="20"/>
              </w:rPr>
              <w:t>non-injectable drug</w:t>
            </w:r>
            <w:r>
              <w:rPr>
                <w:sz w:val="20"/>
                <w:szCs w:val="20"/>
              </w:rPr>
              <w:t xml:space="preserve">s (PWUD) are included </w:t>
            </w:r>
            <w:r w:rsidRPr="000A0A56">
              <w:rPr>
                <w:sz w:val="20"/>
                <w:szCs w:val="20"/>
              </w:rPr>
              <w:t>as a separate group, as well, transgender people</w:t>
            </w:r>
            <w:r>
              <w:rPr>
                <w:sz w:val="20"/>
                <w:szCs w:val="20"/>
              </w:rPr>
              <w:t xml:space="preserve">. </w:t>
            </w:r>
            <w:r w:rsidR="0015208B">
              <w:rPr>
                <w:sz w:val="20"/>
                <w:szCs w:val="20"/>
              </w:rPr>
              <w:t>The costing exercise conducted in 2020 separates service packages in basic and extended, with higher cost per person covered compared to previous costing exercises.</w:t>
            </w:r>
            <w:r>
              <w:rPr>
                <w:sz w:val="20"/>
                <w:szCs w:val="20"/>
              </w:rPr>
              <w:t xml:space="preserve"> </w:t>
            </w:r>
            <w:r w:rsidR="0015208B">
              <w:rPr>
                <w:sz w:val="20"/>
                <w:szCs w:val="20"/>
              </w:rPr>
              <w:t>T</w:t>
            </w:r>
            <w:r w:rsidR="0015208B" w:rsidRPr="00EB3D61">
              <w:rPr>
                <w:sz w:val="20"/>
                <w:szCs w:val="20"/>
              </w:rPr>
              <w:t>he basic</w:t>
            </w:r>
            <w:r w:rsidR="0015208B">
              <w:rPr>
                <w:sz w:val="20"/>
                <w:szCs w:val="20"/>
              </w:rPr>
              <w:t xml:space="preserve"> service</w:t>
            </w:r>
            <w:r w:rsidR="0015208B" w:rsidRPr="00EB3D61">
              <w:rPr>
                <w:sz w:val="20"/>
                <w:szCs w:val="20"/>
              </w:rPr>
              <w:t xml:space="preserve"> package has been costed at 52 EUR/per person</w:t>
            </w:r>
            <w:r w:rsidR="0015208B">
              <w:rPr>
                <w:sz w:val="20"/>
                <w:szCs w:val="20"/>
              </w:rPr>
              <w:t xml:space="preserve"> and</w:t>
            </w:r>
            <w:r w:rsidR="0015208B" w:rsidRPr="00EB3D61">
              <w:rPr>
                <w:sz w:val="20"/>
                <w:szCs w:val="20"/>
              </w:rPr>
              <w:t xml:space="preserve"> includes </w:t>
            </w:r>
            <w:r w:rsidR="0015208B">
              <w:rPr>
                <w:sz w:val="20"/>
                <w:szCs w:val="20"/>
              </w:rPr>
              <w:t xml:space="preserve">for the first time </w:t>
            </w:r>
            <w:r w:rsidR="008D2446">
              <w:rPr>
                <w:sz w:val="20"/>
                <w:szCs w:val="20"/>
              </w:rPr>
              <w:t xml:space="preserve">symptom </w:t>
            </w:r>
            <w:r w:rsidR="0015208B" w:rsidRPr="00EB3D61">
              <w:rPr>
                <w:sz w:val="20"/>
                <w:szCs w:val="20"/>
              </w:rPr>
              <w:t>TB screening for all key populations and testing for HIV, Hepatitis B, C and syphilis.</w:t>
            </w:r>
          </w:p>
          <w:p w14:paraId="350E6262" w14:textId="7DEC719A" w:rsidR="0015208B" w:rsidRPr="007E0B37" w:rsidRDefault="0015208B" w:rsidP="0015208B">
            <w:pPr>
              <w:spacing w:line="240" w:lineRule="auto"/>
              <w:jc w:val="both"/>
              <w:rPr>
                <w:b/>
                <w:sz w:val="20"/>
                <w:szCs w:val="20"/>
              </w:rPr>
            </w:pPr>
            <w:r>
              <w:rPr>
                <w:b/>
                <w:sz w:val="20"/>
                <w:szCs w:val="20"/>
              </w:rPr>
              <w:t>Evolution of s</w:t>
            </w:r>
            <w:r w:rsidRPr="007E0B37">
              <w:rPr>
                <w:b/>
                <w:sz w:val="20"/>
                <w:szCs w:val="20"/>
              </w:rPr>
              <w:t>ervice package for key populations</w:t>
            </w:r>
          </w:p>
          <w:tbl>
            <w:tblPr>
              <w:tblStyle w:val="ListTable3-Accent4"/>
              <w:tblW w:w="0" w:type="auto"/>
              <w:tblLook w:val="04A0" w:firstRow="1" w:lastRow="0" w:firstColumn="1" w:lastColumn="0" w:noHBand="0" w:noVBand="1"/>
            </w:tblPr>
            <w:tblGrid>
              <w:gridCol w:w="775"/>
              <w:gridCol w:w="2910"/>
              <w:gridCol w:w="2070"/>
              <w:gridCol w:w="1921"/>
            </w:tblGrid>
            <w:tr w:rsidR="0015208B" w:rsidRPr="00AA4ACC" w14:paraId="22460600" w14:textId="77777777" w:rsidTr="00AB31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75" w:type="dxa"/>
                </w:tcPr>
                <w:p w14:paraId="03E117E8" w14:textId="77777777" w:rsidR="0015208B" w:rsidRPr="00AA4ACC" w:rsidRDefault="0015208B" w:rsidP="0015208B">
                  <w:pPr>
                    <w:spacing w:after="0" w:line="240" w:lineRule="auto"/>
                    <w:jc w:val="both"/>
                    <w:rPr>
                      <w:color w:val="auto"/>
                      <w:sz w:val="18"/>
                      <w:szCs w:val="20"/>
                    </w:rPr>
                  </w:pPr>
                </w:p>
              </w:tc>
              <w:tc>
                <w:tcPr>
                  <w:tcW w:w="2910" w:type="dxa"/>
                </w:tcPr>
                <w:p w14:paraId="6D5ECBA3" w14:textId="77777777" w:rsidR="0015208B" w:rsidRPr="00AA4ACC" w:rsidRDefault="0015208B" w:rsidP="0015208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20"/>
                    </w:rPr>
                  </w:pPr>
                  <w:r w:rsidRPr="00AA4ACC">
                    <w:rPr>
                      <w:sz w:val="18"/>
                      <w:szCs w:val="20"/>
                    </w:rPr>
                    <w:t>2015-2017</w:t>
                  </w:r>
                </w:p>
              </w:tc>
              <w:tc>
                <w:tcPr>
                  <w:tcW w:w="2070" w:type="dxa"/>
                </w:tcPr>
                <w:p w14:paraId="68B71A6F" w14:textId="77777777" w:rsidR="0015208B" w:rsidRPr="00AA4ACC" w:rsidRDefault="0015208B" w:rsidP="0015208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20"/>
                    </w:rPr>
                  </w:pPr>
                  <w:r w:rsidRPr="00AA4ACC">
                    <w:rPr>
                      <w:sz w:val="18"/>
                      <w:szCs w:val="20"/>
                    </w:rPr>
                    <w:t>2018-2020</w:t>
                  </w:r>
                </w:p>
              </w:tc>
              <w:tc>
                <w:tcPr>
                  <w:tcW w:w="1921" w:type="dxa"/>
                </w:tcPr>
                <w:p w14:paraId="537DF5A8" w14:textId="77777777" w:rsidR="0015208B" w:rsidRPr="00AA4ACC" w:rsidRDefault="0015208B" w:rsidP="0015208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8"/>
                      <w:szCs w:val="20"/>
                    </w:rPr>
                  </w:pPr>
                  <w:r w:rsidRPr="00AA4ACC">
                    <w:rPr>
                      <w:sz w:val="18"/>
                      <w:szCs w:val="20"/>
                    </w:rPr>
                    <w:t>2021-2023</w:t>
                  </w:r>
                </w:p>
              </w:tc>
            </w:tr>
            <w:tr w:rsidR="0015208B" w:rsidRPr="00AA4ACC" w14:paraId="54ED56C5" w14:textId="77777777" w:rsidTr="00AB3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Pr>
                <w:p w14:paraId="7360EAEA" w14:textId="77777777" w:rsidR="0015208B" w:rsidRPr="00AA4ACC" w:rsidRDefault="0015208B" w:rsidP="0015208B">
                  <w:pPr>
                    <w:spacing w:after="0" w:line="240" w:lineRule="auto"/>
                    <w:jc w:val="both"/>
                    <w:rPr>
                      <w:sz w:val="18"/>
                      <w:szCs w:val="20"/>
                    </w:rPr>
                  </w:pPr>
                  <w:r w:rsidRPr="00AA4ACC">
                    <w:rPr>
                      <w:sz w:val="18"/>
                      <w:szCs w:val="20"/>
                    </w:rPr>
                    <w:t>MSM</w:t>
                  </w:r>
                </w:p>
              </w:tc>
              <w:tc>
                <w:tcPr>
                  <w:tcW w:w="2910" w:type="dxa"/>
                </w:tcPr>
                <w:p w14:paraId="682106B2" w14:textId="77777777" w:rsidR="0015208B" w:rsidRPr="00AA4ACC"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sz w:val="18"/>
                      <w:szCs w:val="20"/>
                    </w:rPr>
                  </w:pPr>
                  <w:r w:rsidRPr="00AA4ACC">
                    <w:rPr>
                      <w:sz w:val="18"/>
                      <w:szCs w:val="20"/>
                    </w:rPr>
                    <w:t>Condom and lubricant; IEC, HTS (+client navigation), social support, medical consultations, legal aid, psychosocial support</w:t>
                  </w:r>
                </w:p>
                <w:p w14:paraId="560AC5E3" w14:textId="77777777" w:rsidR="0015208B" w:rsidRPr="00AA4ACC"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sz w:val="18"/>
                      <w:szCs w:val="20"/>
                    </w:rPr>
                  </w:pPr>
                  <w:r w:rsidRPr="00AA4ACC">
                    <w:rPr>
                      <w:sz w:val="18"/>
                      <w:szCs w:val="20"/>
                    </w:rPr>
                    <w:t>(costed 48 EUR, de facto 37 EUR)</w:t>
                  </w:r>
                </w:p>
              </w:tc>
              <w:tc>
                <w:tcPr>
                  <w:tcW w:w="2070" w:type="dxa"/>
                </w:tcPr>
                <w:p w14:paraId="76566C87" w14:textId="77777777" w:rsidR="0015208B" w:rsidRPr="00AA4ACC" w:rsidRDefault="0015208B" w:rsidP="0015208B">
                  <w:pPr>
                    <w:spacing w:after="0" w:line="240" w:lineRule="auto"/>
                    <w:jc w:val="both"/>
                    <w:cnfStyle w:val="000000100000" w:firstRow="0" w:lastRow="0" w:firstColumn="0" w:lastColumn="0" w:oddVBand="0" w:evenVBand="0" w:oddHBand="1" w:evenHBand="0" w:firstRowFirstColumn="0" w:firstRowLastColumn="0" w:lastRowFirstColumn="0" w:lastRowLastColumn="0"/>
                    <w:rPr>
                      <w:sz w:val="18"/>
                      <w:szCs w:val="20"/>
                    </w:rPr>
                  </w:pPr>
                  <w:r w:rsidRPr="00AA4ACC">
                    <w:rPr>
                      <w:sz w:val="18"/>
                      <w:szCs w:val="20"/>
                    </w:rPr>
                    <w:t>Condom and lubricant; IEC, HTS</w:t>
                  </w:r>
                </w:p>
                <w:p w14:paraId="6C8E79CA" w14:textId="77777777" w:rsidR="0015208B" w:rsidRPr="00AA4ACC" w:rsidRDefault="0015208B" w:rsidP="0015208B">
                  <w:pPr>
                    <w:spacing w:after="0" w:line="240" w:lineRule="auto"/>
                    <w:jc w:val="both"/>
                    <w:cnfStyle w:val="000000100000" w:firstRow="0" w:lastRow="0" w:firstColumn="0" w:lastColumn="0" w:oddVBand="0" w:evenVBand="0" w:oddHBand="1" w:evenHBand="0" w:firstRowFirstColumn="0" w:firstRowLastColumn="0" w:lastRowFirstColumn="0" w:lastRowLastColumn="0"/>
                    <w:rPr>
                      <w:sz w:val="18"/>
                      <w:szCs w:val="20"/>
                    </w:rPr>
                  </w:pPr>
                  <w:r w:rsidRPr="00AA4ACC">
                    <w:rPr>
                      <w:sz w:val="18"/>
                      <w:szCs w:val="20"/>
                    </w:rPr>
                    <w:t>(38 EUR)</w:t>
                  </w:r>
                </w:p>
              </w:tc>
              <w:tc>
                <w:tcPr>
                  <w:tcW w:w="1921" w:type="dxa"/>
                </w:tcPr>
                <w:p w14:paraId="30E3393D" w14:textId="77777777" w:rsidR="0015208B" w:rsidRPr="00AA4ACC" w:rsidRDefault="0015208B" w:rsidP="0015208B">
                  <w:pPr>
                    <w:spacing w:after="0" w:line="240" w:lineRule="auto"/>
                    <w:jc w:val="both"/>
                    <w:cnfStyle w:val="000000100000" w:firstRow="0" w:lastRow="0" w:firstColumn="0" w:lastColumn="0" w:oddVBand="0" w:evenVBand="0" w:oddHBand="1" w:evenHBand="0" w:firstRowFirstColumn="0" w:firstRowLastColumn="0" w:lastRowFirstColumn="0" w:lastRowLastColumn="0"/>
                    <w:rPr>
                      <w:sz w:val="18"/>
                      <w:szCs w:val="20"/>
                    </w:rPr>
                  </w:pPr>
                  <w:r w:rsidRPr="00AA4ACC">
                    <w:rPr>
                      <w:sz w:val="18"/>
                      <w:szCs w:val="20"/>
                    </w:rPr>
                    <w:t>Condom and lubricant; IEC, Testing HIV, Syphilis, Hep B and C, TB screening</w:t>
                  </w:r>
                </w:p>
                <w:p w14:paraId="1817A092" w14:textId="77777777" w:rsidR="0015208B" w:rsidRPr="00AA4ACC" w:rsidRDefault="0015208B" w:rsidP="0015208B">
                  <w:pPr>
                    <w:spacing w:after="0" w:line="240" w:lineRule="auto"/>
                    <w:jc w:val="both"/>
                    <w:cnfStyle w:val="000000100000" w:firstRow="0" w:lastRow="0" w:firstColumn="0" w:lastColumn="0" w:oddVBand="0" w:evenVBand="0" w:oddHBand="1" w:evenHBand="0" w:firstRowFirstColumn="0" w:firstRowLastColumn="0" w:lastRowFirstColumn="0" w:lastRowLastColumn="0"/>
                    <w:rPr>
                      <w:sz w:val="18"/>
                      <w:szCs w:val="20"/>
                    </w:rPr>
                  </w:pPr>
                  <w:r w:rsidRPr="00AA4ACC">
                    <w:rPr>
                      <w:sz w:val="18"/>
                      <w:szCs w:val="20"/>
                    </w:rPr>
                    <w:t>(53 EUR)</w:t>
                  </w:r>
                </w:p>
                <w:p w14:paraId="5D77B87C" w14:textId="77777777" w:rsidR="0015208B" w:rsidRPr="00AA4ACC" w:rsidRDefault="0015208B" w:rsidP="0015208B">
                  <w:pPr>
                    <w:spacing w:after="0" w:line="240" w:lineRule="auto"/>
                    <w:jc w:val="both"/>
                    <w:cnfStyle w:val="000000100000" w:firstRow="0" w:lastRow="0" w:firstColumn="0" w:lastColumn="0" w:oddVBand="0" w:evenVBand="0" w:oddHBand="1" w:evenHBand="0" w:firstRowFirstColumn="0" w:firstRowLastColumn="0" w:lastRowFirstColumn="0" w:lastRowLastColumn="0"/>
                    <w:rPr>
                      <w:sz w:val="18"/>
                      <w:szCs w:val="20"/>
                    </w:rPr>
                  </w:pPr>
                </w:p>
              </w:tc>
            </w:tr>
            <w:tr w:rsidR="0015208B" w:rsidRPr="00AA4ACC" w14:paraId="16DE8429" w14:textId="77777777" w:rsidTr="00AB3105">
              <w:tc>
                <w:tcPr>
                  <w:cnfStyle w:val="001000000000" w:firstRow="0" w:lastRow="0" w:firstColumn="1" w:lastColumn="0" w:oddVBand="0" w:evenVBand="0" w:oddHBand="0" w:evenHBand="0" w:firstRowFirstColumn="0" w:firstRowLastColumn="0" w:lastRowFirstColumn="0" w:lastRowLastColumn="0"/>
                  <w:tcW w:w="775" w:type="dxa"/>
                </w:tcPr>
                <w:p w14:paraId="3026A8B9" w14:textId="77777777" w:rsidR="0015208B" w:rsidRPr="00AA4ACC" w:rsidRDefault="0015208B" w:rsidP="0015208B">
                  <w:pPr>
                    <w:spacing w:after="0" w:line="240" w:lineRule="auto"/>
                    <w:jc w:val="both"/>
                    <w:rPr>
                      <w:sz w:val="18"/>
                      <w:szCs w:val="20"/>
                    </w:rPr>
                  </w:pPr>
                  <w:r w:rsidRPr="00AA4ACC">
                    <w:rPr>
                      <w:sz w:val="18"/>
                      <w:szCs w:val="20"/>
                    </w:rPr>
                    <w:t>SW</w:t>
                  </w:r>
                </w:p>
              </w:tc>
              <w:tc>
                <w:tcPr>
                  <w:tcW w:w="2910" w:type="dxa"/>
                </w:tcPr>
                <w:p w14:paraId="56237CED" w14:textId="77777777" w:rsidR="0015208B" w:rsidRPr="00AA4ACC"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AA4ACC">
                    <w:rPr>
                      <w:sz w:val="18"/>
                      <w:szCs w:val="20"/>
                    </w:rPr>
                    <w:t>Condom (female, male, condom marketing) and lubricant; C, HTS (+client navigation), feminine hygiene package, pregnancy tests, gender-sensitive services, including GBV, social support, medical consultations, legal aid, psychosocial support</w:t>
                  </w:r>
                </w:p>
                <w:p w14:paraId="2A7C6106" w14:textId="77777777" w:rsidR="0015208B" w:rsidRPr="00AA4ACC"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AA4ACC">
                    <w:rPr>
                      <w:sz w:val="18"/>
                      <w:szCs w:val="20"/>
                    </w:rPr>
                    <w:t>(costed 48 EUR, de facto 24 EUR)</w:t>
                  </w:r>
                </w:p>
              </w:tc>
              <w:tc>
                <w:tcPr>
                  <w:tcW w:w="2070" w:type="dxa"/>
                </w:tcPr>
                <w:p w14:paraId="00A2DD41" w14:textId="77777777" w:rsidR="0015208B" w:rsidRPr="00AA4ACC"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AA4ACC">
                    <w:rPr>
                      <w:sz w:val="18"/>
                      <w:szCs w:val="20"/>
                    </w:rPr>
                    <w:t xml:space="preserve">Condom (female, male, condom marketing) and lubricant; IEC, HTS (+client navigation), feminine hygiene package, pregnancy tests. </w:t>
                  </w:r>
                </w:p>
                <w:p w14:paraId="030EB154" w14:textId="77777777" w:rsidR="0015208B" w:rsidRPr="00AA4ACC"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AA4ACC">
                    <w:rPr>
                      <w:sz w:val="18"/>
                      <w:szCs w:val="20"/>
                    </w:rPr>
                    <w:t>(38 EUR)</w:t>
                  </w:r>
                </w:p>
              </w:tc>
              <w:tc>
                <w:tcPr>
                  <w:tcW w:w="1921" w:type="dxa"/>
                </w:tcPr>
                <w:p w14:paraId="65B58528" w14:textId="77777777" w:rsidR="0015208B" w:rsidRPr="00AA4ACC" w:rsidRDefault="0015208B" w:rsidP="0015208B">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20"/>
                    </w:rPr>
                  </w:pPr>
                  <w:r w:rsidRPr="00AA4ACC">
                    <w:rPr>
                      <w:sz w:val="18"/>
                      <w:szCs w:val="20"/>
                    </w:rPr>
                    <w:t>Condom and lubricant; IEC, Testing HIV, Syphilis, Hep B and C, TB screening</w:t>
                  </w:r>
                </w:p>
                <w:p w14:paraId="7FC24A38" w14:textId="77777777" w:rsidR="0015208B" w:rsidRPr="00AA4ACC" w:rsidRDefault="0015208B" w:rsidP="0015208B">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20"/>
                    </w:rPr>
                  </w:pPr>
                  <w:r w:rsidRPr="00AA4ACC">
                    <w:rPr>
                      <w:sz w:val="18"/>
                      <w:szCs w:val="20"/>
                    </w:rPr>
                    <w:t>(55 EUR)</w:t>
                  </w:r>
                </w:p>
                <w:p w14:paraId="5BA65382" w14:textId="77777777" w:rsidR="0015208B" w:rsidRPr="00AA4ACC" w:rsidRDefault="0015208B" w:rsidP="0015208B">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szCs w:val="20"/>
                    </w:rPr>
                  </w:pPr>
                </w:p>
              </w:tc>
            </w:tr>
            <w:tr w:rsidR="0015208B" w:rsidRPr="00AA4ACC" w14:paraId="30ECB888" w14:textId="77777777" w:rsidTr="00AB3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Pr>
                <w:p w14:paraId="7180DBE1" w14:textId="77777777" w:rsidR="0015208B" w:rsidRPr="00AA4ACC" w:rsidRDefault="0015208B" w:rsidP="0015208B">
                  <w:pPr>
                    <w:spacing w:after="0" w:line="240" w:lineRule="auto"/>
                    <w:jc w:val="both"/>
                    <w:rPr>
                      <w:sz w:val="18"/>
                      <w:szCs w:val="20"/>
                    </w:rPr>
                  </w:pPr>
                  <w:r w:rsidRPr="00AA4ACC">
                    <w:rPr>
                      <w:sz w:val="18"/>
                      <w:szCs w:val="20"/>
                    </w:rPr>
                    <w:t>PWID</w:t>
                  </w:r>
                </w:p>
              </w:tc>
              <w:tc>
                <w:tcPr>
                  <w:tcW w:w="2910" w:type="dxa"/>
                </w:tcPr>
                <w:p w14:paraId="77802F69" w14:textId="77777777" w:rsidR="0015208B" w:rsidRPr="00AA4ACC"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sz w:val="18"/>
                      <w:szCs w:val="20"/>
                    </w:rPr>
                  </w:pPr>
                  <w:r w:rsidRPr="00AA4ACC">
                    <w:rPr>
                      <w:sz w:val="18"/>
                      <w:szCs w:val="20"/>
                    </w:rPr>
                    <w:t>Syringes, disinfectants,</w:t>
                  </w:r>
                </w:p>
                <w:p w14:paraId="0BA7C5E9" w14:textId="77777777" w:rsidR="0015208B" w:rsidRPr="00AA4ACC"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sz w:val="18"/>
                      <w:szCs w:val="20"/>
                    </w:rPr>
                  </w:pPr>
                  <w:r w:rsidRPr="00AA4ACC">
                    <w:rPr>
                      <w:sz w:val="18"/>
                      <w:szCs w:val="20"/>
                    </w:rPr>
                    <w:t>Naloxone, Condom; IEC, HTS (+client navigation), social support, peer support, medical consultations, legal aid, psychosocial support</w:t>
                  </w:r>
                </w:p>
                <w:p w14:paraId="3E602B60" w14:textId="77777777" w:rsidR="0015208B" w:rsidRPr="00AA4ACC"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sz w:val="18"/>
                      <w:szCs w:val="20"/>
                    </w:rPr>
                  </w:pPr>
                  <w:r w:rsidRPr="00AA4ACC">
                    <w:rPr>
                      <w:sz w:val="18"/>
                      <w:szCs w:val="20"/>
                    </w:rPr>
                    <w:t>(costed 48 EUR, de facto 44 EUR)</w:t>
                  </w:r>
                </w:p>
              </w:tc>
              <w:tc>
                <w:tcPr>
                  <w:tcW w:w="2070" w:type="dxa"/>
                </w:tcPr>
                <w:p w14:paraId="0A6CD067" w14:textId="77777777" w:rsidR="0015208B" w:rsidRPr="00AA4ACC"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sz w:val="18"/>
                      <w:szCs w:val="20"/>
                    </w:rPr>
                  </w:pPr>
                  <w:r w:rsidRPr="00AA4ACC">
                    <w:rPr>
                      <w:sz w:val="18"/>
                      <w:szCs w:val="20"/>
                    </w:rPr>
                    <w:t>Syringes, disinfectants,</w:t>
                  </w:r>
                </w:p>
                <w:p w14:paraId="0B83C0AF" w14:textId="77777777" w:rsidR="0015208B" w:rsidRPr="00AA4ACC"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sz w:val="18"/>
                      <w:szCs w:val="20"/>
                    </w:rPr>
                  </w:pPr>
                  <w:r w:rsidRPr="00AA4ACC">
                    <w:rPr>
                      <w:sz w:val="18"/>
                      <w:szCs w:val="20"/>
                    </w:rPr>
                    <w:t>Condom; IEC, HTS (+client navigation), social support, peer support, medical consultations, legal aid, psychosocial support</w:t>
                  </w:r>
                </w:p>
                <w:p w14:paraId="5883B511" w14:textId="77777777" w:rsidR="0015208B" w:rsidRPr="00AA4ACC"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sz w:val="18"/>
                      <w:szCs w:val="20"/>
                    </w:rPr>
                  </w:pPr>
                  <w:r w:rsidRPr="00AA4ACC">
                    <w:rPr>
                      <w:sz w:val="18"/>
                      <w:szCs w:val="20"/>
                    </w:rPr>
                    <w:t xml:space="preserve"> (38 EUR)</w:t>
                  </w:r>
                </w:p>
              </w:tc>
              <w:tc>
                <w:tcPr>
                  <w:tcW w:w="1921" w:type="dxa"/>
                </w:tcPr>
                <w:p w14:paraId="4FC62F8E" w14:textId="77777777" w:rsidR="0015208B" w:rsidRPr="00AA4ACC"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sz w:val="18"/>
                      <w:szCs w:val="20"/>
                    </w:rPr>
                  </w:pPr>
                  <w:r w:rsidRPr="00AA4ACC">
                    <w:rPr>
                      <w:sz w:val="18"/>
                      <w:szCs w:val="20"/>
                    </w:rPr>
                    <w:t>Syringes, disinfectants,</w:t>
                  </w:r>
                </w:p>
                <w:p w14:paraId="011B4763" w14:textId="77777777" w:rsidR="0015208B" w:rsidRPr="00AA4ACC" w:rsidRDefault="0015208B" w:rsidP="0015208B">
                  <w:pPr>
                    <w:spacing w:after="0" w:line="240" w:lineRule="auto"/>
                    <w:jc w:val="both"/>
                    <w:cnfStyle w:val="000000100000" w:firstRow="0" w:lastRow="0" w:firstColumn="0" w:lastColumn="0" w:oddVBand="0" w:evenVBand="0" w:oddHBand="1" w:evenHBand="0" w:firstRowFirstColumn="0" w:firstRowLastColumn="0" w:lastRowFirstColumn="0" w:lastRowLastColumn="0"/>
                    <w:rPr>
                      <w:sz w:val="18"/>
                      <w:szCs w:val="20"/>
                    </w:rPr>
                  </w:pPr>
                  <w:r w:rsidRPr="00AA4ACC">
                    <w:rPr>
                      <w:sz w:val="18"/>
                      <w:szCs w:val="20"/>
                    </w:rPr>
                    <w:t>Condom; IEC, Testing HIV, Testing HIV, Syphilis, Hep B and C, TB screening</w:t>
                  </w:r>
                </w:p>
                <w:p w14:paraId="0E8E4A8E" w14:textId="77777777" w:rsidR="0015208B" w:rsidRPr="00AA4ACC" w:rsidRDefault="0015208B" w:rsidP="0015208B">
                  <w:pPr>
                    <w:spacing w:after="0" w:line="240" w:lineRule="auto"/>
                    <w:jc w:val="both"/>
                    <w:cnfStyle w:val="000000100000" w:firstRow="0" w:lastRow="0" w:firstColumn="0" w:lastColumn="0" w:oddVBand="0" w:evenVBand="0" w:oddHBand="1" w:evenHBand="0" w:firstRowFirstColumn="0" w:firstRowLastColumn="0" w:lastRowFirstColumn="0" w:lastRowLastColumn="0"/>
                    <w:rPr>
                      <w:sz w:val="18"/>
                      <w:szCs w:val="20"/>
                    </w:rPr>
                  </w:pPr>
                  <w:r w:rsidRPr="00AA4ACC">
                    <w:rPr>
                      <w:sz w:val="18"/>
                      <w:szCs w:val="20"/>
                    </w:rPr>
                    <w:t>(52 EUR)</w:t>
                  </w:r>
                </w:p>
                <w:p w14:paraId="03CED5CC" w14:textId="77777777" w:rsidR="0015208B" w:rsidRPr="00AA4ACC" w:rsidRDefault="0015208B" w:rsidP="0015208B">
                  <w:pPr>
                    <w:spacing w:after="0" w:line="240" w:lineRule="auto"/>
                    <w:jc w:val="both"/>
                    <w:cnfStyle w:val="000000100000" w:firstRow="0" w:lastRow="0" w:firstColumn="0" w:lastColumn="0" w:oddVBand="0" w:evenVBand="0" w:oddHBand="1" w:evenHBand="0" w:firstRowFirstColumn="0" w:firstRowLastColumn="0" w:lastRowFirstColumn="0" w:lastRowLastColumn="0"/>
                    <w:rPr>
                      <w:sz w:val="18"/>
                      <w:szCs w:val="20"/>
                    </w:rPr>
                  </w:pPr>
                </w:p>
              </w:tc>
            </w:tr>
          </w:tbl>
          <w:p w14:paraId="596A2776" w14:textId="08D5629B" w:rsidR="0015208B" w:rsidRDefault="0015208B" w:rsidP="0015208B">
            <w:pPr>
              <w:spacing w:after="0" w:line="240" w:lineRule="auto"/>
              <w:jc w:val="both"/>
              <w:rPr>
                <w:sz w:val="20"/>
                <w:szCs w:val="20"/>
              </w:rPr>
            </w:pPr>
            <w:r>
              <w:rPr>
                <w:sz w:val="20"/>
                <w:szCs w:val="20"/>
              </w:rPr>
              <w:t xml:space="preserve">The extended service packages </w:t>
            </w:r>
            <w:r w:rsidR="00C1409F">
              <w:rPr>
                <w:sz w:val="20"/>
                <w:szCs w:val="20"/>
              </w:rPr>
              <w:t xml:space="preserve">include add-on tailored to KP needs, </w:t>
            </w:r>
            <w:r>
              <w:rPr>
                <w:sz w:val="20"/>
                <w:szCs w:val="20"/>
              </w:rPr>
              <w:t xml:space="preserve">gender-sensitive services to ensure linkage to care, client navigation, case-management. </w:t>
            </w:r>
          </w:p>
          <w:p w14:paraId="5878B517" w14:textId="77777777" w:rsidR="0015208B" w:rsidRPr="00EC0027" w:rsidRDefault="0015208B" w:rsidP="0015208B">
            <w:pPr>
              <w:spacing w:after="0" w:line="240" w:lineRule="auto"/>
              <w:jc w:val="both"/>
              <w:rPr>
                <w:sz w:val="20"/>
                <w:szCs w:val="20"/>
              </w:rPr>
            </w:pPr>
          </w:p>
          <w:p w14:paraId="29C825FF" w14:textId="67A1ACBD" w:rsidR="0015208B" w:rsidRDefault="008D2446" w:rsidP="0015208B">
            <w:pPr>
              <w:spacing w:line="240" w:lineRule="auto"/>
              <w:jc w:val="both"/>
              <w:rPr>
                <w:sz w:val="20"/>
                <w:szCs w:val="20"/>
              </w:rPr>
            </w:pPr>
            <w:r>
              <w:rPr>
                <w:b/>
                <w:sz w:val="20"/>
                <w:szCs w:val="20"/>
              </w:rPr>
              <w:t>Services in extended packages</w:t>
            </w:r>
            <w:r w:rsidR="0015208B" w:rsidRPr="007E0B37">
              <w:rPr>
                <w:b/>
                <w:sz w:val="20"/>
                <w:szCs w:val="20"/>
              </w:rPr>
              <w:t xml:space="preserve"> for key populations</w:t>
            </w:r>
          </w:p>
          <w:tbl>
            <w:tblPr>
              <w:tblStyle w:val="ListTable3-Accent4"/>
              <w:tblW w:w="7705" w:type="dxa"/>
              <w:tblLook w:val="04A0" w:firstRow="1" w:lastRow="0" w:firstColumn="1" w:lastColumn="0" w:noHBand="0" w:noVBand="1"/>
            </w:tblPr>
            <w:tblGrid>
              <w:gridCol w:w="775"/>
              <w:gridCol w:w="5160"/>
              <w:gridCol w:w="1770"/>
            </w:tblGrid>
            <w:tr w:rsidR="0015208B" w:rsidRPr="00EB3D61" w14:paraId="3B2CA9A8" w14:textId="77777777" w:rsidTr="008D24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75" w:type="dxa"/>
                </w:tcPr>
                <w:p w14:paraId="7E667E07" w14:textId="77777777" w:rsidR="0015208B" w:rsidRPr="00EB3D61" w:rsidRDefault="0015208B" w:rsidP="0015208B">
                  <w:pPr>
                    <w:spacing w:after="0" w:line="240" w:lineRule="auto"/>
                    <w:jc w:val="both"/>
                    <w:rPr>
                      <w:color w:val="auto"/>
                      <w:sz w:val="20"/>
                      <w:szCs w:val="20"/>
                    </w:rPr>
                  </w:pPr>
                </w:p>
              </w:tc>
              <w:tc>
                <w:tcPr>
                  <w:tcW w:w="5160" w:type="dxa"/>
                </w:tcPr>
                <w:p w14:paraId="3CFDBCF1" w14:textId="77777777" w:rsidR="0015208B" w:rsidRPr="00EB3D61" w:rsidRDefault="0015208B" w:rsidP="0015208B">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Pr>
                      <w:sz w:val="20"/>
                      <w:szCs w:val="20"/>
                    </w:rPr>
                    <w:t>Services</w:t>
                  </w:r>
                </w:p>
              </w:tc>
              <w:tc>
                <w:tcPr>
                  <w:tcW w:w="1770" w:type="dxa"/>
                </w:tcPr>
                <w:p w14:paraId="6D4640B1" w14:textId="77777777" w:rsidR="0015208B" w:rsidRPr="00EB3D61" w:rsidRDefault="0015208B" w:rsidP="0015208B">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Pr>
                      <w:sz w:val="20"/>
                      <w:szCs w:val="20"/>
                    </w:rPr>
                    <w:t>Cost</w:t>
                  </w:r>
                </w:p>
              </w:tc>
            </w:tr>
            <w:tr w:rsidR="0015208B" w:rsidRPr="00EB3D61" w14:paraId="02F4B5E8" w14:textId="77777777" w:rsidTr="008D2446">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775" w:type="dxa"/>
                </w:tcPr>
                <w:p w14:paraId="3B75667A" w14:textId="77777777" w:rsidR="0015208B" w:rsidRPr="00EB3D61" w:rsidRDefault="0015208B" w:rsidP="0015208B">
                  <w:pPr>
                    <w:spacing w:after="0" w:line="240" w:lineRule="auto"/>
                    <w:jc w:val="both"/>
                    <w:rPr>
                      <w:sz w:val="20"/>
                      <w:szCs w:val="20"/>
                    </w:rPr>
                  </w:pPr>
                  <w:r w:rsidRPr="00EB3D61">
                    <w:rPr>
                      <w:sz w:val="20"/>
                      <w:szCs w:val="20"/>
                    </w:rPr>
                    <w:t>MSM</w:t>
                  </w:r>
                </w:p>
              </w:tc>
              <w:tc>
                <w:tcPr>
                  <w:tcW w:w="5160" w:type="dxa"/>
                </w:tcPr>
                <w:p w14:paraId="21E924FF" w14:textId="77777777" w:rsidR="0015208B" w:rsidRPr="00EC0027" w:rsidRDefault="0015208B" w:rsidP="00F42E40">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C0027">
                    <w:rPr>
                      <w:sz w:val="20"/>
                      <w:szCs w:val="20"/>
                    </w:rPr>
                    <w:t>Health products, disinfectants, IEC</w:t>
                  </w:r>
                </w:p>
                <w:p w14:paraId="083D19D7" w14:textId="77777777" w:rsidR="0015208B" w:rsidRPr="00EC0027" w:rsidRDefault="0015208B" w:rsidP="00F42E40">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C0027">
                    <w:rPr>
                      <w:sz w:val="20"/>
                      <w:szCs w:val="20"/>
                    </w:rPr>
                    <w:t xml:space="preserve">Male sexual health services, including GBV and trafficking prevention </w:t>
                  </w:r>
                </w:p>
                <w:p w14:paraId="2B15005C" w14:textId="77777777" w:rsidR="0015208B" w:rsidRPr="00EC0027" w:rsidRDefault="0015208B" w:rsidP="00F42E40">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C0027">
                    <w:rPr>
                      <w:sz w:val="20"/>
                      <w:szCs w:val="20"/>
                    </w:rPr>
                    <w:t>Client navigation, psychosocial support, peer support, medical consultations, legal aid</w:t>
                  </w:r>
                </w:p>
                <w:p w14:paraId="5FBB8630" w14:textId="77777777" w:rsidR="0015208B" w:rsidRPr="00EC0027" w:rsidRDefault="0015208B" w:rsidP="00F42E40">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C0027">
                    <w:rPr>
                      <w:sz w:val="20"/>
                      <w:szCs w:val="20"/>
                    </w:rPr>
                    <w:t>Motivational services: STI testing</w:t>
                  </w:r>
                </w:p>
              </w:tc>
              <w:tc>
                <w:tcPr>
                  <w:tcW w:w="1770" w:type="dxa"/>
                </w:tcPr>
                <w:p w14:paraId="3817C531" w14:textId="77777777" w:rsidR="0015208B" w:rsidRPr="00EB3D61" w:rsidRDefault="0015208B" w:rsidP="0015208B">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 EUR</w:t>
                  </w:r>
                </w:p>
              </w:tc>
            </w:tr>
            <w:tr w:rsidR="0015208B" w:rsidRPr="00EB3D61" w14:paraId="5B4701A9" w14:textId="77777777" w:rsidTr="008D2446">
              <w:tc>
                <w:tcPr>
                  <w:cnfStyle w:val="001000000000" w:firstRow="0" w:lastRow="0" w:firstColumn="1" w:lastColumn="0" w:oddVBand="0" w:evenVBand="0" w:oddHBand="0" w:evenHBand="0" w:firstRowFirstColumn="0" w:firstRowLastColumn="0" w:lastRowFirstColumn="0" w:lastRowLastColumn="0"/>
                  <w:tcW w:w="775" w:type="dxa"/>
                </w:tcPr>
                <w:p w14:paraId="00F3353D" w14:textId="77777777" w:rsidR="0015208B" w:rsidRPr="00EB3D61" w:rsidRDefault="0015208B" w:rsidP="0015208B">
                  <w:pPr>
                    <w:spacing w:after="0" w:line="240" w:lineRule="auto"/>
                    <w:jc w:val="both"/>
                    <w:rPr>
                      <w:sz w:val="20"/>
                      <w:szCs w:val="20"/>
                    </w:rPr>
                  </w:pPr>
                  <w:r w:rsidRPr="00EB3D61">
                    <w:rPr>
                      <w:sz w:val="20"/>
                      <w:szCs w:val="20"/>
                    </w:rPr>
                    <w:t>SW</w:t>
                  </w:r>
                </w:p>
              </w:tc>
              <w:tc>
                <w:tcPr>
                  <w:tcW w:w="5160" w:type="dxa"/>
                </w:tcPr>
                <w:p w14:paraId="0D4E223C" w14:textId="77777777" w:rsidR="0015208B" w:rsidRPr="00EC0027" w:rsidRDefault="0015208B" w:rsidP="00F42E40">
                  <w:pPr>
                    <w:pStyle w:val="ListParagraph"/>
                    <w:numPr>
                      <w:ilvl w:val="0"/>
                      <w:numId w:val="28"/>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C0027">
                    <w:rPr>
                      <w:sz w:val="20"/>
                      <w:szCs w:val="20"/>
                    </w:rPr>
                    <w:t xml:space="preserve">Female health products, disinfectants, </w:t>
                  </w:r>
                </w:p>
                <w:p w14:paraId="0983FD55" w14:textId="77777777" w:rsidR="0015208B" w:rsidRPr="00EC0027" w:rsidRDefault="0015208B" w:rsidP="00F42E40">
                  <w:pPr>
                    <w:pStyle w:val="ListParagraph"/>
                    <w:numPr>
                      <w:ilvl w:val="0"/>
                      <w:numId w:val="28"/>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C0027">
                    <w:rPr>
                      <w:sz w:val="20"/>
                      <w:szCs w:val="20"/>
                    </w:rPr>
                    <w:t xml:space="preserve">Gender-sensitive services, sexual and reproductive health services, including GBV and trafficking prevention </w:t>
                  </w:r>
                </w:p>
                <w:p w14:paraId="279A6CAB" w14:textId="77777777" w:rsidR="0015208B" w:rsidRPr="00EC0027" w:rsidRDefault="0015208B" w:rsidP="00F42E40">
                  <w:pPr>
                    <w:pStyle w:val="ListParagraph"/>
                    <w:numPr>
                      <w:ilvl w:val="0"/>
                      <w:numId w:val="28"/>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C0027">
                    <w:rPr>
                      <w:sz w:val="20"/>
                      <w:szCs w:val="20"/>
                    </w:rPr>
                    <w:t xml:space="preserve">Motivational services </w:t>
                  </w:r>
                </w:p>
              </w:tc>
              <w:tc>
                <w:tcPr>
                  <w:tcW w:w="1770" w:type="dxa"/>
                </w:tcPr>
                <w:p w14:paraId="6A47B065" w14:textId="77777777" w:rsidR="0015208B" w:rsidRPr="00EB3D61" w:rsidRDefault="0015208B" w:rsidP="0015208B">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 EUR</w:t>
                  </w:r>
                </w:p>
              </w:tc>
            </w:tr>
            <w:tr w:rsidR="0015208B" w:rsidRPr="00EB3D61" w14:paraId="69E3132C" w14:textId="77777777" w:rsidTr="008D2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dxa"/>
                </w:tcPr>
                <w:p w14:paraId="4E178A9C" w14:textId="77777777" w:rsidR="0015208B" w:rsidRPr="00EB3D61" w:rsidRDefault="0015208B" w:rsidP="0015208B">
                  <w:pPr>
                    <w:spacing w:after="0" w:line="240" w:lineRule="auto"/>
                    <w:jc w:val="both"/>
                    <w:rPr>
                      <w:sz w:val="20"/>
                      <w:szCs w:val="20"/>
                    </w:rPr>
                  </w:pPr>
                  <w:r w:rsidRPr="00EB3D61">
                    <w:rPr>
                      <w:sz w:val="20"/>
                      <w:szCs w:val="20"/>
                    </w:rPr>
                    <w:t>PWID</w:t>
                  </w:r>
                </w:p>
              </w:tc>
              <w:tc>
                <w:tcPr>
                  <w:tcW w:w="5160" w:type="dxa"/>
                </w:tcPr>
                <w:p w14:paraId="782D50D2" w14:textId="77777777" w:rsidR="0015208B" w:rsidRPr="00EC0027" w:rsidRDefault="0015208B" w:rsidP="00F42E40">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C0027">
                    <w:rPr>
                      <w:sz w:val="20"/>
                      <w:szCs w:val="20"/>
                    </w:rPr>
                    <w:t>Counseling for OST initiation and adherence</w:t>
                  </w:r>
                </w:p>
                <w:p w14:paraId="7D82736F" w14:textId="77777777" w:rsidR="0015208B" w:rsidRPr="00EC0027" w:rsidRDefault="0015208B" w:rsidP="00F42E40">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C0027">
                    <w:rPr>
                      <w:sz w:val="20"/>
                      <w:szCs w:val="20"/>
                    </w:rPr>
                    <w:t>Overdose prevention and Naloxone</w:t>
                  </w:r>
                </w:p>
                <w:p w14:paraId="10935FF0" w14:textId="77777777" w:rsidR="0015208B" w:rsidRPr="00EC0027" w:rsidRDefault="0015208B" w:rsidP="00F42E40">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C0027">
                    <w:rPr>
                      <w:sz w:val="20"/>
                      <w:szCs w:val="20"/>
                    </w:rPr>
                    <w:t>Health products and disinfectants</w:t>
                  </w:r>
                  <w:r>
                    <w:rPr>
                      <w:sz w:val="20"/>
                      <w:szCs w:val="20"/>
                    </w:rPr>
                    <w:t>,</w:t>
                  </w:r>
                  <w:r w:rsidRPr="00EC0027">
                    <w:rPr>
                      <w:sz w:val="20"/>
                      <w:szCs w:val="20"/>
                    </w:rPr>
                    <w:t xml:space="preserve"> IEC,</w:t>
                  </w:r>
                </w:p>
                <w:p w14:paraId="00D44259" w14:textId="77777777" w:rsidR="0015208B" w:rsidRPr="00EC0027" w:rsidRDefault="0015208B" w:rsidP="00F42E40">
                  <w:pPr>
                    <w:pStyle w:val="ListParagraph"/>
                    <w:numPr>
                      <w:ilvl w:val="0"/>
                      <w:numId w:val="29"/>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EC0027">
                    <w:rPr>
                      <w:sz w:val="20"/>
                      <w:szCs w:val="20"/>
                    </w:rPr>
                    <w:t xml:space="preserve">Client navigation, psychosocial support, peer support, medical consultations, legal aid. </w:t>
                  </w:r>
                </w:p>
              </w:tc>
              <w:tc>
                <w:tcPr>
                  <w:tcW w:w="1770" w:type="dxa"/>
                </w:tcPr>
                <w:p w14:paraId="6A0200BC" w14:textId="77777777" w:rsidR="0015208B" w:rsidRPr="00EB3D61" w:rsidRDefault="0015208B" w:rsidP="0015208B">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 EUR</w:t>
                  </w:r>
                </w:p>
              </w:tc>
            </w:tr>
          </w:tbl>
          <w:p w14:paraId="1EC7B84B" w14:textId="77777777" w:rsidR="00C1409F" w:rsidRDefault="00C1409F" w:rsidP="00C1409F">
            <w:pPr>
              <w:spacing w:after="0" w:line="240" w:lineRule="auto"/>
              <w:jc w:val="both"/>
              <w:rPr>
                <w:sz w:val="20"/>
                <w:szCs w:val="20"/>
              </w:rPr>
            </w:pPr>
          </w:p>
          <w:p w14:paraId="7F6C3555" w14:textId="6A2532E8" w:rsidR="00C1409F" w:rsidRDefault="00C1409F" w:rsidP="00C1409F">
            <w:pPr>
              <w:spacing w:after="0" w:line="240" w:lineRule="auto"/>
              <w:jc w:val="both"/>
              <w:rPr>
                <w:sz w:val="20"/>
                <w:szCs w:val="20"/>
              </w:rPr>
            </w:pPr>
            <w:r w:rsidRPr="007E6557">
              <w:rPr>
                <w:sz w:val="20"/>
                <w:szCs w:val="20"/>
              </w:rPr>
              <w:t xml:space="preserve">The planned coverage is to reach </w:t>
            </w:r>
            <w:r w:rsidR="00C4686B">
              <w:rPr>
                <w:sz w:val="20"/>
                <w:szCs w:val="20"/>
              </w:rPr>
              <w:t>7</w:t>
            </w:r>
            <w:r w:rsidRPr="007E6557">
              <w:rPr>
                <w:sz w:val="20"/>
                <w:szCs w:val="20"/>
              </w:rPr>
              <w:t xml:space="preserve">0% of MSM, 70 transgender people, </w:t>
            </w:r>
            <w:r w:rsidR="00C4686B">
              <w:rPr>
                <w:sz w:val="20"/>
                <w:szCs w:val="20"/>
              </w:rPr>
              <w:t>75</w:t>
            </w:r>
            <w:r w:rsidRPr="007E6557">
              <w:rPr>
                <w:sz w:val="20"/>
                <w:szCs w:val="20"/>
              </w:rPr>
              <w:t>% of PWID</w:t>
            </w:r>
            <w:r>
              <w:rPr>
                <w:sz w:val="20"/>
                <w:szCs w:val="20"/>
              </w:rPr>
              <w:t xml:space="preserve">, </w:t>
            </w:r>
            <w:r w:rsidR="00C4686B">
              <w:rPr>
                <w:sz w:val="20"/>
                <w:szCs w:val="20"/>
              </w:rPr>
              <w:t>70</w:t>
            </w:r>
            <w:r>
              <w:rPr>
                <w:sz w:val="20"/>
                <w:szCs w:val="20"/>
              </w:rPr>
              <w:t>% of SWs</w:t>
            </w:r>
            <w:r w:rsidR="00C4686B">
              <w:rPr>
                <w:sz w:val="20"/>
                <w:szCs w:val="20"/>
              </w:rPr>
              <w:t xml:space="preserve">. </w:t>
            </w:r>
            <w:r>
              <w:rPr>
                <w:sz w:val="20"/>
                <w:szCs w:val="20"/>
              </w:rPr>
              <w:t>All extended s</w:t>
            </w:r>
            <w:r w:rsidRPr="00EC0027">
              <w:rPr>
                <w:sz w:val="20"/>
                <w:szCs w:val="20"/>
              </w:rPr>
              <w:t xml:space="preserve">ervice packages </w:t>
            </w:r>
            <w:r>
              <w:rPr>
                <w:sz w:val="20"/>
                <w:szCs w:val="20"/>
              </w:rPr>
              <w:t xml:space="preserve">were set at 30% of expected coverage (most in need) and </w:t>
            </w:r>
            <w:r w:rsidRPr="00EC0027">
              <w:rPr>
                <w:sz w:val="20"/>
                <w:szCs w:val="20"/>
              </w:rPr>
              <w:t>are included in the PAAR.</w:t>
            </w:r>
          </w:p>
          <w:p w14:paraId="4D4CFA8B" w14:textId="290B7760" w:rsidR="0015208B" w:rsidRPr="007E6557" w:rsidRDefault="0015208B" w:rsidP="0015208B">
            <w:pPr>
              <w:spacing w:after="0" w:line="240" w:lineRule="auto"/>
              <w:jc w:val="both"/>
              <w:rPr>
                <w:sz w:val="20"/>
                <w:szCs w:val="20"/>
              </w:rPr>
            </w:pPr>
            <w:r w:rsidRPr="0060087E">
              <w:rPr>
                <w:b/>
                <w:sz w:val="20"/>
                <w:szCs w:val="20"/>
              </w:rPr>
              <w:t>In prisons</w:t>
            </w:r>
            <w:r w:rsidRPr="007E6557">
              <w:rPr>
                <w:sz w:val="20"/>
                <w:szCs w:val="20"/>
              </w:rPr>
              <w:t xml:space="preserve"> the</w:t>
            </w:r>
            <w:r>
              <w:rPr>
                <w:sz w:val="20"/>
                <w:szCs w:val="20"/>
              </w:rPr>
              <w:t xml:space="preserve"> service</w:t>
            </w:r>
            <w:r w:rsidRPr="007E6557">
              <w:rPr>
                <w:sz w:val="20"/>
                <w:szCs w:val="20"/>
              </w:rPr>
              <w:t xml:space="preserve"> package includes NSP for all people estimated to be injecting drugs in all prisons in both Right and Left Banks </w:t>
            </w:r>
            <w:r>
              <w:rPr>
                <w:sz w:val="20"/>
                <w:szCs w:val="20"/>
              </w:rPr>
              <w:t>(around 2</w:t>
            </w:r>
            <w:r w:rsidR="00AA4ACC">
              <w:rPr>
                <w:sz w:val="20"/>
                <w:szCs w:val="20"/>
              </w:rPr>
              <w:t>,</w:t>
            </w:r>
            <w:r>
              <w:rPr>
                <w:sz w:val="20"/>
                <w:szCs w:val="20"/>
              </w:rPr>
              <w:t xml:space="preserve">780 on a yearly basis) </w:t>
            </w:r>
            <w:r w:rsidRPr="007E6557">
              <w:rPr>
                <w:sz w:val="20"/>
                <w:szCs w:val="20"/>
              </w:rPr>
              <w:t xml:space="preserve">and a </w:t>
            </w:r>
            <w:r w:rsidRPr="007E6557">
              <w:rPr>
                <w:sz w:val="20"/>
                <w:szCs w:val="20"/>
              </w:rPr>
              <w:lastRenderedPageBreak/>
              <w:t>service package</w:t>
            </w:r>
            <w:r>
              <w:rPr>
                <w:sz w:val="20"/>
                <w:szCs w:val="20"/>
              </w:rPr>
              <w:t xml:space="preserve"> for all prisoners. It </w:t>
            </w:r>
            <w:r w:rsidRPr="007E6557">
              <w:rPr>
                <w:sz w:val="20"/>
                <w:szCs w:val="20"/>
              </w:rPr>
              <w:t>include</w:t>
            </w:r>
            <w:r>
              <w:rPr>
                <w:sz w:val="20"/>
                <w:szCs w:val="20"/>
              </w:rPr>
              <w:t>s</w:t>
            </w:r>
            <w:r w:rsidRPr="007E6557">
              <w:rPr>
                <w:sz w:val="20"/>
                <w:szCs w:val="20"/>
              </w:rPr>
              <w:t xml:space="preserve"> con</w:t>
            </w:r>
            <w:r>
              <w:rPr>
                <w:sz w:val="20"/>
                <w:szCs w:val="20"/>
              </w:rPr>
              <w:t>doms,</w:t>
            </w:r>
            <w:r w:rsidRPr="007E6557">
              <w:rPr>
                <w:sz w:val="20"/>
                <w:szCs w:val="20"/>
              </w:rPr>
              <w:t xml:space="preserve"> HIV and syphilis and IEC for targeted 30%, 35% and 40% by the end of 2023, with co-financing from the MoJ budget.</w:t>
            </w:r>
          </w:p>
          <w:p w14:paraId="5158BBFF" w14:textId="77777777" w:rsidR="00B84958" w:rsidRDefault="00B84958" w:rsidP="0015208B">
            <w:pPr>
              <w:spacing w:after="0" w:line="240" w:lineRule="auto"/>
              <w:jc w:val="both"/>
              <w:rPr>
                <w:b/>
                <w:sz w:val="20"/>
                <w:szCs w:val="20"/>
              </w:rPr>
            </w:pPr>
          </w:p>
          <w:p w14:paraId="01F2B781" w14:textId="7A881348" w:rsidR="0015208B" w:rsidRDefault="0015208B" w:rsidP="0015208B">
            <w:pPr>
              <w:spacing w:after="0" w:line="240" w:lineRule="auto"/>
              <w:jc w:val="both"/>
              <w:rPr>
                <w:sz w:val="20"/>
                <w:szCs w:val="20"/>
              </w:rPr>
            </w:pPr>
            <w:r>
              <w:rPr>
                <w:b/>
                <w:sz w:val="20"/>
                <w:szCs w:val="20"/>
              </w:rPr>
              <w:t xml:space="preserve">OST scale-up: </w:t>
            </w:r>
            <w:r>
              <w:rPr>
                <w:rFonts w:eastAsia="Calibri"/>
                <w:color w:val="000000"/>
                <w:sz w:val="20"/>
                <w:szCs w:val="20"/>
              </w:rPr>
              <w:t>S</w:t>
            </w:r>
            <w:r w:rsidRPr="00524B9B">
              <w:rPr>
                <w:rFonts w:eastAsia="Calibri"/>
                <w:color w:val="000000"/>
                <w:sz w:val="20"/>
                <w:szCs w:val="20"/>
              </w:rPr>
              <w:t>ince 201</w:t>
            </w:r>
            <w:r>
              <w:rPr>
                <w:rFonts w:eastAsia="Calibri"/>
                <w:color w:val="000000"/>
                <w:sz w:val="20"/>
                <w:szCs w:val="20"/>
              </w:rPr>
              <w:t xml:space="preserve">8 the OST provision on the Right Bank </w:t>
            </w:r>
            <w:r w:rsidRPr="00524B9B">
              <w:rPr>
                <w:rFonts w:eastAsia="Calibri"/>
                <w:color w:val="000000"/>
                <w:sz w:val="20"/>
                <w:szCs w:val="20"/>
              </w:rPr>
              <w:t>has been fully taken over</w:t>
            </w:r>
            <w:r w:rsidR="00AA4ACC">
              <w:rPr>
                <w:rFonts w:eastAsia="Calibri"/>
                <w:color w:val="000000"/>
                <w:sz w:val="20"/>
                <w:szCs w:val="20"/>
              </w:rPr>
              <w:t xml:space="preserve"> by the government, both in prisons and civilian sector</w:t>
            </w:r>
            <w:r>
              <w:rPr>
                <w:rFonts w:eastAsia="Calibri"/>
                <w:color w:val="000000"/>
                <w:sz w:val="20"/>
                <w:szCs w:val="20"/>
              </w:rPr>
              <w:t>. NHIC covers cost of services and procurement of methadone.</w:t>
            </w:r>
            <w:r>
              <w:rPr>
                <w:sz w:val="20"/>
                <w:szCs w:val="20"/>
              </w:rPr>
              <w:t xml:space="preserve"> </w:t>
            </w:r>
            <w:r w:rsidRPr="006F2AA1">
              <w:rPr>
                <w:sz w:val="20"/>
                <w:szCs w:val="20"/>
              </w:rPr>
              <w:t xml:space="preserve">Buprenorphine will be added as an option fully procured by the </w:t>
            </w:r>
            <w:r w:rsidR="00AA4ACC" w:rsidRPr="006F2AA1">
              <w:rPr>
                <w:sz w:val="20"/>
                <w:szCs w:val="20"/>
              </w:rPr>
              <w:t>Government</w:t>
            </w:r>
            <w:r w:rsidRPr="006F2AA1">
              <w:rPr>
                <w:rFonts w:eastAsia="Calibri"/>
                <w:color w:val="000000"/>
                <w:sz w:val="20"/>
                <w:szCs w:val="20"/>
              </w:rPr>
              <w:t xml:space="preserve">. The funding request includes </w:t>
            </w:r>
            <w:r w:rsidRPr="006F2AA1">
              <w:rPr>
                <w:sz w:val="20"/>
                <w:szCs w:val="20"/>
              </w:rPr>
              <w:t xml:space="preserve">scaling up OST in </w:t>
            </w:r>
            <w:r w:rsidR="00C4686B" w:rsidRPr="006F2AA1">
              <w:rPr>
                <w:sz w:val="20"/>
                <w:szCs w:val="20"/>
              </w:rPr>
              <w:t>8</w:t>
            </w:r>
            <w:r w:rsidRPr="006F2AA1">
              <w:rPr>
                <w:sz w:val="20"/>
                <w:szCs w:val="20"/>
              </w:rPr>
              <w:t xml:space="preserve"> new sites, including 2 on the Left Bank</w:t>
            </w:r>
            <w:r w:rsidR="00C4686B" w:rsidRPr="006F2AA1">
              <w:rPr>
                <w:sz w:val="20"/>
                <w:szCs w:val="20"/>
              </w:rPr>
              <w:t xml:space="preserve"> (</w:t>
            </w:r>
            <w:r w:rsidRPr="006F2AA1">
              <w:rPr>
                <w:sz w:val="20"/>
                <w:szCs w:val="20"/>
              </w:rPr>
              <w:t>set up costs</w:t>
            </w:r>
            <w:r w:rsidR="00C4686B">
              <w:rPr>
                <w:sz w:val="20"/>
                <w:szCs w:val="20"/>
              </w:rPr>
              <w:t>)</w:t>
            </w:r>
            <w:r>
              <w:rPr>
                <w:sz w:val="20"/>
                <w:szCs w:val="20"/>
              </w:rPr>
              <w:t>.</w:t>
            </w:r>
            <w:r w:rsidR="00165B8E">
              <w:rPr>
                <w:sz w:val="20"/>
                <w:szCs w:val="20"/>
              </w:rPr>
              <w:t xml:space="preserve"> A new activity is starting OST program in Transnistria.</w:t>
            </w:r>
            <w:r w:rsidR="00C4686B">
              <w:rPr>
                <w:sz w:val="20"/>
                <w:szCs w:val="20"/>
              </w:rPr>
              <w:t xml:space="preserve"> </w:t>
            </w:r>
            <w:r w:rsidR="00165B8E">
              <w:rPr>
                <w:sz w:val="20"/>
                <w:szCs w:val="20"/>
              </w:rPr>
              <w:t xml:space="preserve">In Year 1 advocacy activities will prepare the opening </w:t>
            </w:r>
            <w:r w:rsidR="00165B8E" w:rsidRPr="006F2AA1">
              <w:rPr>
                <w:sz w:val="20"/>
                <w:szCs w:val="20"/>
              </w:rPr>
              <w:t>on the L</w:t>
            </w:r>
            <w:r w:rsidR="00AA4ACC" w:rsidRPr="006F2AA1">
              <w:rPr>
                <w:sz w:val="20"/>
                <w:szCs w:val="20"/>
              </w:rPr>
              <w:t xml:space="preserve">eft </w:t>
            </w:r>
            <w:r w:rsidR="00165B8E" w:rsidRPr="006F2AA1">
              <w:rPr>
                <w:sz w:val="20"/>
                <w:szCs w:val="20"/>
              </w:rPr>
              <w:t>B</w:t>
            </w:r>
            <w:r w:rsidR="00AA4ACC" w:rsidRPr="006F2AA1">
              <w:rPr>
                <w:sz w:val="20"/>
                <w:szCs w:val="20"/>
              </w:rPr>
              <w:t>ank</w:t>
            </w:r>
            <w:r w:rsidR="00165B8E">
              <w:rPr>
                <w:sz w:val="20"/>
                <w:szCs w:val="20"/>
              </w:rPr>
              <w:t>. It is planned that in year 2 th</w:t>
            </w:r>
            <w:r>
              <w:rPr>
                <w:sz w:val="20"/>
                <w:szCs w:val="20"/>
              </w:rPr>
              <w:t>e 1</w:t>
            </w:r>
            <w:r w:rsidRPr="007E6557">
              <w:rPr>
                <w:sz w:val="20"/>
                <w:szCs w:val="20"/>
                <w:vertAlign w:val="superscript"/>
              </w:rPr>
              <w:t>st</w:t>
            </w:r>
            <w:r>
              <w:rPr>
                <w:sz w:val="20"/>
                <w:szCs w:val="20"/>
              </w:rPr>
              <w:t xml:space="preserve"> OST </w:t>
            </w:r>
            <w:r w:rsidRPr="007E6557">
              <w:rPr>
                <w:sz w:val="20"/>
                <w:szCs w:val="20"/>
              </w:rPr>
              <w:t>will open</w:t>
            </w:r>
            <w:r>
              <w:rPr>
                <w:sz w:val="20"/>
                <w:szCs w:val="20"/>
              </w:rPr>
              <w:t xml:space="preserve"> in </w:t>
            </w:r>
            <w:r w:rsidR="00165B8E">
              <w:rPr>
                <w:sz w:val="20"/>
                <w:szCs w:val="20"/>
              </w:rPr>
              <w:t>in Transnistria</w:t>
            </w:r>
            <w:r>
              <w:rPr>
                <w:sz w:val="20"/>
                <w:szCs w:val="20"/>
              </w:rPr>
              <w:t xml:space="preserve"> and start </w:t>
            </w:r>
            <w:r w:rsidR="00165B8E">
              <w:rPr>
                <w:sz w:val="20"/>
                <w:szCs w:val="20"/>
              </w:rPr>
              <w:t xml:space="preserve">enrolment </w:t>
            </w:r>
            <w:r>
              <w:rPr>
                <w:sz w:val="20"/>
                <w:szCs w:val="20"/>
              </w:rPr>
              <w:t>in</w:t>
            </w:r>
            <w:r w:rsidR="00165B8E">
              <w:rPr>
                <w:sz w:val="20"/>
                <w:szCs w:val="20"/>
              </w:rPr>
              <w:t xml:space="preserve"> treatment</w:t>
            </w:r>
            <w:r>
              <w:rPr>
                <w:sz w:val="20"/>
                <w:szCs w:val="20"/>
              </w:rPr>
              <w:t xml:space="preserve"> 2022-2023, </w:t>
            </w:r>
            <w:r w:rsidR="00165B8E">
              <w:rPr>
                <w:sz w:val="20"/>
                <w:szCs w:val="20"/>
              </w:rPr>
              <w:t>p</w:t>
            </w:r>
            <w:r>
              <w:rPr>
                <w:sz w:val="20"/>
                <w:szCs w:val="20"/>
              </w:rPr>
              <w:t xml:space="preserve">lanned </w:t>
            </w:r>
            <w:r w:rsidR="00165B8E">
              <w:rPr>
                <w:sz w:val="20"/>
                <w:szCs w:val="20"/>
              </w:rPr>
              <w:t xml:space="preserve">coverage </w:t>
            </w:r>
            <w:r>
              <w:rPr>
                <w:sz w:val="20"/>
                <w:szCs w:val="20"/>
              </w:rPr>
              <w:t xml:space="preserve">335 </w:t>
            </w:r>
            <w:r w:rsidR="00165B8E">
              <w:rPr>
                <w:sz w:val="20"/>
                <w:szCs w:val="20"/>
              </w:rPr>
              <w:t xml:space="preserve">people </w:t>
            </w:r>
            <w:r>
              <w:rPr>
                <w:sz w:val="20"/>
                <w:szCs w:val="20"/>
              </w:rPr>
              <w:t xml:space="preserve">in 2022 and 469 in 2023. OST psycho-social support is included for </w:t>
            </w:r>
            <w:r w:rsidR="00AA4ACC">
              <w:rPr>
                <w:sz w:val="20"/>
                <w:szCs w:val="20"/>
              </w:rPr>
              <w:t xml:space="preserve">both Right and </w:t>
            </w:r>
            <w:r>
              <w:rPr>
                <w:sz w:val="20"/>
                <w:szCs w:val="20"/>
              </w:rPr>
              <w:t>Left Bank</w:t>
            </w:r>
            <w:r w:rsidR="00AA4ACC">
              <w:rPr>
                <w:sz w:val="20"/>
                <w:szCs w:val="20"/>
              </w:rPr>
              <w:t xml:space="preserve"> clients on OST</w:t>
            </w:r>
            <w:r>
              <w:rPr>
                <w:sz w:val="20"/>
                <w:szCs w:val="20"/>
              </w:rPr>
              <w:t xml:space="preserve"> based on service package costed in 2017.</w:t>
            </w:r>
          </w:p>
          <w:p w14:paraId="57768895" w14:textId="77777777" w:rsidR="0015208B" w:rsidRDefault="0015208B" w:rsidP="0015208B">
            <w:pPr>
              <w:spacing w:after="0" w:line="240" w:lineRule="auto"/>
              <w:jc w:val="both"/>
              <w:rPr>
                <w:sz w:val="20"/>
                <w:szCs w:val="20"/>
              </w:rPr>
            </w:pPr>
          </w:p>
          <w:p w14:paraId="7962A939" w14:textId="1CB7BFB7" w:rsidR="0015208B" w:rsidRDefault="0015208B" w:rsidP="0015208B">
            <w:pPr>
              <w:spacing w:after="0" w:line="240" w:lineRule="auto"/>
              <w:jc w:val="both"/>
              <w:rPr>
                <w:b/>
                <w:sz w:val="20"/>
                <w:szCs w:val="20"/>
              </w:rPr>
            </w:pPr>
            <w:r>
              <w:rPr>
                <w:b/>
                <w:sz w:val="20"/>
                <w:szCs w:val="20"/>
              </w:rPr>
              <w:t>P</w:t>
            </w:r>
            <w:r w:rsidRPr="00E61BC6">
              <w:rPr>
                <w:b/>
                <w:sz w:val="20"/>
                <w:szCs w:val="20"/>
              </w:rPr>
              <w:t xml:space="preserve">rovision of comprehensive package of </w:t>
            </w:r>
            <w:r w:rsidRPr="00562145">
              <w:rPr>
                <w:b/>
                <w:sz w:val="20"/>
                <w:szCs w:val="20"/>
              </w:rPr>
              <w:t xml:space="preserve">HIV prevention </w:t>
            </w:r>
            <w:r w:rsidRPr="00E61BC6">
              <w:rPr>
                <w:b/>
                <w:sz w:val="20"/>
                <w:szCs w:val="20"/>
              </w:rPr>
              <w:t>services</w:t>
            </w:r>
            <w:r>
              <w:rPr>
                <w:b/>
                <w:sz w:val="20"/>
                <w:szCs w:val="20"/>
              </w:rPr>
              <w:t xml:space="preserve"> to transgender people: </w:t>
            </w:r>
            <w:r w:rsidRPr="0060087E">
              <w:rPr>
                <w:sz w:val="20"/>
                <w:szCs w:val="20"/>
              </w:rPr>
              <w:t>for the first time, transgender people are separated from MSM.</w:t>
            </w:r>
            <w:r w:rsidR="00002449">
              <w:rPr>
                <w:sz w:val="20"/>
                <w:szCs w:val="20"/>
              </w:rPr>
              <w:t xml:space="preserve"> </w:t>
            </w:r>
            <w:r w:rsidR="00002449" w:rsidRPr="00002449">
              <w:rPr>
                <w:sz w:val="20"/>
                <w:szCs w:val="20"/>
              </w:rPr>
              <w:t xml:space="preserve">The </w:t>
            </w:r>
            <w:r w:rsidR="00002449">
              <w:rPr>
                <w:sz w:val="20"/>
                <w:szCs w:val="20"/>
              </w:rPr>
              <w:t>intervention</w:t>
            </w:r>
            <w:r w:rsidR="00002449" w:rsidRPr="00002449">
              <w:rPr>
                <w:sz w:val="20"/>
                <w:szCs w:val="20"/>
              </w:rPr>
              <w:t xml:space="preserve"> aims to tailor services to the specific needs of transgender people, with focus on HIV and STI prevention. The service package includes HIV/STI testing and sexual health. The extended package includes legal support formal process of correct marker of gender identity in ID, mental health. </w:t>
            </w:r>
            <w:r>
              <w:rPr>
                <w:sz w:val="20"/>
                <w:szCs w:val="20"/>
              </w:rPr>
              <w:t xml:space="preserve"> The</w:t>
            </w:r>
            <w:r w:rsidRPr="0060087E">
              <w:rPr>
                <w:sz w:val="20"/>
                <w:szCs w:val="20"/>
              </w:rPr>
              <w:t xml:space="preserve"> service package for TG includes basic and extended package tailored to the needs</w:t>
            </w:r>
            <w:r>
              <w:rPr>
                <w:sz w:val="20"/>
                <w:szCs w:val="20"/>
              </w:rPr>
              <w:t xml:space="preserve"> (EUR 91</w:t>
            </w:r>
            <w:r w:rsidRPr="0060087E">
              <w:rPr>
                <w:sz w:val="20"/>
                <w:szCs w:val="20"/>
              </w:rPr>
              <w:t xml:space="preserve">). </w:t>
            </w:r>
            <w:r>
              <w:rPr>
                <w:sz w:val="20"/>
                <w:szCs w:val="20"/>
              </w:rPr>
              <w:t xml:space="preserve">Annual targets are 50, 60 and 70 by 2023. </w:t>
            </w:r>
          </w:p>
          <w:p w14:paraId="5902F288" w14:textId="77777777" w:rsidR="0015208B" w:rsidRDefault="0015208B" w:rsidP="0015208B">
            <w:pPr>
              <w:spacing w:after="0" w:line="240" w:lineRule="auto"/>
              <w:jc w:val="both"/>
              <w:rPr>
                <w:b/>
                <w:sz w:val="20"/>
                <w:szCs w:val="20"/>
              </w:rPr>
            </w:pPr>
          </w:p>
          <w:p w14:paraId="706BEC83" w14:textId="27106C60" w:rsidR="00002449" w:rsidRDefault="0015208B" w:rsidP="00002449">
            <w:pPr>
              <w:jc w:val="both"/>
            </w:pPr>
            <w:r w:rsidRPr="0039496C">
              <w:rPr>
                <w:b/>
                <w:sz w:val="20"/>
                <w:szCs w:val="20"/>
              </w:rPr>
              <w:t>Community-based PrEP</w:t>
            </w:r>
            <w:r w:rsidRPr="0039496C">
              <w:rPr>
                <w:sz w:val="20"/>
                <w:szCs w:val="20"/>
              </w:rPr>
              <w:t xml:space="preserve">: </w:t>
            </w:r>
            <w:r w:rsidR="00165B8E">
              <w:rPr>
                <w:sz w:val="20"/>
                <w:szCs w:val="20"/>
              </w:rPr>
              <w:t xml:space="preserve">In Moldova PrEP was introduced through </w:t>
            </w:r>
            <w:r w:rsidR="003744D9">
              <w:rPr>
                <w:sz w:val="20"/>
                <w:szCs w:val="20"/>
              </w:rPr>
              <w:t xml:space="preserve">an </w:t>
            </w:r>
            <w:r w:rsidR="006F2AA1">
              <w:rPr>
                <w:sz w:val="20"/>
                <w:szCs w:val="20"/>
              </w:rPr>
              <w:t>initial</w:t>
            </w:r>
            <w:r w:rsidR="003744D9">
              <w:rPr>
                <w:sz w:val="20"/>
                <w:szCs w:val="20"/>
              </w:rPr>
              <w:t xml:space="preserve"> project</w:t>
            </w:r>
            <w:r w:rsidR="00165B8E">
              <w:rPr>
                <w:sz w:val="20"/>
                <w:szCs w:val="20"/>
              </w:rPr>
              <w:t xml:space="preserve"> for all key groups 2018, 77% of enrolled were MSM in </w:t>
            </w:r>
            <w:r w:rsidR="00165B8E" w:rsidRPr="00162741">
              <w:rPr>
                <w:sz w:val="20"/>
                <w:szCs w:val="20"/>
              </w:rPr>
              <w:t>2019</w:t>
            </w:r>
            <w:r w:rsidR="006F2AA1">
              <w:rPr>
                <w:sz w:val="20"/>
                <w:szCs w:val="20"/>
              </w:rPr>
              <w:t xml:space="preserve">. The ongoing </w:t>
            </w:r>
            <w:r w:rsidRPr="0039496C">
              <w:rPr>
                <w:sz w:val="20"/>
                <w:szCs w:val="20"/>
              </w:rPr>
              <w:t xml:space="preserve">project shows that PrEP is a suitable and acceptable intervention to a segment of high risk MSM. The intervention aims to reduce the risk of HIV infection among </w:t>
            </w:r>
            <w:r w:rsidR="00C4686B">
              <w:rPr>
                <w:sz w:val="20"/>
                <w:szCs w:val="20"/>
              </w:rPr>
              <w:t xml:space="preserve">key populations, with focus on </w:t>
            </w:r>
            <w:r w:rsidRPr="0039496C">
              <w:rPr>
                <w:sz w:val="20"/>
                <w:szCs w:val="20"/>
              </w:rPr>
              <w:t>MSM and will be implemented by NGOs.</w:t>
            </w:r>
            <w:r w:rsidR="00002449" w:rsidRPr="00002449">
              <w:rPr>
                <w:sz w:val="20"/>
                <w:szCs w:val="20"/>
              </w:rPr>
              <w:t xml:space="preserve"> A 50% target increase of the latest year reach is aiming at bringing Moldova to 750 persons in 2025 from the 90 persons enrolled in 2019 (the baseline). Communit</w:t>
            </w:r>
            <w:r w:rsidR="00002449">
              <w:rPr>
                <w:sz w:val="20"/>
                <w:szCs w:val="20"/>
              </w:rPr>
              <w:t xml:space="preserve">y-based </w:t>
            </w:r>
            <w:r w:rsidR="00002449" w:rsidRPr="00002449">
              <w:rPr>
                <w:sz w:val="20"/>
                <w:szCs w:val="20"/>
              </w:rPr>
              <w:t xml:space="preserve">PrEP in all key populations </w:t>
            </w:r>
            <w:r w:rsidR="003744D9">
              <w:rPr>
                <w:sz w:val="20"/>
                <w:szCs w:val="20"/>
              </w:rPr>
              <w:t>introduced</w:t>
            </w:r>
            <w:r w:rsidR="00002449" w:rsidRPr="00002449">
              <w:rPr>
                <w:sz w:val="20"/>
                <w:szCs w:val="20"/>
              </w:rPr>
              <w:t xml:space="preserve"> in Moldova starting the end of 2019, which brought about 125 persons in 9 months of 2019-2020, compared to 2 persons in 2018.  Communit</w:t>
            </w:r>
            <w:r w:rsidR="00002449">
              <w:rPr>
                <w:sz w:val="20"/>
                <w:szCs w:val="20"/>
              </w:rPr>
              <w:t xml:space="preserve">y-based PrEP is a person-centered approach. It includes </w:t>
            </w:r>
            <w:r w:rsidR="00002449" w:rsidRPr="00002449">
              <w:rPr>
                <w:sz w:val="20"/>
                <w:szCs w:val="20"/>
              </w:rPr>
              <w:t>PrEP prescription and follow up supervision in community organizations/NGOs, ensuring a friendly doctor consulting the beneficiaries, where most convenient for the beneficiary. The NGO accompanies the person for the HIV/STI testing and additional requested investigations (ex. creatinine), counsels the person on the treatment regime and follows up the correctness of the prophylactic treatment in-take, being supported by focused and targeted education and communication (PrEP package).  The quality of the service is to be ensured through continuous capacity building, results-based staff motivation and M&amp;E.</w:t>
            </w:r>
            <w:r w:rsidR="00002449">
              <w:t xml:space="preserve">  </w:t>
            </w:r>
          </w:p>
          <w:p w14:paraId="57B0BE07" w14:textId="0F6AA44F" w:rsidR="0015208B" w:rsidRDefault="0015208B" w:rsidP="0015208B">
            <w:pPr>
              <w:spacing w:after="0" w:line="240" w:lineRule="auto"/>
              <w:jc w:val="both"/>
              <w:rPr>
                <w:sz w:val="20"/>
                <w:szCs w:val="20"/>
              </w:rPr>
            </w:pPr>
            <w:r w:rsidRPr="0071267E">
              <w:rPr>
                <w:b/>
                <w:sz w:val="20"/>
                <w:szCs w:val="20"/>
              </w:rPr>
              <w:t>Mobile clinics:</w:t>
            </w:r>
            <w:r w:rsidRPr="0071267E">
              <w:rPr>
                <w:sz w:val="20"/>
                <w:szCs w:val="20"/>
              </w:rPr>
              <w:t xml:space="preserve"> ensure geographical reach of the prevention programs and provision of integrated services. Currently there are three mobile clinics</w:t>
            </w:r>
            <w:r>
              <w:rPr>
                <w:sz w:val="20"/>
                <w:szCs w:val="20"/>
              </w:rPr>
              <w:t xml:space="preserve"> (2 Right Bank 1 Left Bank) </w:t>
            </w:r>
            <w:r w:rsidRPr="0071267E">
              <w:rPr>
                <w:sz w:val="20"/>
                <w:szCs w:val="20"/>
              </w:rPr>
              <w:t>allow reaching new clients</w:t>
            </w:r>
            <w:r w:rsidR="00C1409F">
              <w:rPr>
                <w:sz w:val="20"/>
                <w:szCs w:val="20"/>
              </w:rPr>
              <w:t xml:space="preserve"> o</w:t>
            </w:r>
            <w:r w:rsidR="00C1409F" w:rsidRPr="00C1409F">
              <w:rPr>
                <w:sz w:val="20"/>
                <w:szCs w:val="20"/>
              </w:rPr>
              <w:t>r those having difficulties to reach NSP sites</w:t>
            </w:r>
            <w:r w:rsidRPr="0071267E">
              <w:rPr>
                <w:sz w:val="20"/>
                <w:szCs w:val="20"/>
              </w:rPr>
              <w:t>, conduct testing and clinical management and link to care the most vulnerable segments of key populations. The costs include staff and operational costs (van maintenance, gasoline etc).</w:t>
            </w:r>
          </w:p>
          <w:p w14:paraId="3276FD3E" w14:textId="77777777" w:rsidR="0015208B" w:rsidRDefault="0015208B" w:rsidP="0015208B">
            <w:pPr>
              <w:spacing w:after="0" w:line="240" w:lineRule="auto"/>
              <w:jc w:val="both"/>
              <w:rPr>
                <w:sz w:val="20"/>
                <w:szCs w:val="20"/>
              </w:rPr>
            </w:pPr>
          </w:p>
          <w:p w14:paraId="19DE002E" w14:textId="6B06DDD9" w:rsidR="0015208B" w:rsidRDefault="0015208B" w:rsidP="0015208B">
            <w:pPr>
              <w:spacing w:after="0" w:line="240" w:lineRule="auto"/>
              <w:jc w:val="both"/>
              <w:rPr>
                <w:sz w:val="20"/>
                <w:szCs w:val="20"/>
              </w:rPr>
            </w:pPr>
            <w:r w:rsidRPr="0071267E">
              <w:rPr>
                <w:b/>
                <w:sz w:val="20"/>
                <w:szCs w:val="20"/>
              </w:rPr>
              <w:t xml:space="preserve">Pharmacy based </w:t>
            </w:r>
            <w:r>
              <w:rPr>
                <w:b/>
                <w:sz w:val="20"/>
                <w:szCs w:val="20"/>
              </w:rPr>
              <w:t xml:space="preserve">prevention </w:t>
            </w:r>
            <w:r w:rsidRPr="0071267E">
              <w:rPr>
                <w:b/>
                <w:sz w:val="20"/>
                <w:szCs w:val="20"/>
              </w:rPr>
              <w:t>services</w:t>
            </w:r>
            <w:r>
              <w:rPr>
                <w:sz w:val="20"/>
                <w:szCs w:val="20"/>
              </w:rPr>
              <w:t>: are an innovative approach where clients go to pharmacy to get prevention commodities</w:t>
            </w:r>
            <w:r w:rsidR="00AA4ACC">
              <w:rPr>
                <w:sz w:val="20"/>
                <w:szCs w:val="20"/>
              </w:rPr>
              <w:t xml:space="preserve">.  It has been first </w:t>
            </w:r>
            <w:r w:rsidR="003744D9">
              <w:rPr>
                <w:sz w:val="20"/>
                <w:szCs w:val="20"/>
              </w:rPr>
              <w:t xml:space="preserve">introduced </w:t>
            </w:r>
            <w:r w:rsidR="00AA4ACC">
              <w:rPr>
                <w:sz w:val="20"/>
                <w:szCs w:val="20"/>
              </w:rPr>
              <w:t xml:space="preserve">in NFM 1, then in Chisinau and districts </w:t>
            </w:r>
            <w:r>
              <w:rPr>
                <w:sz w:val="20"/>
                <w:szCs w:val="20"/>
              </w:rPr>
              <w:t>through social contracting by NHIC on the Right Bank</w:t>
            </w:r>
            <w:r w:rsidR="00AA4ACC">
              <w:rPr>
                <w:sz w:val="20"/>
                <w:szCs w:val="20"/>
              </w:rPr>
              <w:t xml:space="preserve"> and NFM2 scaled </w:t>
            </w:r>
            <w:r w:rsidR="00AA4ACC" w:rsidRPr="00B84958">
              <w:rPr>
                <w:sz w:val="20"/>
                <w:szCs w:val="20"/>
              </w:rPr>
              <w:t>up to 26 districts</w:t>
            </w:r>
            <w:r w:rsidR="00162741">
              <w:rPr>
                <w:sz w:val="20"/>
                <w:szCs w:val="20"/>
              </w:rPr>
              <w:t xml:space="preserve"> on the Right Bank and 4 on the Left Bank</w:t>
            </w:r>
            <w:r w:rsidR="00AA4ACC">
              <w:rPr>
                <w:sz w:val="20"/>
                <w:szCs w:val="20"/>
              </w:rPr>
              <w:t>.</w:t>
            </w:r>
            <w:r>
              <w:rPr>
                <w:sz w:val="20"/>
                <w:szCs w:val="20"/>
              </w:rPr>
              <w:t xml:space="preserve"> The funding request includes scale-up of pharmacy-based outreach to the Left Bank. </w:t>
            </w:r>
          </w:p>
          <w:p w14:paraId="74B99137" w14:textId="77777777" w:rsidR="0015208B" w:rsidRDefault="0015208B" w:rsidP="0015208B">
            <w:pPr>
              <w:spacing w:after="0" w:line="240" w:lineRule="auto"/>
              <w:jc w:val="both"/>
              <w:rPr>
                <w:sz w:val="20"/>
                <w:szCs w:val="20"/>
              </w:rPr>
            </w:pPr>
          </w:p>
          <w:p w14:paraId="1AF27BC3" w14:textId="77777777" w:rsidR="0039496C" w:rsidRDefault="0039496C" w:rsidP="0015208B">
            <w:pPr>
              <w:spacing w:after="0" w:line="240" w:lineRule="auto"/>
              <w:jc w:val="both"/>
              <w:rPr>
                <w:sz w:val="20"/>
                <w:szCs w:val="20"/>
              </w:rPr>
            </w:pPr>
            <w:r w:rsidRPr="002B69DB">
              <w:rPr>
                <w:b/>
                <w:sz w:val="20"/>
                <w:szCs w:val="20"/>
              </w:rPr>
              <w:t>PMTCT</w:t>
            </w:r>
            <w:r>
              <w:rPr>
                <w:sz w:val="20"/>
                <w:szCs w:val="20"/>
              </w:rPr>
              <w:t>: the costs of full PMTCT program are fully covered by government, except for costs of Xpert cartridges for early infant diagnosis (EID). The EMTCT validation component along with improved information system, protocol revision and training is included in RSSH component as per modular framework guidance</w:t>
            </w:r>
          </w:p>
          <w:p w14:paraId="1797316D" w14:textId="77777777" w:rsidR="0039496C" w:rsidRDefault="0039496C" w:rsidP="0015208B">
            <w:pPr>
              <w:spacing w:after="0" w:line="240" w:lineRule="auto"/>
              <w:jc w:val="both"/>
              <w:rPr>
                <w:sz w:val="20"/>
                <w:szCs w:val="20"/>
              </w:rPr>
            </w:pPr>
          </w:p>
          <w:p w14:paraId="0E04E724" w14:textId="3F2F6089" w:rsidR="0015208B" w:rsidRPr="003744D9" w:rsidRDefault="0015208B" w:rsidP="003744D9">
            <w:pPr>
              <w:spacing w:after="0" w:line="240" w:lineRule="auto"/>
              <w:jc w:val="both"/>
              <w:rPr>
                <w:b/>
                <w:i/>
                <w:sz w:val="20"/>
                <w:szCs w:val="20"/>
              </w:rPr>
            </w:pPr>
            <w:r w:rsidRPr="003744D9">
              <w:rPr>
                <w:b/>
                <w:i/>
                <w:sz w:val="20"/>
                <w:szCs w:val="20"/>
              </w:rPr>
              <w:t>PAAR: Innovative approach: Young KPs non-injecting PWUD intervention</w:t>
            </w:r>
          </w:p>
          <w:p w14:paraId="6D2402CD" w14:textId="6BEAE1C9" w:rsidR="0015208B" w:rsidRPr="003744D9" w:rsidRDefault="0015208B" w:rsidP="003744D9">
            <w:pPr>
              <w:spacing w:after="0" w:line="240" w:lineRule="auto"/>
              <w:jc w:val="both"/>
              <w:rPr>
                <w:i/>
                <w:sz w:val="20"/>
                <w:szCs w:val="20"/>
              </w:rPr>
            </w:pPr>
            <w:r w:rsidRPr="003744D9">
              <w:rPr>
                <w:i/>
                <w:sz w:val="20"/>
                <w:szCs w:val="20"/>
              </w:rPr>
              <w:t xml:space="preserve">Most existing programs targeting key populations serve mature adults and do not attract younger segments of KPs. There is limited information available on the role of younger groups in epidemic dynamics and risks are not documented, At the same time, there is evidence from other countries in the region that recreational drugs, known as chemsex, Currently UNODC conducts risk and needs assessment at regional level and Moldova is part. The proposed approach in funding request includes conducting a size estimation </w:t>
            </w:r>
            <w:r w:rsidRPr="003744D9">
              <w:rPr>
                <w:i/>
                <w:sz w:val="20"/>
                <w:szCs w:val="20"/>
              </w:rPr>
              <w:lastRenderedPageBreak/>
              <w:t xml:space="preserve">starting </w:t>
            </w:r>
            <w:r w:rsidR="00ED4670">
              <w:rPr>
                <w:i/>
                <w:sz w:val="20"/>
                <w:szCs w:val="20"/>
              </w:rPr>
              <w:t>demonstration</w:t>
            </w:r>
            <w:r w:rsidRPr="003744D9">
              <w:rPr>
                <w:i/>
                <w:sz w:val="20"/>
                <w:szCs w:val="20"/>
              </w:rPr>
              <w:t xml:space="preserve"> project to </w:t>
            </w:r>
            <w:r w:rsidR="00C1409F" w:rsidRPr="003744D9">
              <w:rPr>
                <w:i/>
                <w:sz w:val="20"/>
                <w:szCs w:val="20"/>
              </w:rPr>
              <w:t xml:space="preserve">assess needs, </w:t>
            </w:r>
            <w:r w:rsidRPr="003744D9">
              <w:rPr>
                <w:i/>
                <w:sz w:val="20"/>
                <w:szCs w:val="20"/>
              </w:rPr>
              <w:t xml:space="preserve">document practices, train providers, establish outreach approach, adjusting the service package to these needs (i.e. safer smoking kits, overdose prevention from NSPs etc and outreach modalities via online outreach.  associated with higher likelihood or unsafe sexual practices including low condom use and multiple sexual partners. </w:t>
            </w:r>
          </w:p>
          <w:p w14:paraId="3BED0A76" w14:textId="77777777" w:rsidR="0015208B" w:rsidRPr="003744D9" w:rsidRDefault="0015208B" w:rsidP="003744D9">
            <w:pPr>
              <w:spacing w:after="0" w:line="240" w:lineRule="auto"/>
              <w:jc w:val="both"/>
              <w:rPr>
                <w:i/>
                <w:sz w:val="20"/>
                <w:szCs w:val="20"/>
              </w:rPr>
            </w:pPr>
            <w:r w:rsidRPr="003744D9">
              <w:rPr>
                <w:b/>
                <w:i/>
                <w:sz w:val="20"/>
                <w:szCs w:val="20"/>
              </w:rPr>
              <w:t>PAAR: Harm reduction services based on the safety drug consumptions facilities</w:t>
            </w:r>
            <w:r w:rsidRPr="003744D9">
              <w:rPr>
                <w:i/>
                <w:sz w:val="20"/>
                <w:szCs w:val="20"/>
              </w:rPr>
              <w:t>.</w:t>
            </w:r>
          </w:p>
          <w:p w14:paraId="0FB71B59" w14:textId="43B9732A" w:rsidR="0015208B" w:rsidRPr="003744D9" w:rsidRDefault="0015208B" w:rsidP="003744D9">
            <w:pPr>
              <w:spacing w:after="0" w:line="240" w:lineRule="auto"/>
              <w:jc w:val="both"/>
              <w:rPr>
                <w:i/>
                <w:sz w:val="20"/>
                <w:szCs w:val="20"/>
              </w:rPr>
            </w:pPr>
            <w:r w:rsidRPr="003744D9">
              <w:rPr>
                <w:i/>
                <w:sz w:val="20"/>
                <w:szCs w:val="20"/>
              </w:rPr>
              <w:t>Drug consumptions rooms (DCR) and supervised injecting facilities (SIF)) are an innovative way to maintain people linked to services. Safe Use Rooms are professionally supervised facilities where people can use drugs in a safe environment, evidence shows this leads to less risks associated with HIV infection, a reduction in the frequency of overdose. The funding request</w:t>
            </w:r>
            <w:r w:rsidR="00ED4670">
              <w:rPr>
                <w:i/>
                <w:sz w:val="20"/>
                <w:szCs w:val="20"/>
              </w:rPr>
              <w:t xml:space="preserve"> proposes one project </w:t>
            </w:r>
            <w:r w:rsidRPr="003744D9">
              <w:rPr>
                <w:i/>
                <w:sz w:val="20"/>
                <w:szCs w:val="20"/>
              </w:rPr>
              <w:t xml:space="preserve">in Balti and one in Chisinau. </w:t>
            </w:r>
          </w:p>
          <w:p w14:paraId="0312CC74" w14:textId="77777777" w:rsidR="006F2AA1" w:rsidRDefault="006F2AA1" w:rsidP="003744D9">
            <w:pPr>
              <w:spacing w:after="0" w:line="240" w:lineRule="auto"/>
              <w:rPr>
                <w:rFonts w:cs="Arial"/>
                <w:b/>
                <w:i/>
                <w:color w:val="000000"/>
                <w:sz w:val="20"/>
                <w:szCs w:val="20"/>
              </w:rPr>
            </w:pPr>
          </w:p>
          <w:p w14:paraId="016088E7" w14:textId="7F17A2F9" w:rsidR="0015208B" w:rsidRPr="003744D9" w:rsidRDefault="0015208B" w:rsidP="003744D9">
            <w:pPr>
              <w:spacing w:after="0" w:line="240" w:lineRule="auto"/>
              <w:rPr>
                <w:rFonts w:cs="Arial"/>
                <w:i/>
                <w:color w:val="000000"/>
                <w:sz w:val="20"/>
                <w:szCs w:val="20"/>
              </w:rPr>
            </w:pPr>
            <w:r w:rsidRPr="003744D9">
              <w:rPr>
                <w:rFonts w:cs="Arial"/>
                <w:b/>
                <w:i/>
                <w:color w:val="000000"/>
                <w:sz w:val="20"/>
                <w:szCs w:val="20"/>
              </w:rPr>
              <w:t>PAAR</w:t>
            </w:r>
            <w:r w:rsidR="006F2AA1">
              <w:rPr>
                <w:rFonts w:cs="Arial"/>
                <w:b/>
                <w:i/>
                <w:color w:val="000000"/>
                <w:sz w:val="20"/>
                <w:szCs w:val="20"/>
              </w:rPr>
              <w:t xml:space="preserve">: </w:t>
            </w:r>
            <w:r w:rsidRPr="003744D9">
              <w:rPr>
                <w:rFonts w:cs="Arial"/>
                <w:i/>
                <w:color w:val="000000"/>
                <w:sz w:val="20"/>
                <w:szCs w:val="20"/>
              </w:rPr>
              <w:t>Extended and attractive packages for all KPs</w:t>
            </w:r>
          </w:p>
          <w:p w14:paraId="6F70B69E" w14:textId="63E13E69" w:rsidR="0015208B" w:rsidRPr="003744D9" w:rsidRDefault="006F2AA1" w:rsidP="003744D9">
            <w:pPr>
              <w:spacing w:after="0" w:line="240" w:lineRule="auto"/>
              <w:rPr>
                <w:rFonts w:cs="Arial"/>
                <w:i/>
                <w:color w:val="000000"/>
                <w:sz w:val="20"/>
                <w:szCs w:val="20"/>
              </w:rPr>
            </w:pPr>
            <w:r w:rsidRPr="003744D9">
              <w:rPr>
                <w:rFonts w:cs="Arial"/>
                <w:b/>
                <w:i/>
                <w:color w:val="000000"/>
                <w:sz w:val="20"/>
                <w:szCs w:val="20"/>
              </w:rPr>
              <w:t>PAAR</w:t>
            </w:r>
            <w:r>
              <w:rPr>
                <w:rFonts w:cs="Arial"/>
                <w:b/>
                <w:i/>
                <w:color w:val="000000"/>
                <w:sz w:val="20"/>
                <w:szCs w:val="20"/>
              </w:rPr>
              <w:t xml:space="preserve">: </w:t>
            </w:r>
            <w:r w:rsidR="0015208B" w:rsidRPr="003744D9">
              <w:rPr>
                <w:rFonts w:cs="Arial"/>
                <w:i/>
                <w:color w:val="000000"/>
                <w:sz w:val="20"/>
                <w:szCs w:val="20"/>
              </w:rPr>
              <w:t>Developing regulatory basis for PrEP in health facility</w:t>
            </w:r>
          </w:p>
          <w:p w14:paraId="521ACE26" w14:textId="6AE04E82" w:rsidR="0015208B" w:rsidRPr="003744D9" w:rsidRDefault="006F2AA1" w:rsidP="003744D9">
            <w:pPr>
              <w:spacing w:after="0" w:line="240" w:lineRule="auto"/>
              <w:rPr>
                <w:rFonts w:cs="Arial"/>
                <w:i/>
                <w:color w:val="000000"/>
                <w:sz w:val="20"/>
                <w:szCs w:val="20"/>
              </w:rPr>
            </w:pPr>
            <w:r w:rsidRPr="003744D9">
              <w:rPr>
                <w:rFonts w:cs="Arial"/>
                <w:b/>
                <w:i/>
                <w:color w:val="000000"/>
                <w:sz w:val="20"/>
                <w:szCs w:val="20"/>
              </w:rPr>
              <w:t>PAAR</w:t>
            </w:r>
            <w:r>
              <w:rPr>
                <w:rFonts w:cs="Arial"/>
                <w:b/>
                <w:i/>
                <w:color w:val="000000"/>
                <w:sz w:val="20"/>
                <w:szCs w:val="20"/>
              </w:rPr>
              <w:t xml:space="preserve">: </w:t>
            </w:r>
            <w:r w:rsidR="0015208B" w:rsidRPr="003744D9">
              <w:rPr>
                <w:rFonts w:cs="Arial"/>
                <w:i/>
                <w:color w:val="000000"/>
                <w:sz w:val="20"/>
                <w:szCs w:val="20"/>
              </w:rPr>
              <w:t>Costing of PrEP service</w:t>
            </w:r>
          </w:p>
          <w:p w14:paraId="69636BD5" w14:textId="17F26951" w:rsidR="0015208B" w:rsidRPr="003744D9" w:rsidRDefault="006F2AA1" w:rsidP="003744D9">
            <w:pPr>
              <w:spacing w:after="0" w:line="240" w:lineRule="auto"/>
              <w:rPr>
                <w:rFonts w:cs="Arial"/>
                <w:i/>
                <w:color w:val="000000"/>
                <w:sz w:val="20"/>
                <w:szCs w:val="20"/>
              </w:rPr>
            </w:pPr>
            <w:r w:rsidRPr="003744D9">
              <w:rPr>
                <w:rFonts w:cs="Arial"/>
                <w:b/>
                <w:i/>
                <w:color w:val="000000"/>
                <w:sz w:val="20"/>
                <w:szCs w:val="20"/>
              </w:rPr>
              <w:t>PAAR</w:t>
            </w:r>
            <w:r>
              <w:rPr>
                <w:rFonts w:cs="Arial"/>
                <w:b/>
                <w:i/>
                <w:color w:val="000000"/>
                <w:sz w:val="20"/>
                <w:szCs w:val="20"/>
              </w:rPr>
              <w:t xml:space="preserve">: </w:t>
            </w:r>
            <w:r w:rsidR="0015208B" w:rsidRPr="003744D9">
              <w:rPr>
                <w:rFonts w:cs="Arial"/>
                <w:i/>
                <w:color w:val="000000"/>
                <w:sz w:val="20"/>
                <w:szCs w:val="20"/>
              </w:rPr>
              <w:t>Informational campaigns PrEP</w:t>
            </w:r>
          </w:p>
          <w:p w14:paraId="262CB707" w14:textId="70D6A297" w:rsidR="0015208B" w:rsidRPr="003744D9" w:rsidRDefault="006F2AA1" w:rsidP="003744D9">
            <w:pPr>
              <w:spacing w:after="0" w:line="240" w:lineRule="auto"/>
              <w:rPr>
                <w:rFonts w:cs="Arial"/>
                <w:i/>
                <w:color w:val="000000"/>
                <w:sz w:val="20"/>
                <w:szCs w:val="20"/>
              </w:rPr>
            </w:pPr>
            <w:r w:rsidRPr="003744D9">
              <w:rPr>
                <w:rFonts w:cs="Arial"/>
                <w:b/>
                <w:i/>
                <w:color w:val="000000"/>
                <w:sz w:val="20"/>
                <w:szCs w:val="20"/>
              </w:rPr>
              <w:t>PAAR</w:t>
            </w:r>
            <w:r>
              <w:rPr>
                <w:rFonts w:cs="Arial"/>
                <w:b/>
                <w:i/>
                <w:color w:val="000000"/>
                <w:sz w:val="20"/>
                <w:szCs w:val="20"/>
              </w:rPr>
              <w:t xml:space="preserve">: </w:t>
            </w:r>
            <w:r w:rsidR="0015208B" w:rsidRPr="003744D9">
              <w:rPr>
                <w:rFonts w:cs="Arial"/>
                <w:i/>
                <w:color w:val="000000"/>
                <w:sz w:val="20"/>
                <w:szCs w:val="20"/>
              </w:rPr>
              <w:t>Staff training</w:t>
            </w:r>
          </w:p>
          <w:p w14:paraId="5BF342D6" w14:textId="1A9F5E5E" w:rsidR="00AA4ACC" w:rsidRDefault="006F2AA1" w:rsidP="0015208B">
            <w:pPr>
              <w:spacing w:after="0" w:line="240" w:lineRule="auto"/>
              <w:jc w:val="both"/>
              <w:rPr>
                <w:rFonts w:cs="Arial"/>
                <w:i/>
                <w:color w:val="000000"/>
                <w:sz w:val="20"/>
                <w:szCs w:val="20"/>
              </w:rPr>
            </w:pPr>
            <w:r w:rsidRPr="003744D9">
              <w:rPr>
                <w:rFonts w:cs="Arial"/>
                <w:b/>
                <w:i/>
                <w:color w:val="000000"/>
                <w:sz w:val="20"/>
                <w:szCs w:val="20"/>
              </w:rPr>
              <w:t>PAAR</w:t>
            </w:r>
            <w:r>
              <w:rPr>
                <w:rFonts w:cs="Arial"/>
                <w:b/>
                <w:i/>
                <w:color w:val="000000"/>
                <w:sz w:val="20"/>
                <w:szCs w:val="20"/>
              </w:rPr>
              <w:t xml:space="preserve">: </w:t>
            </w:r>
            <w:r w:rsidR="0015208B" w:rsidRPr="003744D9">
              <w:rPr>
                <w:rFonts w:cs="Arial"/>
                <w:i/>
                <w:color w:val="000000"/>
                <w:sz w:val="20"/>
                <w:szCs w:val="20"/>
              </w:rPr>
              <w:t>Training for staff in prisons</w:t>
            </w:r>
          </w:p>
          <w:p w14:paraId="2B52D397" w14:textId="77777777" w:rsidR="0015208B" w:rsidRPr="00F13BEF" w:rsidRDefault="0015208B" w:rsidP="00713B46">
            <w:pPr>
              <w:shd w:val="clear" w:color="auto" w:fill="C00000"/>
              <w:ind w:left="1418" w:hanging="1418"/>
              <w:contextualSpacing/>
              <w:rPr>
                <w:color w:val="FFFFFF" w:themeColor="background1"/>
                <w:sz w:val="20"/>
                <w:szCs w:val="20"/>
              </w:rPr>
            </w:pPr>
            <w:r w:rsidRPr="00F13BEF">
              <w:rPr>
                <w:b/>
                <w:color w:val="FFFFFF" w:themeColor="background1"/>
                <w:sz w:val="20"/>
                <w:szCs w:val="20"/>
              </w:rPr>
              <w:t>Improve testing strategies</w:t>
            </w:r>
            <w:r w:rsidRPr="00F13BEF">
              <w:rPr>
                <w:color w:val="FFFFFF" w:themeColor="background1"/>
                <w:sz w:val="20"/>
                <w:szCs w:val="20"/>
              </w:rPr>
              <w:t xml:space="preserve"> </w:t>
            </w:r>
            <w:r w:rsidRPr="00F13BEF">
              <w:rPr>
                <w:b/>
                <w:color w:val="FFFFFF" w:themeColor="background1"/>
                <w:sz w:val="20"/>
                <w:szCs w:val="20"/>
              </w:rPr>
              <w:t>to find the positives</w:t>
            </w:r>
          </w:p>
          <w:p w14:paraId="238C120A" w14:textId="77777777" w:rsidR="0015208B" w:rsidRDefault="0015208B" w:rsidP="0015208B">
            <w:pPr>
              <w:jc w:val="both"/>
              <w:rPr>
                <w:rFonts w:ascii="Times New Roman" w:hAnsi="Times New Roman"/>
              </w:rPr>
            </w:pPr>
            <w:r>
              <w:rPr>
                <w:color w:val="000000"/>
                <w:sz w:val="20"/>
                <w:szCs w:val="20"/>
              </w:rPr>
              <w:t xml:space="preserve">A </w:t>
            </w:r>
            <w:r w:rsidRPr="0003491F">
              <w:rPr>
                <w:color w:val="000000"/>
                <w:sz w:val="20"/>
                <w:szCs w:val="20"/>
              </w:rPr>
              <w:t>strategic mix of tailored HIV testing modalities and linkage to continuum of care lays the foundation of a much stronger strate</w:t>
            </w:r>
            <w:r>
              <w:rPr>
                <w:color w:val="000000"/>
                <w:sz w:val="20"/>
                <w:szCs w:val="20"/>
              </w:rPr>
              <w:t>gic focus testing in this funding request.  Differentiated testing for KPs: PWID, MSM, SWs, TG, people in detention, and their sexual partners will ensure testing scale-up and provider-initiated testing and counseling (PITC) will focus on priority populations</w:t>
            </w:r>
            <w:r w:rsidRPr="0003491F">
              <w:rPr>
                <w:color w:val="000000"/>
                <w:sz w:val="20"/>
                <w:szCs w:val="20"/>
              </w:rPr>
              <w:t xml:space="preserve"> </w:t>
            </w:r>
            <w:r>
              <w:rPr>
                <w:color w:val="000000"/>
                <w:sz w:val="20"/>
                <w:szCs w:val="20"/>
              </w:rPr>
              <w:t>to increase case identification. Dual HIV/syphilis tests will be used for all testing strategies. To overcome the o</w:t>
            </w:r>
            <w:r w:rsidRPr="004E55A3">
              <w:rPr>
                <w:color w:val="000000"/>
                <w:sz w:val="20"/>
                <w:szCs w:val="20"/>
              </w:rPr>
              <w:t xml:space="preserve">ver reliance of </w:t>
            </w:r>
            <w:r>
              <w:rPr>
                <w:color w:val="000000"/>
                <w:sz w:val="20"/>
                <w:szCs w:val="20"/>
              </w:rPr>
              <w:t xml:space="preserve">facility-based testing, </w:t>
            </w:r>
            <w:r w:rsidRPr="004E55A3">
              <w:rPr>
                <w:color w:val="000000"/>
                <w:sz w:val="20"/>
                <w:szCs w:val="20"/>
              </w:rPr>
              <w:t>more emphasis</w:t>
            </w:r>
            <w:r>
              <w:rPr>
                <w:color w:val="000000"/>
                <w:sz w:val="20"/>
                <w:szCs w:val="20"/>
              </w:rPr>
              <w:t xml:space="preserve"> will be on </w:t>
            </w:r>
            <w:r w:rsidRPr="004E55A3">
              <w:rPr>
                <w:color w:val="000000"/>
                <w:sz w:val="20"/>
                <w:szCs w:val="20"/>
              </w:rPr>
              <w:t>outreach</w:t>
            </w:r>
            <w:r>
              <w:rPr>
                <w:color w:val="000000"/>
                <w:sz w:val="20"/>
                <w:szCs w:val="20"/>
              </w:rPr>
              <w:t>-based testing i</w:t>
            </w:r>
            <w:r w:rsidRPr="004E55A3">
              <w:rPr>
                <w:color w:val="000000"/>
                <w:sz w:val="20"/>
                <w:szCs w:val="20"/>
              </w:rPr>
              <w:t xml:space="preserve">mproved access to HIV testing service to those in need:  mainly improve outreach, mobile testing and </w:t>
            </w:r>
            <w:r>
              <w:rPr>
                <w:color w:val="000000"/>
                <w:sz w:val="20"/>
                <w:szCs w:val="20"/>
              </w:rPr>
              <w:t xml:space="preserve">through </w:t>
            </w:r>
            <w:r w:rsidRPr="004E55A3">
              <w:rPr>
                <w:color w:val="000000"/>
                <w:sz w:val="20"/>
                <w:szCs w:val="20"/>
              </w:rPr>
              <w:t>pharmacies</w:t>
            </w:r>
            <w:r>
              <w:rPr>
                <w:color w:val="000000"/>
                <w:sz w:val="20"/>
                <w:szCs w:val="20"/>
              </w:rPr>
              <w:t>.</w:t>
            </w:r>
            <w:r>
              <w:t> </w:t>
            </w:r>
          </w:p>
          <w:p w14:paraId="4F9CC1DE" w14:textId="77777777" w:rsidR="0015208B" w:rsidRPr="00052930" w:rsidRDefault="0015208B" w:rsidP="0015208B">
            <w:pPr>
              <w:spacing w:after="0" w:line="240" w:lineRule="auto"/>
              <w:jc w:val="both"/>
              <w:rPr>
                <w:b/>
                <w:sz w:val="20"/>
                <w:szCs w:val="20"/>
              </w:rPr>
            </w:pPr>
            <w:r w:rsidRPr="00052930">
              <w:rPr>
                <w:b/>
                <w:sz w:val="20"/>
                <w:szCs w:val="20"/>
              </w:rPr>
              <w:t>For key populations</w:t>
            </w:r>
            <w:r>
              <w:rPr>
                <w:b/>
                <w:sz w:val="20"/>
                <w:szCs w:val="20"/>
              </w:rPr>
              <w:t>:</w:t>
            </w:r>
          </w:p>
          <w:p w14:paraId="4BC634A2" w14:textId="77777777" w:rsidR="0015208B" w:rsidRDefault="0015208B" w:rsidP="0015208B">
            <w:pPr>
              <w:spacing w:after="0" w:line="240" w:lineRule="auto"/>
              <w:jc w:val="both"/>
              <w:rPr>
                <w:sz w:val="20"/>
                <w:szCs w:val="20"/>
              </w:rPr>
            </w:pPr>
            <w:r>
              <w:rPr>
                <w:sz w:val="20"/>
                <w:szCs w:val="20"/>
              </w:rPr>
              <w:t>Community-based approaches will be predominant, but facility-based is also possible.</w:t>
            </w:r>
          </w:p>
          <w:p w14:paraId="0DDDF7E2" w14:textId="77777777" w:rsidR="0015208B" w:rsidRDefault="0015208B" w:rsidP="00F42E40">
            <w:pPr>
              <w:pStyle w:val="ListParagraph"/>
              <w:numPr>
                <w:ilvl w:val="0"/>
                <w:numId w:val="30"/>
              </w:numPr>
              <w:suppressAutoHyphens/>
              <w:autoSpaceDN w:val="0"/>
              <w:spacing w:after="0" w:line="240" w:lineRule="auto"/>
              <w:textAlignment w:val="baseline"/>
              <w:rPr>
                <w:color w:val="000000"/>
                <w:sz w:val="20"/>
                <w:szCs w:val="20"/>
              </w:rPr>
            </w:pPr>
            <w:r w:rsidRPr="002A5DA5">
              <w:rPr>
                <w:color w:val="000000"/>
                <w:sz w:val="20"/>
                <w:szCs w:val="20"/>
              </w:rPr>
              <w:t>Community Based Screening</w:t>
            </w:r>
            <w:r>
              <w:rPr>
                <w:color w:val="000000"/>
                <w:sz w:val="20"/>
                <w:szCs w:val="20"/>
              </w:rPr>
              <w:t xml:space="preserve"> - provider initiated by CSO provider </w:t>
            </w:r>
          </w:p>
          <w:p w14:paraId="177B4217" w14:textId="1D1A0552" w:rsidR="0015208B" w:rsidRPr="00BF3FDF" w:rsidRDefault="0015208B" w:rsidP="00F42E40">
            <w:pPr>
              <w:pStyle w:val="ListParagraph"/>
              <w:numPr>
                <w:ilvl w:val="0"/>
                <w:numId w:val="30"/>
              </w:numPr>
              <w:spacing w:after="0" w:line="240" w:lineRule="auto"/>
              <w:rPr>
                <w:rFonts w:cs="Arial"/>
                <w:color w:val="000000"/>
                <w:sz w:val="20"/>
                <w:szCs w:val="20"/>
              </w:rPr>
            </w:pPr>
            <w:r>
              <w:rPr>
                <w:color w:val="000000"/>
                <w:sz w:val="20"/>
                <w:szCs w:val="20"/>
              </w:rPr>
              <w:t>Index</w:t>
            </w:r>
            <w:r w:rsidRPr="00052930">
              <w:rPr>
                <w:color w:val="000000"/>
                <w:sz w:val="20"/>
                <w:szCs w:val="20"/>
              </w:rPr>
              <w:t xml:space="preserve"> testing</w:t>
            </w:r>
            <w:r>
              <w:rPr>
                <w:color w:val="000000"/>
                <w:sz w:val="20"/>
                <w:szCs w:val="20"/>
              </w:rPr>
              <w:t xml:space="preserve"> will be </w:t>
            </w:r>
            <w:r w:rsidR="003744D9">
              <w:rPr>
                <w:color w:val="000000"/>
                <w:sz w:val="20"/>
                <w:szCs w:val="20"/>
              </w:rPr>
              <w:t>introduced</w:t>
            </w:r>
            <w:r>
              <w:rPr>
                <w:color w:val="000000"/>
                <w:sz w:val="20"/>
                <w:szCs w:val="20"/>
              </w:rPr>
              <w:t xml:space="preserve"> with focus on protection of confidentiality and after informed consent </w:t>
            </w:r>
            <w:r w:rsidRPr="00BF3FDF">
              <w:rPr>
                <w:rFonts w:cs="Arial"/>
                <w:color w:val="000000"/>
                <w:sz w:val="20"/>
                <w:szCs w:val="20"/>
              </w:rPr>
              <w:t>(</w:t>
            </w:r>
            <w:r>
              <w:rPr>
                <w:rFonts w:cs="Arial"/>
                <w:color w:val="000000"/>
                <w:sz w:val="20"/>
                <w:szCs w:val="20"/>
              </w:rPr>
              <w:t xml:space="preserve">incentive to CSO provider </w:t>
            </w:r>
            <w:r w:rsidRPr="00BF3FDF">
              <w:rPr>
                <w:rFonts w:cs="Arial"/>
                <w:color w:val="000000"/>
                <w:sz w:val="20"/>
                <w:szCs w:val="20"/>
              </w:rPr>
              <w:t xml:space="preserve">EUR 50/case HIV </w:t>
            </w:r>
            <w:r>
              <w:rPr>
                <w:rFonts w:cs="Arial"/>
                <w:color w:val="000000"/>
                <w:sz w:val="20"/>
                <w:szCs w:val="20"/>
              </w:rPr>
              <w:t xml:space="preserve">new </w:t>
            </w:r>
            <w:r w:rsidRPr="00BF3FDF">
              <w:rPr>
                <w:rFonts w:cs="Arial"/>
                <w:color w:val="000000"/>
                <w:sz w:val="20"/>
                <w:szCs w:val="20"/>
              </w:rPr>
              <w:t xml:space="preserve">diagnosed and EUR 10 for Syphilis </w:t>
            </w:r>
            <w:r>
              <w:rPr>
                <w:rFonts w:cs="Arial"/>
                <w:color w:val="000000"/>
                <w:sz w:val="20"/>
                <w:szCs w:val="20"/>
              </w:rPr>
              <w:t xml:space="preserve">new </w:t>
            </w:r>
            <w:r w:rsidRPr="00BF3FDF">
              <w:rPr>
                <w:rFonts w:cs="Arial"/>
                <w:color w:val="000000"/>
                <w:sz w:val="20"/>
                <w:szCs w:val="20"/>
              </w:rPr>
              <w:t>diagnosed)</w:t>
            </w:r>
          </w:p>
          <w:p w14:paraId="6EA32D8A" w14:textId="77777777" w:rsidR="0015208B" w:rsidRDefault="0015208B" w:rsidP="00F42E40">
            <w:pPr>
              <w:pStyle w:val="ListParagraph"/>
              <w:numPr>
                <w:ilvl w:val="0"/>
                <w:numId w:val="30"/>
              </w:numPr>
              <w:suppressAutoHyphens/>
              <w:autoSpaceDN w:val="0"/>
              <w:spacing w:after="0" w:line="240" w:lineRule="auto"/>
              <w:textAlignment w:val="baseline"/>
              <w:rPr>
                <w:color w:val="000000"/>
                <w:sz w:val="20"/>
                <w:szCs w:val="20"/>
              </w:rPr>
            </w:pPr>
            <w:r>
              <w:rPr>
                <w:color w:val="000000"/>
                <w:sz w:val="20"/>
                <w:szCs w:val="20"/>
              </w:rPr>
              <w:t>Network-based testing for MSM</w:t>
            </w:r>
          </w:p>
          <w:p w14:paraId="05170863" w14:textId="77777777" w:rsidR="0015208B" w:rsidRPr="00052930" w:rsidRDefault="0015208B" w:rsidP="00F42E40">
            <w:pPr>
              <w:pStyle w:val="ListParagraph"/>
              <w:numPr>
                <w:ilvl w:val="0"/>
                <w:numId w:val="30"/>
              </w:numPr>
              <w:suppressAutoHyphens/>
              <w:autoSpaceDN w:val="0"/>
              <w:spacing w:after="0" w:line="240" w:lineRule="auto"/>
              <w:textAlignment w:val="baseline"/>
              <w:rPr>
                <w:rFonts w:cs="Arial"/>
                <w:sz w:val="20"/>
                <w:szCs w:val="20"/>
              </w:rPr>
            </w:pPr>
            <w:r w:rsidRPr="00052930">
              <w:rPr>
                <w:rFonts w:cs="Arial"/>
                <w:sz w:val="20"/>
                <w:szCs w:val="20"/>
              </w:rPr>
              <w:t xml:space="preserve">Self-testing: </w:t>
            </w:r>
            <w:r>
              <w:rPr>
                <w:rFonts w:cs="Arial"/>
                <w:sz w:val="20"/>
                <w:szCs w:val="20"/>
              </w:rPr>
              <w:t xml:space="preserve">all key populations using oral tests through </w:t>
            </w:r>
            <w:r w:rsidRPr="002C4C1A">
              <w:rPr>
                <w:rFonts w:cs="Arial"/>
                <w:sz w:val="20"/>
                <w:szCs w:val="20"/>
              </w:rPr>
              <w:t>improved outreach, mobile and pharmacies</w:t>
            </w:r>
          </w:p>
          <w:p w14:paraId="5FA97E2D" w14:textId="77777777" w:rsidR="0015208B" w:rsidRDefault="0015208B" w:rsidP="0015208B">
            <w:pPr>
              <w:suppressAutoHyphens/>
              <w:autoSpaceDN w:val="0"/>
              <w:spacing w:after="0" w:line="240" w:lineRule="auto"/>
              <w:textAlignment w:val="baseline"/>
              <w:rPr>
                <w:rFonts w:cs="Arial"/>
                <w:b/>
                <w:sz w:val="20"/>
                <w:szCs w:val="20"/>
              </w:rPr>
            </w:pPr>
          </w:p>
          <w:p w14:paraId="045A77BE" w14:textId="77777777" w:rsidR="0015208B" w:rsidRPr="007A2E22" w:rsidRDefault="0015208B" w:rsidP="0015208B">
            <w:pPr>
              <w:suppressAutoHyphens/>
              <w:autoSpaceDN w:val="0"/>
              <w:spacing w:after="0" w:line="240" w:lineRule="auto"/>
              <w:textAlignment w:val="baseline"/>
              <w:rPr>
                <w:rFonts w:cs="Arial"/>
                <w:b/>
                <w:sz w:val="20"/>
                <w:szCs w:val="20"/>
              </w:rPr>
            </w:pPr>
            <w:r w:rsidRPr="007A2E22">
              <w:rPr>
                <w:rFonts w:cs="Arial"/>
                <w:b/>
                <w:sz w:val="20"/>
                <w:szCs w:val="20"/>
              </w:rPr>
              <w:t xml:space="preserve">For other groups: </w:t>
            </w:r>
          </w:p>
          <w:p w14:paraId="1DB05D03" w14:textId="77777777" w:rsidR="0015208B" w:rsidRPr="00BF3FDF" w:rsidRDefault="0015208B" w:rsidP="00F42E40">
            <w:pPr>
              <w:pStyle w:val="ListParagraph"/>
              <w:numPr>
                <w:ilvl w:val="0"/>
                <w:numId w:val="30"/>
              </w:numPr>
              <w:spacing w:after="0" w:line="240" w:lineRule="auto"/>
              <w:rPr>
                <w:rFonts w:cs="Arial"/>
                <w:color w:val="000000"/>
                <w:sz w:val="20"/>
                <w:szCs w:val="20"/>
              </w:rPr>
            </w:pPr>
            <w:r w:rsidRPr="00BF3FDF">
              <w:rPr>
                <w:rFonts w:cs="Arial"/>
                <w:color w:val="000000"/>
                <w:sz w:val="20"/>
                <w:szCs w:val="20"/>
              </w:rPr>
              <w:t>Index testing with focus on protection of confidentiality and after informed consent through incentives to health staff (EUR 50/case HIV diagnosed and EUR 10 for Syphilis case detected)</w:t>
            </w:r>
          </w:p>
          <w:p w14:paraId="11ECFD48" w14:textId="6EDFB64C" w:rsidR="0015208B" w:rsidRPr="00BF3FDF" w:rsidRDefault="003744D9" w:rsidP="00F42E40">
            <w:pPr>
              <w:pStyle w:val="ListParagraph"/>
              <w:numPr>
                <w:ilvl w:val="0"/>
                <w:numId w:val="30"/>
              </w:numPr>
              <w:suppressAutoHyphens/>
              <w:autoSpaceDN w:val="0"/>
              <w:spacing w:after="0" w:line="240" w:lineRule="auto"/>
              <w:textAlignment w:val="baseline"/>
              <w:rPr>
                <w:color w:val="000000"/>
                <w:sz w:val="20"/>
                <w:szCs w:val="20"/>
              </w:rPr>
            </w:pPr>
            <w:r>
              <w:rPr>
                <w:sz w:val="20"/>
                <w:szCs w:val="20"/>
              </w:rPr>
              <w:t>Implementing</w:t>
            </w:r>
            <w:r w:rsidR="0015208B">
              <w:rPr>
                <w:sz w:val="20"/>
                <w:szCs w:val="20"/>
              </w:rPr>
              <w:t xml:space="preserve"> the model of multidisciplinary teams with community nurses to increase access to testing (</w:t>
            </w:r>
          </w:p>
          <w:p w14:paraId="4BBD67AE" w14:textId="77777777" w:rsidR="0015208B" w:rsidRPr="00052930" w:rsidRDefault="0015208B" w:rsidP="00F42E40">
            <w:pPr>
              <w:pStyle w:val="ListParagraph"/>
              <w:numPr>
                <w:ilvl w:val="0"/>
                <w:numId w:val="30"/>
              </w:numPr>
              <w:suppressAutoHyphens/>
              <w:autoSpaceDN w:val="0"/>
              <w:spacing w:after="0" w:line="240" w:lineRule="auto"/>
              <w:textAlignment w:val="baseline"/>
              <w:rPr>
                <w:color w:val="000000"/>
                <w:sz w:val="20"/>
                <w:szCs w:val="20"/>
              </w:rPr>
            </w:pPr>
            <w:r w:rsidRPr="00052930">
              <w:rPr>
                <w:color w:val="000000"/>
                <w:sz w:val="20"/>
                <w:szCs w:val="20"/>
              </w:rPr>
              <w:t>Provider initiated testing (facility-based) based on AIDS indicating diseases and key groups where yield is &gt;1%</w:t>
            </w:r>
          </w:p>
          <w:p w14:paraId="3C3F64B7" w14:textId="77777777" w:rsidR="0015208B" w:rsidRPr="00052930" w:rsidRDefault="0015208B" w:rsidP="00F42E40">
            <w:pPr>
              <w:pStyle w:val="ListParagraph"/>
              <w:numPr>
                <w:ilvl w:val="0"/>
                <w:numId w:val="30"/>
              </w:numPr>
              <w:suppressAutoHyphens/>
              <w:autoSpaceDN w:val="0"/>
              <w:spacing w:after="0" w:line="240" w:lineRule="auto"/>
              <w:textAlignment w:val="baseline"/>
              <w:rPr>
                <w:color w:val="000000"/>
                <w:sz w:val="20"/>
                <w:szCs w:val="20"/>
              </w:rPr>
            </w:pPr>
            <w:r w:rsidRPr="00052930">
              <w:rPr>
                <w:color w:val="000000"/>
                <w:sz w:val="20"/>
                <w:szCs w:val="20"/>
              </w:rPr>
              <w:t>Self-testing through pharmacies</w:t>
            </w:r>
          </w:p>
          <w:p w14:paraId="67078689" w14:textId="77777777" w:rsidR="0015208B" w:rsidRDefault="0015208B" w:rsidP="0015208B">
            <w:pPr>
              <w:spacing w:after="0" w:line="240" w:lineRule="auto"/>
              <w:rPr>
                <w:color w:val="000000"/>
                <w:sz w:val="20"/>
                <w:szCs w:val="20"/>
              </w:rPr>
            </w:pPr>
          </w:p>
          <w:p w14:paraId="26C12F9B" w14:textId="77777777" w:rsidR="0015208B" w:rsidRDefault="0015208B" w:rsidP="0015208B">
            <w:pPr>
              <w:spacing w:after="0" w:line="240" w:lineRule="auto"/>
              <w:rPr>
                <w:rFonts w:cs="Arial"/>
                <w:sz w:val="20"/>
              </w:rPr>
            </w:pPr>
            <w:r w:rsidRPr="009D4806">
              <w:rPr>
                <w:color w:val="000000"/>
                <w:sz w:val="20"/>
                <w:szCs w:val="20"/>
              </w:rPr>
              <w:t>The funding request will</w:t>
            </w:r>
            <w:r>
              <w:rPr>
                <w:color w:val="000000"/>
                <w:sz w:val="20"/>
                <w:szCs w:val="20"/>
              </w:rPr>
              <w:t xml:space="preserve"> focus on e</w:t>
            </w:r>
            <w:r w:rsidRPr="0039496D">
              <w:rPr>
                <w:rFonts w:cs="Arial"/>
                <w:sz w:val="20"/>
              </w:rPr>
              <w:t>arly</w:t>
            </w:r>
            <w:r>
              <w:rPr>
                <w:rFonts w:cs="Arial"/>
                <w:sz w:val="20"/>
              </w:rPr>
              <w:t xml:space="preserve"> case finding and </w:t>
            </w:r>
            <w:r w:rsidRPr="0039496D">
              <w:rPr>
                <w:rFonts w:cs="Arial"/>
                <w:sz w:val="20"/>
              </w:rPr>
              <w:t xml:space="preserve">HIV </w:t>
            </w:r>
            <w:r>
              <w:rPr>
                <w:rFonts w:cs="Arial"/>
                <w:sz w:val="20"/>
              </w:rPr>
              <w:t>t</w:t>
            </w:r>
            <w:r w:rsidRPr="0039496D">
              <w:rPr>
                <w:rFonts w:cs="Arial"/>
                <w:sz w:val="20"/>
              </w:rPr>
              <w:t>esting quality assurance</w:t>
            </w:r>
            <w:r>
              <w:rPr>
                <w:rFonts w:cs="Arial"/>
                <w:sz w:val="20"/>
              </w:rPr>
              <w:t xml:space="preserve">. Government covers the costs of RDT test procurement for general population and key populations for the Right Bank. </w:t>
            </w:r>
            <w:r>
              <w:rPr>
                <w:sz w:val="20"/>
                <w:szCs w:val="20"/>
              </w:rPr>
              <w:t>The service package for key populations includes the testing service described above</w:t>
            </w:r>
            <w:r>
              <w:rPr>
                <w:rFonts w:cs="Arial"/>
                <w:sz w:val="20"/>
              </w:rPr>
              <w:t>. The funding request includes in this intervention:</w:t>
            </w:r>
          </w:p>
          <w:p w14:paraId="5C4C0E1F" w14:textId="77777777" w:rsidR="0015208B" w:rsidRPr="007A2E22" w:rsidRDefault="0015208B" w:rsidP="00F42E40">
            <w:pPr>
              <w:pStyle w:val="ListParagraph"/>
              <w:numPr>
                <w:ilvl w:val="0"/>
                <w:numId w:val="30"/>
              </w:numPr>
              <w:spacing w:after="0" w:line="240" w:lineRule="auto"/>
              <w:rPr>
                <w:rFonts w:cs="Arial"/>
                <w:b/>
                <w:color w:val="000000"/>
                <w:sz w:val="20"/>
                <w:szCs w:val="20"/>
              </w:rPr>
            </w:pPr>
            <w:r w:rsidRPr="002C4C1A">
              <w:rPr>
                <w:sz w:val="20"/>
                <w:szCs w:val="20"/>
              </w:rPr>
              <w:t>Situation assessment and revision</w:t>
            </w:r>
            <w:r>
              <w:rPr>
                <w:color w:val="000000"/>
                <w:sz w:val="20"/>
                <w:szCs w:val="20"/>
              </w:rPr>
              <w:t xml:space="preserve"> </w:t>
            </w:r>
            <w:r w:rsidRPr="00DD3417">
              <w:rPr>
                <w:rFonts w:cs="Arial"/>
                <w:color w:val="000000"/>
                <w:sz w:val="20"/>
                <w:szCs w:val="20"/>
              </w:rPr>
              <w:t>of National Testing Guide</w:t>
            </w:r>
            <w:r>
              <w:rPr>
                <w:rFonts w:cs="Arial"/>
                <w:color w:val="000000"/>
                <w:sz w:val="20"/>
                <w:szCs w:val="20"/>
              </w:rPr>
              <w:t>lines: international and national TA to develop the differentiated testing strategy</w:t>
            </w:r>
          </w:p>
          <w:p w14:paraId="6CC699AB" w14:textId="77777777" w:rsidR="0015208B" w:rsidRPr="002C4C1A" w:rsidRDefault="0015208B" w:rsidP="00F42E40">
            <w:pPr>
              <w:pStyle w:val="ListParagraph"/>
              <w:numPr>
                <w:ilvl w:val="0"/>
                <w:numId w:val="30"/>
              </w:numPr>
              <w:spacing w:after="0" w:line="240" w:lineRule="auto"/>
              <w:rPr>
                <w:rFonts w:cs="Arial"/>
                <w:color w:val="000000"/>
                <w:sz w:val="20"/>
                <w:szCs w:val="20"/>
              </w:rPr>
            </w:pPr>
            <w:r w:rsidRPr="002C4C1A">
              <w:rPr>
                <w:rFonts w:cs="Arial"/>
                <w:color w:val="000000"/>
                <w:sz w:val="20"/>
                <w:szCs w:val="20"/>
              </w:rPr>
              <w:t xml:space="preserve">Procurement of RDTs for differentiated testing for key populations </w:t>
            </w:r>
          </w:p>
          <w:p w14:paraId="1A02303B" w14:textId="77777777" w:rsidR="0015208B" w:rsidRDefault="0015208B" w:rsidP="00F42E40">
            <w:pPr>
              <w:pStyle w:val="ListParagraph"/>
              <w:numPr>
                <w:ilvl w:val="0"/>
                <w:numId w:val="30"/>
              </w:numPr>
              <w:spacing w:after="0" w:line="240" w:lineRule="auto"/>
              <w:rPr>
                <w:rFonts w:cs="Arial"/>
                <w:color w:val="000000"/>
                <w:sz w:val="20"/>
                <w:szCs w:val="20"/>
              </w:rPr>
            </w:pPr>
            <w:r w:rsidRPr="00DD3417">
              <w:rPr>
                <w:rFonts w:cs="Arial"/>
                <w:color w:val="000000"/>
                <w:sz w:val="20"/>
                <w:szCs w:val="20"/>
              </w:rPr>
              <w:t xml:space="preserve">Implementation and uptake of HIV self-testing in </w:t>
            </w:r>
            <w:r>
              <w:rPr>
                <w:rFonts w:cs="Arial"/>
                <w:color w:val="000000"/>
                <w:sz w:val="20"/>
                <w:szCs w:val="20"/>
              </w:rPr>
              <w:t>g</w:t>
            </w:r>
            <w:r w:rsidRPr="00DD3417">
              <w:rPr>
                <w:rFonts w:cs="Arial"/>
                <w:color w:val="000000"/>
                <w:sz w:val="20"/>
                <w:szCs w:val="20"/>
              </w:rPr>
              <w:t xml:space="preserve">eneral </w:t>
            </w:r>
            <w:r>
              <w:rPr>
                <w:rFonts w:cs="Arial"/>
                <w:color w:val="000000"/>
                <w:sz w:val="20"/>
                <w:szCs w:val="20"/>
              </w:rPr>
              <w:t>p</w:t>
            </w:r>
            <w:r w:rsidRPr="00DD3417">
              <w:rPr>
                <w:rFonts w:cs="Arial"/>
                <w:color w:val="000000"/>
                <w:sz w:val="20"/>
                <w:szCs w:val="20"/>
              </w:rPr>
              <w:t>opulation</w:t>
            </w:r>
            <w:r>
              <w:rPr>
                <w:rFonts w:cs="Arial"/>
                <w:color w:val="000000"/>
                <w:sz w:val="20"/>
                <w:szCs w:val="20"/>
              </w:rPr>
              <w:t xml:space="preserve"> </w:t>
            </w:r>
          </w:p>
          <w:p w14:paraId="61010BB1" w14:textId="77777777" w:rsidR="0015208B" w:rsidRPr="008837C2" w:rsidRDefault="0015208B" w:rsidP="00F42E40">
            <w:pPr>
              <w:pStyle w:val="ListParagraph"/>
              <w:numPr>
                <w:ilvl w:val="0"/>
                <w:numId w:val="30"/>
              </w:numPr>
              <w:spacing w:after="0" w:line="240" w:lineRule="auto"/>
              <w:rPr>
                <w:rFonts w:cs="Arial"/>
                <w:color w:val="000000"/>
                <w:sz w:val="20"/>
                <w:szCs w:val="20"/>
              </w:rPr>
            </w:pPr>
            <w:r>
              <w:rPr>
                <w:rFonts w:cs="Arial"/>
                <w:color w:val="000000"/>
                <w:sz w:val="20"/>
                <w:szCs w:val="20"/>
              </w:rPr>
              <w:t>I</w:t>
            </w:r>
            <w:r w:rsidRPr="00DD3417">
              <w:rPr>
                <w:rFonts w:cs="Arial"/>
                <w:color w:val="000000"/>
                <w:sz w:val="20"/>
                <w:szCs w:val="20"/>
              </w:rPr>
              <w:t xml:space="preserve">ndex testing </w:t>
            </w:r>
            <w:r>
              <w:rPr>
                <w:rFonts w:cs="Arial"/>
                <w:color w:val="000000"/>
                <w:sz w:val="20"/>
                <w:szCs w:val="20"/>
              </w:rPr>
              <w:t xml:space="preserve">and PHC involvement: </w:t>
            </w:r>
            <w:r w:rsidRPr="002C4C1A">
              <w:rPr>
                <w:rFonts w:cs="Arial"/>
                <w:color w:val="000000"/>
                <w:sz w:val="20"/>
                <w:szCs w:val="20"/>
              </w:rPr>
              <w:t>incentives to PHC staff (EUR 50/case HIV diagnosed)</w:t>
            </w:r>
          </w:p>
          <w:p w14:paraId="7932DE72" w14:textId="35FA3BA7" w:rsidR="00D26A7A" w:rsidRDefault="0015208B" w:rsidP="00D26A7A">
            <w:pPr>
              <w:rPr>
                <w:i/>
                <w:color w:val="000000"/>
                <w:sz w:val="20"/>
                <w:szCs w:val="20"/>
              </w:rPr>
            </w:pPr>
            <w:r w:rsidRPr="006F2AA1">
              <w:rPr>
                <w:b/>
                <w:i/>
                <w:color w:val="000000"/>
                <w:sz w:val="20"/>
                <w:szCs w:val="20"/>
              </w:rPr>
              <w:t>PAAR: international TA to a</w:t>
            </w:r>
            <w:r w:rsidR="006F2AA1">
              <w:rPr>
                <w:b/>
                <w:i/>
                <w:color w:val="000000"/>
                <w:sz w:val="20"/>
                <w:szCs w:val="20"/>
              </w:rPr>
              <w:t>ssess and assist in designing testing strategy and cascade improvement</w:t>
            </w:r>
            <w:r w:rsidRPr="006F2AA1">
              <w:rPr>
                <w:b/>
                <w:i/>
                <w:color w:val="000000"/>
                <w:sz w:val="20"/>
                <w:szCs w:val="20"/>
              </w:rPr>
              <w:t xml:space="preserve"> approaches</w:t>
            </w:r>
            <w:r w:rsidRPr="002A5DA5">
              <w:rPr>
                <w:i/>
                <w:color w:val="000000"/>
                <w:sz w:val="20"/>
                <w:szCs w:val="20"/>
              </w:rPr>
              <w:t xml:space="preserve"> to provide an independent view review the HIV testing approaches and testing yields and cost-effectiveness to help support further prioritization of testing strategy towards highest impact.</w:t>
            </w:r>
          </w:p>
          <w:p w14:paraId="5BCF4D08" w14:textId="77777777" w:rsidR="00D26A7A" w:rsidRPr="00D26A7A" w:rsidRDefault="00D26A7A" w:rsidP="00D26A7A">
            <w:pPr>
              <w:rPr>
                <w:i/>
                <w:color w:val="000000"/>
                <w:sz w:val="20"/>
                <w:szCs w:val="20"/>
              </w:rPr>
            </w:pPr>
          </w:p>
          <w:p w14:paraId="1C095793" w14:textId="46CD15DB" w:rsidR="0015208B" w:rsidRPr="00F13BEF" w:rsidRDefault="0015208B" w:rsidP="00713B46">
            <w:pPr>
              <w:shd w:val="clear" w:color="auto" w:fill="C00000"/>
              <w:ind w:left="1418" w:hanging="1418"/>
              <w:contextualSpacing/>
              <w:rPr>
                <w:color w:val="FFFFFF" w:themeColor="background1"/>
                <w:sz w:val="20"/>
                <w:szCs w:val="20"/>
              </w:rPr>
            </w:pPr>
            <w:r w:rsidRPr="00F13BEF">
              <w:rPr>
                <w:b/>
                <w:color w:val="FFFFFF" w:themeColor="background1"/>
                <w:sz w:val="20"/>
                <w:szCs w:val="20"/>
              </w:rPr>
              <w:t xml:space="preserve">Improve treatment cascade and increase treatment coverage </w:t>
            </w:r>
          </w:p>
          <w:p w14:paraId="2D7166F7" w14:textId="77777777" w:rsidR="0015208B" w:rsidRDefault="0015208B" w:rsidP="00AB3105">
            <w:pPr>
              <w:spacing w:after="0"/>
              <w:jc w:val="both"/>
              <w:rPr>
                <w:sz w:val="20"/>
                <w:szCs w:val="20"/>
              </w:rPr>
            </w:pPr>
            <w:r>
              <w:rPr>
                <w:rFonts w:eastAsia="SimSun" w:cs="Arial"/>
                <w:sz w:val="20"/>
                <w:lang w:eastAsia="zh-CN"/>
              </w:rPr>
              <w:t xml:space="preserve">Moldova has made </w:t>
            </w:r>
            <w:r w:rsidRPr="005729BB">
              <w:rPr>
                <w:sz w:val="20"/>
                <w:szCs w:val="20"/>
              </w:rPr>
              <w:t>progress in ART scale-up</w:t>
            </w:r>
            <w:r>
              <w:rPr>
                <w:sz w:val="20"/>
                <w:szCs w:val="20"/>
              </w:rPr>
              <w:t>, adopted test and treat and</w:t>
            </w:r>
            <w:r w:rsidRPr="005729BB">
              <w:rPr>
                <w:sz w:val="20"/>
                <w:szCs w:val="20"/>
              </w:rPr>
              <w:t xml:space="preserve"> intensified efforts to </w:t>
            </w:r>
            <w:r>
              <w:rPr>
                <w:sz w:val="20"/>
                <w:szCs w:val="20"/>
              </w:rPr>
              <w:t>enroll people on treatment and achieve higher results for vi</w:t>
            </w:r>
            <w:r w:rsidRPr="005729BB">
              <w:rPr>
                <w:sz w:val="20"/>
                <w:szCs w:val="20"/>
              </w:rPr>
              <w:t>ral suppression</w:t>
            </w:r>
            <w:r>
              <w:rPr>
                <w:sz w:val="20"/>
                <w:szCs w:val="20"/>
              </w:rPr>
              <w:t xml:space="preserve">. The Government provides ensures universal health coverage for health services (inpatient and outpatient) to PLHIV. In line with commitments made as part of sustainability and transition plan, Moldova will fully take over the costs of ARV procurement in the next national strategic program, including for Left Bank. </w:t>
            </w:r>
            <w:r w:rsidRPr="00C714D6">
              <w:rPr>
                <w:rFonts w:cs="Arial"/>
                <w:color w:val="000000"/>
                <w:sz w:val="20"/>
                <w:szCs w:val="20"/>
              </w:rPr>
              <w:t>Differentiated service delivery models (DSDM) will be enhanced to deliver quality services, enhance retention and viral suppression</w:t>
            </w:r>
            <w:r>
              <w:rPr>
                <w:rFonts w:cs="Arial"/>
                <w:color w:val="000000"/>
                <w:sz w:val="20"/>
                <w:szCs w:val="20"/>
              </w:rPr>
              <w:t xml:space="preserve"> will be the main focus.</w:t>
            </w:r>
          </w:p>
          <w:p w14:paraId="7287CCEC" w14:textId="77777777" w:rsidR="0015208B" w:rsidRDefault="0015208B" w:rsidP="0015208B">
            <w:pPr>
              <w:spacing w:after="0"/>
              <w:rPr>
                <w:sz w:val="20"/>
                <w:szCs w:val="20"/>
              </w:rPr>
            </w:pPr>
          </w:p>
          <w:p w14:paraId="5ECD669B" w14:textId="77777777" w:rsidR="0015208B" w:rsidRDefault="0015208B" w:rsidP="0015208B">
            <w:pPr>
              <w:spacing w:after="0"/>
              <w:jc w:val="both"/>
              <w:rPr>
                <w:sz w:val="20"/>
                <w:szCs w:val="20"/>
              </w:rPr>
            </w:pPr>
            <w:r>
              <w:rPr>
                <w:sz w:val="20"/>
                <w:szCs w:val="20"/>
              </w:rPr>
              <w:t>Prioritized Interventions include the following activities and approaches:</w:t>
            </w:r>
          </w:p>
          <w:p w14:paraId="08E61F4E" w14:textId="77777777" w:rsidR="0015208B" w:rsidRDefault="0015208B" w:rsidP="0015208B">
            <w:pPr>
              <w:spacing w:after="0"/>
              <w:jc w:val="both"/>
              <w:rPr>
                <w:sz w:val="20"/>
                <w:szCs w:val="20"/>
              </w:rPr>
            </w:pPr>
          </w:p>
          <w:p w14:paraId="7F4BA263" w14:textId="77777777" w:rsidR="0015208B" w:rsidRDefault="0015208B" w:rsidP="0015208B">
            <w:pPr>
              <w:spacing w:after="0" w:line="240" w:lineRule="auto"/>
              <w:rPr>
                <w:sz w:val="20"/>
                <w:szCs w:val="20"/>
              </w:rPr>
            </w:pPr>
            <w:r w:rsidRPr="00D55E35">
              <w:rPr>
                <w:rFonts w:cs="Arial"/>
                <w:b/>
                <w:color w:val="000000"/>
                <w:sz w:val="20"/>
                <w:szCs w:val="20"/>
              </w:rPr>
              <w:t>Improve the cascade reduce leakage and develop sustainable systems for early treatment initiation</w:t>
            </w:r>
            <w:r>
              <w:rPr>
                <w:rFonts w:cs="Arial"/>
                <w:b/>
                <w:color w:val="000000"/>
                <w:sz w:val="20"/>
                <w:szCs w:val="20"/>
              </w:rPr>
              <w:t xml:space="preserve">: </w:t>
            </w:r>
            <w:r w:rsidRPr="004E55A3">
              <w:rPr>
                <w:sz w:val="20"/>
                <w:szCs w:val="20"/>
              </w:rPr>
              <w:t>t</w:t>
            </w:r>
            <w:r>
              <w:rPr>
                <w:sz w:val="20"/>
                <w:szCs w:val="20"/>
              </w:rPr>
              <w:t>he funding request prioritizes improvement of treatment cascade and therefore the funding request proposes a number of strategies to support:</w:t>
            </w:r>
          </w:p>
          <w:p w14:paraId="13A1B2DE" w14:textId="77777777" w:rsidR="0015208B" w:rsidRDefault="0015208B" w:rsidP="0015208B">
            <w:pPr>
              <w:spacing w:after="0" w:line="240" w:lineRule="auto"/>
              <w:rPr>
                <w:sz w:val="20"/>
                <w:szCs w:val="20"/>
              </w:rPr>
            </w:pPr>
          </w:p>
          <w:p w14:paraId="3D57AEB6" w14:textId="77777777" w:rsidR="0015208B" w:rsidRPr="0028282D" w:rsidRDefault="0015208B" w:rsidP="00F42E40">
            <w:pPr>
              <w:pStyle w:val="ListParagraph"/>
              <w:numPr>
                <w:ilvl w:val="0"/>
                <w:numId w:val="31"/>
              </w:numPr>
              <w:spacing w:after="0"/>
              <w:jc w:val="both"/>
              <w:rPr>
                <w:sz w:val="20"/>
                <w:szCs w:val="20"/>
              </w:rPr>
            </w:pPr>
            <w:r w:rsidRPr="0028282D">
              <w:rPr>
                <w:sz w:val="20"/>
                <w:szCs w:val="20"/>
              </w:rPr>
              <w:t>A well-defined differentiated model of care that decreases leakages and ensure sustainability: (international and national TA)</w:t>
            </w:r>
          </w:p>
          <w:p w14:paraId="67D66191" w14:textId="77777777" w:rsidR="0015208B" w:rsidRPr="0028282D" w:rsidRDefault="0015208B" w:rsidP="0015208B">
            <w:pPr>
              <w:pStyle w:val="ListParagraph"/>
              <w:spacing w:after="0"/>
              <w:jc w:val="both"/>
              <w:rPr>
                <w:sz w:val="20"/>
                <w:szCs w:val="20"/>
              </w:rPr>
            </w:pPr>
          </w:p>
          <w:p w14:paraId="2669F5A2" w14:textId="77777777" w:rsidR="0015208B" w:rsidRPr="0028282D" w:rsidRDefault="0015208B" w:rsidP="00F42E40">
            <w:pPr>
              <w:pStyle w:val="ListParagraph"/>
              <w:numPr>
                <w:ilvl w:val="0"/>
                <w:numId w:val="31"/>
              </w:numPr>
              <w:spacing w:after="0"/>
              <w:jc w:val="both"/>
              <w:rPr>
                <w:sz w:val="20"/>
                <w:szCs w:val="20"/>
              </w:rPr>
            </w:pPr>
            <w:r w:rsidRPr="0028282D">
              <w:rPr>
                <w:sz w:val="20"/>
                <w:szCs w:val="20"/>
              </w:rPr>
              <w:t xml:space="preserve">Defined and costed medical and support services along the care continuum and payment mechanisms to stimulate more decentralized care, and inclusion of psycho-social support (national TA) </w:t>
            </w:r>
          </w:p>
          <w:p w14:paraId="47E0599C" w14:textId="77777777" w:rsidR="00661C8B" w:rsidRDefault="00661C8B" w:rsidP="0015208B">
            <w:pPr>
              <w:spacing w:after="0"/>
              <w:jc w:val="both"/>
              <w:rPr>
                <w:b/>
                <w:sz w:val="20"/>
                <w:szCs w:val="20"/>
              </w:rPr>
            </w:pPr>
          </w:p>
          <w:p w14:paraId="4A01084A" w14:textId="1CD238F9" w:rsidR="0015208B" w:rsidRDefault="0015208B" w:rsidP="0015208B">
            <w:pPr>
              <w:spacing w:after="0"/>
              <w:jc w:val="both"/>
              <w:rPr>
                <w:rFonts w:cs="Arial"/>
                <w:color w:val="000000"/>
                <w:sz w:val="20"/>
                <w:szCs w:val="20"/>
              </w:rPr>
            </w:pPr>
            <w:r w:rsidRPr="0028282D">
              <w:rPr>
                <w:b/>
                <w:sz w:val="20"/>
                <w:szCs w:val="20"/>
              </w:rPr>
              <w:t>ART decentralization</w:t>
            </w:r>
            <w:r>
              <w:rPr>
                <w:sz w:val="20"/>
                <w:szCs w:val="20"/>
              </w:rPr>
              <w:t>: to increase access to ART, the funding request includes plan to decentralize ART to infectious diseases specialists at district level as part of the specialist outpatient department of the district hospital who currently do not provide HIV care. The scale-up is phased to follow after the costing services can allow the money (contracted by NHIC) to follow the patient to district level and contract the new ART service package to the infectious disease specialist. Therefore, the plan is to set up 6 new ART sites in Year 1 and 6 additional sites in Year 3. The approach will also allow for service integration (</w:t>
            </w:r>
            <w:r w:rsidRPr="008012D0">
              <w:rPr>
                <w:rFonts w:cs="Arial"/>
                <w:i/>
                <w:color w:val="000000"/>
                <w:sz w:val="20"/>
                <w:szCs w:val="20"/>
              </w:rPr>
              <w:t>integration and multidisciplinary team approach included in RSSH component</w:t>
            </w:r>
            <w:r>
              <w:rPr>
                <w:rFonts w:cs="Arial"/>
                <w:i/>
                <w:color w:val="000000"/>
                <w:sz w:val="20"/>
                <w:szCs w:val="20"/>
              </w:rPr>
              <w:t xml:space="preserve">). </w:t>
            </w:r>
            <w:r w:rsidRPr="0029534E">
              <w:rPr>
                <w:rFonts w:cs="Arial"/>
                <w:color w:val="000000"/>
                <w:sz w:val="20"/>
                <w:szCs w:val="20"/>
              </w:rPr>
              <w:t xml:space="preserve">The request includes </w:t>
            </w:r>
            <w:r w:rsidRPr="0029534E">
              <w:rPr>
                <w:sz w:val="20"/>
                <w:szCs w:val="20"/>
              </w:rPr>
              <w:t>support to a decentralization coordinator</w:t>
            </w:r>
            <w:r w:rsidRPr="0029534E">
              <w:rPr>
                <w:rFonts w:cs="Arial"/>
                <w:color w:val="000000"/>
                <w:sz w:val="20"/>
                <w:szCs w:val="20"/>
              </w:rPr>
              <w:t xml:space="preserve">, </w:t>
            </w:r>
            <w:r>
              <w:rPr>
                <w:rFonts w:cs="Arial"/>
                <w:color w:val="000000"/>
                <w:sz w:val="20"/>
                <w:szCs w:val="20"/>
              </w:rPr>
              <w:t xml:space="preserve">as well as costs for </w:t>
            </w:r>
            <w:r w:rsidRPr="0029534E">
              <w:rPr>
                <w:rFonts w:cs="Arial"/>
                <w:color w:val="000000"/>
                <w:sz w:val="20"/>
                <w:szCs w:val="20"/>
              </w:rPr>
              <w:t>equipping, training, TA to develop regulation</w:t>
            </w:r>
            <w:r>
              <w:rPr>
                <w:rFonts w:cs="Arial"/>
                <w:color w:val="000000"/>
                <w:sz w:val="20"/>
                <w:szCs w:val="20"/>
              </w:rPr>
              <w:t xml:space="preserve"> of district ART sites.</w:t>
            </w:r>
          </w:p>
          <w:p w14:paraId="24A7E0D1" w14:textId="77777777" w:rsidR="0015208B" w:rsidRDefault="0015208B" w:rsidP="0015208B">
            <w:pPr>
              <w:spacing w:after="0"/>
              <w:jc w:val="both"/>
              <w:rPr>
                <w:sz w:val="20"/>
                <w:szCs w:val="20"/>
              </w:rPr>
            </w:pPr>
          </w:p>
          <w:p w14:paraId="576874E9" w14:textId="77777777" w:rsidR="0015208B" w:rsidRDefault="0015208B" w:rsidP="0015208B">
            <w:pPr>
              <w:spacing w:after="0"/>
              <w:jc w:val="both"/>
              <w:rPr>
                <w:rFonts w:cs="Arial"/>
                <w:color w:val="000000"/>
                <w:sz w:val="20"/>
                <w:szCs w:val="20"/>
              </w:rPr>
            </w:pPr>
            <w:r>
              <w:rPr>
                <w:b/>
                <w:sz w:val="20"/>
                <w:szCs w:val="20"/>
              </w:rPr>
              <w:t>C</w:t>
            </w:r>
            <w:r w:rsidRPr="0029534E">
              <w:rPr>
                <w:b/>
                <w:sz w:val="20"/>
                <w:szCs w:val="20"/>
              </w:rPr>
              <w:t>ontinuity of care</w:t>
            </w:r>
            <w:r>
              <w:rPr>
                <w:sz w:val="20"/>
                <w:szCs w:val="20"/>
              </w:rPr>
              <w:t xml:space="preserve">: This set of activities aim at improving coordination of care, to ensure linkages and coordination of care with TB service, drug addiction, other social services, between penitentiary and civilian sectors and developing a </w:t>
            </w:r>
            <w:r w:rsidRPr="000C5EEB">
              <w:rPr>
                <w:rFonts w:cs="Arial"/>
                <w:color w:val="000000"/>
                <w:sz w:val="20"/>
                <w:szCs w:val="20"/>
              </w:rPr>
              <w:t>regulation on referral for a co-infected HIV, syphilis, Hep service</w:t>
            </w:r>
          </w:p>
          <w:p w14:paraId="5D59F751" w14:textId="77777777" w:rsidR="0015208B" w:rsidRDefault="0015208B" w:rsidP="0015208B">
            <w:pPr>
              <w:spacing w:after="0"/>
              <w:jc w:val="both"/>
              <w:rPr>
                <w:sz w:val="20"/>
                <w:szCs w:val="20"/>
              </w:rPr>
            </w:pPr>
          </w:p>
          <w:p w14:paraId="2D098896" w14:textId="502F3095" w:rsidR="0015208B" w:rsidRPr="00F13BEF" w:rsidRDefault="0015208B" w:rsidP="0015208B">
            <w:pPr>
              <w:spacing w:after="0" w:line="240" w:lineRule="auto"/>
              <w:rPr>
                <w:rFonts w:cs="Arial"/>
                <w:i/>
                <w:color w:val="FFFFFF" w:themeColor="background1"/>
                <w:sz w:val="20"/>
                <w:szCs w:val="20"/>
              </w:rPr>
            </w:pPr>
            <w:r w:rsidRPr="00BF3FDF">
              <w:rPr>
                <w:i/>
                <w:sz w:val="20"/>
                <w:szCs w:val="20"/>
              </w:rPr>
              <w:t xml:space="preserve">PAAR Quality of care </w:t>
            </w:r>
            <w:r w:rsidRPr="00BF3FDF">
              <w:rPr>
                <w:rFonts w:cs="Arial"/>
                <w:i/>
                <w:color w:val="000000"/>
                <w:sz w:val="20"/>
                <w:szCs w:val="20"/>
              </w:rPr>
              <w:t>Improve quality of services, clinical audit of ART program, develop standards.</w:t>
            </w:r>
          </w:p>
          <w:p w14:paraId="61C9AE2B" w14:textId="77777777" w:rsidR="0015208B" w:rsidRPr="00F13BEF" w:rsidRDefault="0015208B" w:rsidP="00713B46">
            <w:pPr>
              <w:shd w:val="clear" w:color="auto" w:fill="C00000"/>
              <w:ind w:left="1418" w:hanging="1418"/>
              <w:contextualSpacing/>
              <w:rPr>
                <w:color w:val="FFFFFF" w:themeColor="background1"/>
                <w:sz w:val="20"/>
                <w:szCs w:val="20"/>
              </w:rPr>
            </w:pPr>
            <w:r w:rsidRPr="00713B46">
              <w:rPr>
                <w:b/>
                <w:color w:val="FFFFFF" w:themeColor="background1"/>
                <w:sz w:val="20"/>
                <w:szCs w:val="20"/>
                <w:shd w:val="clear" w:color="auto" w:fill="C00000"/>
              </w:rPr>
              <w:t>Improve treatment retention and</w:t>
            </w:r>
            <w:r w:rsidRPr="00F13BEF">
              <w:rPr>
                <w:b/>
                <w:color w:val="FFFFFF" w:themeColor="background1"/>
                <w:sz w:val="20"/>
                <w:szCs w:val="20"/>
              </w:rPr>
              <w:t xml:space="preserve"> ensure viral suppression</w:t>
            </w:r>
          </w:p>
          <w:p w14:paraId="112B92FF" w14:textId="77777777" w:rsidR="0015208B" w:rsidRDefault="0015208B" w:rsidP="0015208B">
            <w:pPr>
              <w:spacing w:after="0"/>
              <w:jc w:val="both"/>
              <w:rPr>
                <w:sz w:val="20"/>
                <w:szCs w:val="20"/>
              </w:rPr>
            </w:pPr>
            <w:r>
              <w:rPr>
                <w:sz w:val="20"/>
                <w:szCs w:val="20"/>
              </w:rPr>
              <w:t>Prioritized Interventions include:</w:t>
            </w:r>
          </w:p>
          <w:p w14:paraId="20F81AF1" w14:textId="77777777" w:rsidR="0015208B" w:rsidRPr="007F1676" w:rsidRDefault="0015208B" w:rsidP="0015208B">
            <w:pPr>
              <w:spacing w:after="0"/>
              <w:rPr>
                <w:sz w:val="20"/>
                <w:szCs w:val="20"/>
              </w:rPr>
            </w:pPr>
            <w:r w:rsidRPr="007F1676">
              <w:rPr>
                <w:b/>
                <w:sz w:val="20"/>
                <w:szCs w:val="20"/>
              </w:rPr>
              <w:t>Psychosocial support</w:t>
            </w:r>
            <w:r w:rsidRPr="007F1676">
              <w:rPr>
                <w:sz w:val="20"/>
                <w:szCs w:val="20"/>
              </w:rPr>
              <w:t xml:space="preserve"> provided to ensure adherence to all who start treatment or after treatment interruption to pregnant women, children and those with TB/HIV co-infection (costed at 100 EUR/patient based on historic costs, and adjusted after service costing in year 1) and travel reimbursement for out-of-town PLHIV.</w:t>
            </w:r>
          </w:p>
          <w:p w14:paraId="692E425A" w14:textId="77777777" w:rsidR="0015208B" w:rsidRPr="007F1676" w:rsidRDefault="0015208B" w:rsidP="0015208B">
            <w:pPr>
              <w:pStyle w:val="ListParagraph"/>
              <w:spacing w:after="0"/>
              <w:rPr>
                <w:sz w:val="20"/>
                <w:szCs w:val="20"/>
              </w:rPr>
            </w:pPr>
          </w:p>
          <w:p w14:paraId="2EB45661" w14:textId="1C2216CA" w:rsidR="0015208B" w:rsidRDefault="0015208B" w:rsidP="0015208B">
            <w:pPr>
              <w:spacing w:after="0"/>
              <w:rPr>
                <w:sz w:val="20"/>
                <w:szCs w:val="20"/>
              </w:rPr>
            </w:pPr>
            <w:r>
              <w:rPr>
                <w:b/>
                <w:sz w:val="20"/>
                <w:szCs w:val="20"/>
              </w:rPr>
              <w:t>Re</w:t>
            </w:r>
            <w:r w:rsidR="0040643D">
              <w:rPr>
                <w:b/>
                <w:sz w:val="20"/>
                <w:szCs w:val="20"/>
              </w:rPr>
              <w:t>-</w:t>
            </w:r>
            <w:r>
              <w:rPr>
                <w:b/>
                <w:sz w:val="20"/>
                <w:szCs w:val="20"/>
              </w:rPr>
              <w:t>profiling Social Centers as</w:t>
            </w:r>
            <w:r w:rsidRPr="008012D0">
              <w:rPr>
                <w:b/>
                <w:sz w:val="20"/>
                <w:szCs w:val="20"/>
              </w:rPr>
              <w:t xml:space="preserve"> </w:t>
            </w:r>
            <w:r w:rsidR="0040643D">
              <w:rPr>
                <w:b/>
                <w:sz w:val="20"/>
                <w:szCs w:val="20"/>
              </w:rPr>
              <w:t>medico-social:</w:t>
            </w:r>
            <w:r>
              <w:rPr>
                <w:b/>
                <w:sz w:val="20"/>
                <w:szCs w:val="20"/>
              </w:rPr>
              <w:t xml:space="preserve"> </w:t>
            </w:r>
            <w:r w:rsidRPr="008012D0">
              <w:rPr>
                <w:sz w:val="20"/>
                <w:szCs w:val="20"/>
              </w:rPr>
              <w:t>with options to offer ART, TB other health services from visiting specialists</w:t>
            </w:r>
            <w:r>
              <w:rPr>
                <w:sz w:val="20"/>
                <w:szCs w:val="20"/>
              </w:rPr>
              <w:t xml:space="preserve"> (TA, minor renovation and equipment in year 1, </w:t>
            </w:r>
            <w:r w:rsidR="003744D9">
              <w:rPr>
                <w:sz w:val="20"/>
                <w:szCs w:val="20"/>
              </w:rPr>
              <w:t>support</w:t>
            </w:r>
            <w:r>
              <w:rPr>
                <w:sz w:val="20"/>
                <w:szCs w:val="20"/>
              </w:rPr>
              <w:t xml:space="preserve"> to offer comprehensive package in year 2 and 3 and international TA to assess the model)</w:t>
            </w:r>
          </w:p>
          <w:p w14:paraId="57629F5A" w14:textId="77777777" w:rsidR="0015208B" w:rsidRDefault="0015208B" w:rsidP="0015208B">
            <w:pPr>
              <w:spacing w:after="0"/>
              <w:rPr>
                <w:b/>
                <w:sz w:val="20"/>
                <w:szCs w:val="20"/>
              </w:rPr>
            </w:pPr>
          </w:p>
          <w:p w14:paraId="6CC94617" w14:textId="6C71CA33" w:rsidR="0015208B" w:rsidRPr="00EB3D61" w:rsidRDefault="0015208B" w:rsidP="00661C8B">
            <w:pPr>
              <w:spacing w:after="0"/>
              <w:rPr>
                <w:sz w:val="20"/>
                <w:szCs w:val="20"/>
              </w:rPr>
            </w:pPr>
            <w:r w:rsidRPr="007F1676">
              <w:rPr>
                <w:b/>
                <w:sz w:val="20"/>
                <w:szCs w:val="20"/>
              </w:rPr>
              <w:t>Treatment monitoring and co-infection management</w:t>
            </w:r>
            <w:r>
              <w:rPr>
                <w:sz w:val="20"/>
                <w:szCs w:val="20"/>
              </w:rPr>
              <w:t xml:space="preserve">: includes cost of monitoring tests (for Left Bank); </w:t>
            </w:r>
            <w:r w:rsidRPr="000C5EEB">
              <w:rPr>
                <w:rFonts w:cs="Arial"/>
                <w:color w:val="000000"/>
                <w:sz w:val="20"/>
                <w:szCs w:val="20"/>
              </w:rPr>
              <w:t>Procurement additional diagnostic equipment, CD4 machine, tests for CD4, follow up tests</w:t>
            </w:r>
            <w:r>
              <w:rPr>
                <w:rFonts w:cs="Arial"/>
                <w:color w:val="000000"/>
                <w:sz w:val="20"/>
                <w:szCs w:val="20"/>
              </w:rPr>
              <w:t xml:space="preserve">, </w:t>
            </w:r>
            <w:r w:rsidRPr="000C5EEB">
              <w:rPr>
                <w:rFonts w:cs="Arial"/>
                <w:color w:val="000000"/>
                <w:sz w:val="20"/>
                <w:szCs w:val="20"/>
              </w:rPr>
              <w:t>LAM determination</w:t>
            </w:r>
            <w:r>
              <w:rPr>
                <w:rFonts w:cs="Arial"/>
                <w:color w:val="000000"/>
                <w:sz w:val="20"/>
                <w:szCs w:val="20"/>
              </w:rPr>
              <w:t xml:space="preserve">, </w:t>
            </w:r>
            <w:r w:rsidRPr="000C5EEB">
              <w:rPr>
                <w:rFonts w:cs="Arial"/>
                <w:color w:val="000000"/>
                <w:sz w:val="20"/>
                <w:szCs w:val="20"/>
              </w:rPr>
              <w:t xml:space="preserve">Tests for the determination of </w:t>
            </w:r>
            <w:r>
              <w:rPr>
                <w:rFonts w:cs="Arial"/>
                <w:color w:val="000000"/>
                <w:sz w:val="20"/>
                <w:szCs w:val="20"/>
              </w:rPr>
              <w:t xml:space="preserve">LAM, </w:t>
            </w:r>
            <w:r w:rsidRPr="000C5EEB">
              <w:rPr>
                <w:rFonts w:cs="Arial"/>
                <w:color w:val="000000"/>
                <w:sz w:val="20"/>
                <w:szCs w:val="20"/>
              </w:rPr>
              <w:t>Cryptococcal Ag</w:t>
            </w:r>
            <w:r>
              <w:rPr>
                <w:rFonts w:cs="Arial"/>
                <w:color w:val="000000"/>
                <w:sz w:val="20"/>
                <w:szCs w:val="20"/>
              </w:rPr>
              <w:t>. A new activity is developing and implementing protocol for cardio-vascular diseases (integration of NCDs.)</w:t>
            </w:r>
          </w:p>
        </w:tc>
      </w:tr>
      <w:tr w:rsidR="0015208B" w:rsidRPr="00BF4BEE" w14:paraId="10C26119" w14:textId="77777777" w:rsidTr="0015208B">
        <w:trPr>
          <w:trHeight w:val="440"/>
        </w:trPr>
        <w:tc>
          <w:tcPr>
            <w:tcW w:w="2448" w:type="dxa"/>
            <w:shd w:val="clear" w:color="auto" w:fill="F2F2F2"/>
            <w:vAlign w:val="center"/>
          </w:tcPr>
          <w:p w14:paraId="1ABB425C" w14:textId="77777777" w:rsidR="0015208B" w:rsidRPr="00BF4BEE" w:rsidRDefault="0015208B" w:rsidP="0015208B">
            <w:pPr>
              <w:spacing w:after="0"/>
            </w:pPr>
            <w:r w:rsidRPr="00BF4BEE">
              <w:lastRenderedPageBreak/>
              <w:t>Priority populations</w:t>
            </w:r>
          </w:p>
        </w:tc>
        <w:tc>
          <w:tcPr>
            <w:tcW w:w="7902" w:type="dxa"/>
          </w:tcPr>
          <w:p w14:paraId="1CED7554" w14:textId="77777777" w:rsidR="0015208B" w:rsidRDefault="0015208B" w:rsidP="0015208B">
            <w:pPr>
              <w:spacing w:after="0"/>
              <w:rPr>
                <w:rFonts w:cstheme="minorHAnsi"/>
                <w:sz w:val="20"/>
              </w:rPr>
            </w:pPr>
            <w:r w:rsidRPr="007A4367">
              <w:rPr>
                <w:rFonts w:cstheme="minorHAnsi"/>
                <w:sz w:val="20"/>
              </w:rPr>
              <w:t xml:space="preserve">MSM, TG, SW (including male SWs and TG sex workers, PWID, prisoners </w:t>
            </w:r>
          </w:p>
          <w:p w14:paraId="5CBAD571" w14:textId="77777777" w:rsidR="0015208B" w:rsidRDefault="0015208B" w:rsidP="0015208B">
            <w:pPr>
              <w:spacing w:after="0"/>
              <w:rPr>
                <w:rFonts w:cstheme="minorHAnsi"/>
                <w:sz w:val="20"/>
              </w:rPr>
            </w:pPr>
            <w:r>
              <w:rPr>
                <w:rFonts w:cstheme="minorHAnsi"/>
                <w:sz w:val="20"/>
              </w:rPr>
              <w:t>Sexual partners and networks</w:t>
            </w:r>
          </w:p>
          <w:p w14:paraId="069B41E8" w14:textId="77777777" w:rsidR="0015208B" w:rsidRDefault="0015208B" w:rsidP="0015208B">
            <w:pPr>
              <w:spacing w:after="0"/>
              <w:rPr>
                <w:rFonts w:cstheme="minorHAnsi"/>
                <w:sz w:val="20"/>
              </w:rPr>
            </w:pPr>
            <w:r>
              <w:rPr>
                <w:rFonts w:cstheme="minorHAnsi"/>
                <w:sz w:val="20"/>
              </w:rPr>
              <w:t>Young people who use recreational drugs</w:t>
            </w:r>
          </w:p>
          <w:p w14:paraId="0D3C2804" w14:textId="2A39904F" w:rsidR="0015208B" w:rsidRDefault="0015208B" w:rsidP="0015208B">
            <w:pPr>
              <w:spacing w:after="0"/>
              <w:rPr>
                <w:rFonts w:cstheme="minorHAnsi"/>
                <w:sz w:val="20"/>
              </w:rPr>
            </w:pPr>
            <w:r>
              <w:rPr>
                <w:rFonts w:cstheme="minorHAnsi"/>
                <w:sz w:val="20"/>
              </w:rPr>
              <w:lastRenderedPageBreak/>
              <w:t>Other pr</w:t>
            </w:r>
            <w:r w:rsidR="00C1409F">
              <w:rPr>
                <w:rFonts w:cstheme="minorHAnsi"/>
                <w:sz w:val="20"/>
              </w:rPr>
              <w:t xml:space="preserve">iority populations for testing are </w:t>
            </w:r>
            <w:r>
              <w:rPr>
                <w:rFonts w:cstheme="minorHAnsi"/>
                <w:sz w:val="20"/>
              </w:rPr>
              <w:t xml:space="preserve">groups where testing shows yiled higher than </w:t>
            </w:r>
            <w:r w:rsidR="00C1409F">
              <w:rPr>
                <w:rFonts w:cstheme="minorHAnsi"/>
                <w:sz w:val="20"/>
              </w:rPr>
              <w:t xml:space="preserve">the general population </w:t>
            </w:r>
          </w:p>
          <w:p w14:paraId="57D7E6E9" w14:textId="77777777" w:rsidR="0015208B" w:rsidRPr="007A4367" w:rsidRDefault="0015208B" w:rsidP="0015208B">
            <w:pPr>
              <w:spacing w:after="0"/>
              <w:rPr>
                <w:rFonts w:ascii="Calibri" w:hAnsi="Calibri" w:cs="Times New Roman"/>
                <w:sz w:val="20"/>
              </w:rPr>
            </w:pPr>
            <w:r w:rsidRPr="007A4367">
              <w:rPr>
                <w:rFonts w:cstheme="minorHAnsi"/>
                <w:sz w:val="20"/>
              </w:rPr>
              <w:t>PLHIV</w:t>
            </w:r>
          </w:p>
        </w:tc>
      </w:tr>
      <w:tr w:rsidR="0015208B" w:rsidRPr="00BF4BEE" w14:paraId="6ADBFAF4" w14:textId="77777777" w:rsidTr="0015208B">
        <w:trPr>
          <w:trHeight w:val="440"/>
        </w:trPr>
        <w:tc>
          <w:tcPr>
            <w:tcW w:w="2448" w:type="dxa"/>
            <w:shd w:val="clear" w:color="auto" w:fill="F2F2F2"/>
            <w:vAlign w:val="center"/>
          </w:tcPr>
          <w:p w14:paraId="0C13B781" w14:textId="77777777" w:rsidR="0015208B" w:rsidRPr="00633BBC" w:rsidRDefault="0015208B" w:rsidP="0015208B">
            <w:pPr>
              <w:spacing w:after="0"/>
            </w:pPr>
            <w:r>
              <w:lastRenderedPageBreak/>
              <w:t>Barriers and i</w:t>
            </w:r>
            <w:r w:rsidRPr="009A1DC8">
              <w:t>nequities</w:t>
            </w:r>
          </w:p>
        </w:tc>
        <w:tc>
          <w:tcPr>
            <w:tcW w:w="7902" w:type="dxa"/>
          </w:tcPr>
          <w:p w14:paraId="6B7384E9" w14:textId="77777777" w:rsidR="0015208B" w:rsidRPr="0039496C" w:rsidRDefault="0015208B" w:rsidP="0039496C">
            <w:pPr>
              <w:pStyle w:val="ListParagraph"/>
              <w:numPr>
                <w:ilvl w:val="0"/>
                <w:numId w:val="32"/>
              </w:numPr>
              <w:spacing w:after="0" w:line="240" w:lineRule="auto"/>
              <w:rPr>
                <w:rFonts w:cstheme="minorHAnsi"/>
                <w:sz w:val="20"/>
              </w:rPr>
            </w:pPr>
            <w:r w:rsidRPr="0039496C">
              <w:rPr>
                <w:rFonts w:cstheme="minorHAnsi"/>
                <w:sz w:val="20"/>
              </w:rPr>
              <w:t>KPs are not sufficiently covered under the current program and further expansion is required.</w:t>
            </w:r>
          </w:p>
          <w:p w14:paraId="1796641E" w14:textId="77777777" w:rsidR="00C1409F" w:rsidRDefault="00C1409F" w:rsidP="0039496C">
            <w:pPr>
              <w:pStyle w:val="CommentText"/>
              <w:numPr>
                <w:ilvl w:val="0"/>
                <w:numId w:val="32"/>
              </w:numPr>
              <w:spacing w:after="0"/>
            </w:pPr>
            <w:r w:rsidRPr="00374279">
              <w:t xml:space="preserve">Stigma &amp; discrimination by health-care workers hamper access to health care in general and to HIV services and ART in particular, for all KPs as well as PLHIV: most often PLHIV in </w:t>
            </w:r>
            <w:r>
              <w:t>Moldova</w:t>
            </w:r>
            <w:r w:rsidRPr="00374279">
              <w:t xml:space="preserve"> face some discrimination from health workers</w:t>
            </w:r>
            <w:r>
              <w:t>.</w:t>
            </w:r>
          </w:p>
          <w:p w14:paraId="3F8F00A3" w14:textId="65CA2911" w:rsidR="00C1409F" w:rsidRDefault="0015208B" w:rsidP="0039496C">
            <w:pPr>
              <w:pStyle w:val="CommentText"/>
              <w:numPr>
                <w:ilvl w:val="0"/>
                <w:numId w:val="32"/>
              </w:numPr>
              <w:spacing w:after="0"/>
            </w:pPr>
            <w:r>
              <w:rPr>
                <w:color w:val="000000"/>
              </w:rPr>
              <w:t>Criminaliz</w:t>
            </w:r>
            <w:r w:rsidR="00C1409F">
              <w:rPr>
                <w:color w:val="000000"/>
              </w:rPr>
              <w:t xml:space="preserve">ation of drug use and sex work: </w:t>
            </w:r>
            <w:r w:rsidR="00C1409F">
              <w:t>as a result, p</w:t>
            </w:r>
            <w:r w:rsidR="00C1409F" w:rsidRPr="00374279">
              <w:t>olice harassment hampers access for PWID and SWs to HIV prevention services</w:t>
            </w:r>
          </w:p>
          <w:p w14:paraId="6E46D903" w14:textId="77777777" w:rsidR="00C1409F" w:rsidRPr="00C1409F" w:rsidRDefault="00C1409F" w:rsidP="0039496C">
            <w:pPr>
              <w:pStyle w:val="CommentText"/>
              <w:numPr>
                <w:ilvl w:val="0"/>
                <w:numId w:val="32"/>
              </w:numPr>
              <w:pBdr>
                <w:top w:val="nil"/>
                <w:left w:val="nil"/>
                <w:bottom w:val="nil"/>
                <w:right w:val="nil"/>
                <w:between w:val="nil"/>
              </w:pBdr>
              <w:spacing w:after="0"/>
            </w:pPr>
            <w:r w:rsidRPr="00C1409F">
              <w:t>There are no HIV services tailored to the specific needs of transgender people: despite the distinct risk behaviours and vulnerabilities of TG people, they were not specifically targeted.</w:t>
            </w:r>
          </w:p>
          <w:p w14:paraId="2F0037A9" w14:textId="77777777" w:rsidR="00C1409F" w:rsidRPr="00C1409F" w:rsidRDefault="00C1409F" w:rsidP="0039496C">
            <w:pPr>
              <w:pStyle w:val="CommentText"/>
              <w:numPr>
                <w:ilvl w:val="0"/>
                <w:numId w:val="32"/>
              </w:numPr>
              <w:pBdr>
                <w:top w:val="nil"/>
                <w:left w:val="nil"/>
                <w:bottom w:val="nil"/>
                <w:right w:val="nil"/>
                <w:between w:val="nil"/>
              </w:pBdr>
              <w:spacing w:after="0"/>
            </w:pPr>
            <w:r w:rsidRPr="00C1409F">
              <w:t xml:space="preserve">No efficient referral system and unified HIV and integrated TB database, therefore patients released from prisons or referred to other doctors often are lost to follow up.  </w:t>
            </w:r>
          </w:p>
          <w:p w14:paraId="366413B4" w14:textId="77777777" w:rsidR="00C1409F" w:rsidRPr="00C1409F" w:rsidRDefault="00C1409F" w:rsidP="0039496C">
            <w:pPr>
              <w:pStyle w:val="CommentText"/>
              <w:numPr>
                <w:ilvl w:val="0"/>
                <w:numId w:val="32"/>
              </w:numPr>
              <w:pBdr>
                <w:top w:val="nil"/>
                <w:left w:val="nil"/>
                <w:bottom w:val="nil"/>
                <w:right w:val="nil"/>
                <w:between w:val="nil"/>
              </w:pBdr>
              <w:spacing w:after="0"/>
            </w:pPr>
            <w:r w:rsidRPr="00C1409F">
              <w:t>Lack of access to HIV prevention services for users of newly psychoactive substances (NPS). NPS use has doubled in recent years and is used as pills, inhaled, as well as injected. However, there is insufficient knowledge about NPS and effective services are not available for mostly young NPS users, leaving them vulnerable to HIV infection through needle sharing and unprotected sex.</w:t>
            </w:r>
          </w:p>
          <w:p w14:paraId="4805386E" w14:textId="67708513" w:rsidR="0015208B" w:rsidRPr="0039496C" w:rsidRDefault="0015208B" w:rsidP="0039496C">
            <w:pPr>
              <w:pStyle w:val="ListParagraph"/>
              <w:numPr>
                <w:ilvl w:val="0"/>
                <w:numId w:val="32"/>
              </w:numPr>
              <w:pBdr>
                <w:top w:val="nil"/>
                <w:left w:val="nil"/>
                <w:bottom w:val="nil"/>
                <w:right w:val="nil"/>
                <w:between w:val="nil"/>
              </w:pBdr>
              <w:spacing w:after="0" w:line="240" w:lineRule="auto"/>
              <w:jc w:val="both"/>
              <w:rPr>
                <w:color w:val="000000"/>
                <w:sz w:val="20"/>
              </w:rPr>
            </w:pPr>
            <w:r w:rsidRPr="0039496C">
              <w:rPr>
                <w:color w:val="000000"/>
                <w:sz w:val="20"/>
              </w:rPr>
              <w:t>L</w:t>
            </w:r>
            <w:r w:rsidR="00417876" w:rsidRPr="0039496C">
              <w:rPr>
                <w:color w:val="000000"/>
                <w:sz w:val="20"/>
              </w:rPr>
              <w:t>imited PrEP availability</w:t>
            </w:r>
          </w:p>
          <w:p w14:paraId="0B529E5E" w14:textId="283E469D" w:rsidR="0015208B" w:rsidRPr="0039496C" w:rsidRDefault="0015208B" w:rsidP="0039496C">
            <w:pPr>
              <w:pStyle w:val="ListParagraph"/>
              <w:numPr>
                <w:ilvl w:val="0"/>
                <w:numId w:val="32"/>
              </w:numPr>
              <w:pBdr>
                <w:top w:val="nil"/>
                <w:left w:val="nil"/>
                <w:bottom w:val="nil"/>
                <w:right w:val="nil"/>
                <w:between w:val="nil"/>
              </w:pBdr>
              <w:spacing w:after="0" w:line="240" w:lineRule="auto"/>
              <w:jc w:val="both"/>
              <w:rPr>
                <w:color w:val="000000"/>
                <w:sz w:val="20"/>
              </w:rPr>
            </w:pPr>
            <w:r w:rsidRPr="0039496C">
              <w:rPr>
                <w:color w:val="000000"/>
                <w:sz w:val="20"/>
              </w:rPr>
              <w:t xml:space="preserve">Lack of attractiveness of current basic package of services </w:t>
            </w:r>
          </w:p>
          <w:p w14:paraId="7B923DC8" w14:textId="4D0027E0" w:rsidR="0015208B" w:rsidRPr="0039496C" w:rsidRDefault="0015208B" w:rsidP="0039496C">
            <w:pPr>
              <w:pStyle w:val="ListParagraph"/>
              <w:numPr>
                <w:ilvl w:val="0"/>
                <w:numId w:val="32"/>
              </w:numPr>
              <w:pBdr>
                <w:top w:val="nil"/>
                <w:left w:val="nil"/>
                <w:bottom w:val="nil"/>
                <w:right w:val="nil"/>
                <w:between w:val="nil"/>
              </w:pBdr>
              <w:spacing w:after="0" w:line="240" w:lineRule="auto"/>
              <w:jc w:val="both"/>
              <w:rPr>
                <w:color w:val="000000"/>
                <w:sz w:val="20"/>
              </w:rPr>
            </w:pPr>
            <w:r w:rsidRPr="0039496C">
              <w:rPr>
                <w:color w:val="000000"/>
                <w:sz w:val="20"/>
              </w:rPr>
              <w:t xml:space="preserve">Lack of access to OST on the Left Bank </w:t>
            </w:r>
          </w:p>
          <w:p w14:paraId="3459265B" w14:textId="77777777" w:rsidR="0015208B" w:rsidRPr="0039496C" w:rsidRDefault="0015208B" w:rsidP="0039496C">
            <w:pPr>
              <w:pStyle w:val="ListParagraph"/>
              <w:numPr>
                <w:ilvl w:val="0"/>
                <w:numId w:val="32"/>
              </w:numPr>
              <w:pBdr>
                <w:top w:val="nil"/>
                <w:left w:val="nil"/>
                <w:bottom w:val="nil"/>
                <w:right w:val="nil"/>
                <w:between w:val="nil"/>
              </w:pBdr>
              <w:spacing w:after="0" w:line="240" w:lineRule="auto"/>
              <w:jc w:val="both"/>
              <w:rPr>
                <w:color w:val="000000"/>
                <w:sz w:val="20"/>
              </w:rPr>
            </w:pPr>
            <w:r w:rsidRPr="0039496C">
              <w:rPr>
                <w:color w:val="000000"/>
                <w:sz w:val="20"/>
              </w:rPr>
              <w:t xml:space="preserve">Lack of availability of KP- friendly services, i.e. transgender services, no specific targeting for young KPs using recreational drugs, </w:t>
            </w:r>
          </w:p>
          <w:p w14:paraId="5B213EE8" w14:textId="77777777" w:rsidR="0015208B" w:rsidRPr="0039496C" w:rsidRDefault="0015208B" w:rsidP="0039496C">
            <w:pPr>
              <w:pStyle w:val="ListParagraph"/>
              <w:numPr>
                <w:ilvl w:val="0"/>
                <w:numId w:val="32"/>
              </w:numPr>
              <w:pBdr>
                <w:top w:val="nil"/>
                <w:left w:val="nil"/>
                <w:bottom w:val="nil"/>
                <w:right w:val="nil"/>
                <w:between w:val="nil"/>
              </w:pBdr>
              <w:spacing w:after="0" w:line="240" w:lineRule="auto"/>
              <w:jc w:val="both"/>
              <w:rPr>
                <w:color w:val="000000"/>
                <w:sz w:val="20"/>
              </w:rPr>
            </w:pPr>
            <w:r w:rsidRPr="0039496C">
              <w:rPr>
                <w:color w:val="000000"/>
                <w:sz w:val="20"/>
              </w:rPr>
              <w:t xml:space="preserve">No capacity of district health facilities to provide comprehensive and quality HIV care </w:t>
            </w:r>
          </w:p>
          <w:p w14:paraId="25773FEC" w14:textId="77777777" w:rsidR="0015208B" w:rsidRPr="0039496C" w:rsidRDefault="0015208B" w:rsidP="0039496C">
            <w:pPr>
              <w:pStyle w:val="ListParagraph"/>
              <w:numPr>
                <w:ilvl w:val="0"/>
                <w:numId w:val="32"/>
              </w:numPr>
              <w:pBdr>
                <w:top w:val="nil"/>
                <w:left w:val="nil"/>
                <w:bottom w:val="nil"/>
                <w:right w:val="nil"/>
                <w:between w:val="nil"/>
              </w:pBdr>
              <w:spacing w:after="0" w:line="240" w:lineRule="auto"/>
              <w:jc w:val="both"/>
              <w:rPr>
                <w:rFonts w:ascii="Arial" w:hAnsi="Arial"/>
                <w:color w:val="000000"/>
              </w:rPr>
            </w:pPr>
            <w:r w:rsidRPr="0039496C">
              <w:rPr>
                <w:color w:val="000000"/>
                <w:sz w:val="20"/>
              </w:rPr>
              <w:t>No budget support for adherence and psychosocial service package.</w:t>
            </w:r>
          </w:p>
        </w:tc>
      </w:tr>
      <w:tr w:rsidR="0015208B" w:rsidRPr="00BF4BEE" w14:paraId="22DAAAFE" w14:textId="77777777" w:rsidTr="0015208B">
        <w:trPr>
          <w:trHeight w:val="440"/>
        </w:trPr>
        <w:tc>
          <w:tcPr>
            <w:tcW w:w="2448" w:type="dxa"/>
            <w:shd w:val="clear" w:color="auto" w:fill="F2F2F2"/>
            <w:vAlign w:val="center"/>
          </w:tcPr>
          <w:p w14:paraId="143741A7" w14:textId="77777777" w:rsidR="0015208B" w:rsidRPr="00BF4BEE" w:rsidRDefault="0015208B" w:rsidP="0015208B">
            <w:pPr>
              <w:spacing w:after="0"/>
            </w:pPr>
            <w:r w:rsidRPr="00BF4BEE">
              <w:t>Rationale</w:t>
            </w:r>
          </w:p>
        </w:tc>
        <w:tc>
          <w:tcPr>
            <w:tcW w:w="7902" w:type="dxa"/>
          </w:tcPr>
          <w:p w14:paraId="26DE636F" w14:textId="77777777" w:rsidR="0015208B" w:rsidRDefault="0015208B" w:rsidP="0015208B">
            <w:pPr>
              <w:tabs>
                <w:tab w:val="left" w:pos="1410"/>
              </w:tabs>
              <w:spacing w:after="0"/>
              <w:jc w:val="both"/>
              <w:rPr>
                <w:color w:val="000000"/>
                <w:sz w:val="20"/>
              </w:rPr>
            </w:pPr>
            <w:r w:rsidRPr="007A4367">
              <w:rPr>
                <w:color w:val="000000"/>
                <w:sz w:val="20"/>
              </w:rPr>
              <w:t xml:space="preserve">High impact prevention strategies targeting high-risk key populations are needed to sustain the gains of a stable epidemic among PWID and reduce HIV transmission in MSM and SWs. Because these </w:t>
            </w:r>
            <w:r>
              <w:rPr>
                <w:color w:val="000000"/>
                <w:sz w:val="20"/>
              </w:rPr>
              <w:t>KP program are mature</w:t>
            </w:r>
            <w:r w:rsidRPr="007A4367">
              <w:rPr>
                <w:color w:val="000000"/>
                <w:sz w:val="20"/>
              </w:rPr>
              <w:t>, innovations are needed to maintain interest of people to access these services. A number of innovations would catalyze further scale up and reach to achieve more ambitions target</w:t>
            </w:r>
            <w:r>
              <w:rPr>
                <w:color w:val="000000"/>
                <w:sz w:val="20"/>
              </w:rPr>
              <w:t xml:space="preserve">. </w:t>
            </w:r>
          </w:p>
          <w:p w14:paraId="3C9962E8" w14:textId="77777777" w:rsidR="0015208B" w:rsidRDefault="0015208B" w:rsidP="0015208B">
            <w:pPr>
              <w:tabs>
                <w:tab w:val="left" w:pos="1410"/>
              </w:tabs>
              <w:spacing w:after="0"/>
              <w:jc w:val="both"/>
              <w:rPr>
                <w:color w:val="000000"/>
                <w:sz w:val="20"/>
              </w:rPr>
            </w:pPr>
          </w:p>
          <w:p w14:paraId="63741FFE" w14:textId="77777777" w:rsidR="0015208B" w:rsidRDefault="0015208B" w:rsidP="0015208B">
            <w:pPr>
              <w:tabs>
                <w:tab w:val="left" w:pos="1410"/>
              </w:tabs>
              <w:spacing w:after="0"/>
              <w:jc w:val="both"/>
              <w:rPr>
                <w:color w:val="000000"/>
                <w:sz w:val="20"/>
              </w:rPr>
            </w:pPr>
            <w:r>
              <w:rPr>
                <w:color w:val="000000"/>
                <w:sz w:val="20"/>
              </w:rPr>
              <w:t>Current testing strategies have not shown significant increase in the number of cases found, despite scale-up in key populations. Most cases come from PITC, which can be further made more strategic and targeted. There is also a need to incentivize e</w:t>
            </w:r>
            <w:r w:rsidRPr="006C171C">
              <w:rPr>
                <w:color w:val="000000"/>
                <w:sz w:val="20"/>
              </w:rPr>
              <w:t>xpansion for the recommended decentralized rapid diagnosis algorithm</w:t>
            </w:r>
            <w:r>
              <w:rPr>
                <w:color w:val="000000"/>
                <w:sz w:val="20"/>
              </w:rPr>
              <w:t xml:space="preserve"> and CSO providers to focus not only on testing levels but also on finding new cases. Therefore, along with a new testing guidance, the approach suggests introducing incentives to index case finding for both CSO and primary care, increasing access to self-testing and develop new more effective testing strategies. </w:t>
            </w:r>
          </w:p>
          <w:p w14:paraId="78FC3893" w14:textId="77777777" w:rsidR="0015208B" w:rsidRDefault="0015208B" w:rsidP="0015208B">
            <w:pPr>
              <w:tabs>
                <w:tab w:val="left" w:pos="1410"/>
              </w:tabs>
              <w:spacing w:after="0"/>
              <w:jc w:val="both"/>
              <w:rPr>
                <w:color w:val="000000"/>
                <w:sz w:val="20"/>
              </w:rPr>
            </w:pPr>
          </w:p>
          <w:p w14:paraId="7F134F6B" w14:textId="6A668CD4" w:rsidR="0015208B" w:rsidRPr="007A4367" w:rsidRDefault="0015208B" w:rsidP="0015208B">
            <w:pPr>
              <w:tabs>
                <w:tab w:val="left" w:pos="1410"/>
              </w:tabs>
              <w:spacing w:after="0"/>
              <w:jc w:val="both"/>
              <w:rPr>
                <w:rFonts w:ascii="Calibri" w:hAnsi="Calibri" w:cs="Times New Roman"/>
                <w:sz w:val="20"/>
              </w:rPr>
            </w:pPr>
            <w:r w:rsidRPr="00855B4F">
              <w:rPr>
                <w:color w:val="000000"/>
                <w:sz w:val="20"/>
              </w:rPr>
              <w:t>Based on current epidemiological data, there are gaps in the HIV cascade in ensuring that clients</w:t>
            </w:r>
            <w:r>
              <w:rPr>
                <w:color w:val="000000"/>
                <w:sz w:val="20"/>
              </w:rPr>
              <w:t xml:space="preserve"> </w:t>
            </w:r>
            <w:r w:rsidRPr="00855B4F">
              <w:rPr>
                <w:color w:val="000000"/>
                <w:sz w:val="20"/>
              </w:rPr>
              <w:t xml:space="preserve">are enrolled and retained on treatment. </w:t>
            </w:r>
            <w:r>
              <w:rPr>
                <w:color w:val="000000"/>
                <w:sz w:val="20"/>
              </w:rPr>
              <w:t>A</w:t>
            </w:r>
            <w:r w:rsidRPr="00855B4F">
              <w:rPr>
                <w:color w:val="000000"/>
                <w:sz w:val="20"/>
              </w:rPr>
              <w:t xml:space="preserve">s </w:t>
            </w:r>
            <w:r>
              <w:rPr>
                <w:color w:val="000000"/>
                <w:sz w:val="20"/>
              </w:rPr>
              <w:t>Moldova advances in increasing prevention coverage to reduce</w:t>
            </w:r>
            <w:r w:rsidRPr="00855B4F">
              <w:rPr>
                <w:color w:val="000000"/>
                <w:sz w:val="20"/>
              </w:rPr>
              <w:t xml:space="preserve"> new infections, </w:t>
            </w:r>
            <w:r w:rsidR="0039496C">
              <w:rPr>
                <w:color w:val="000000"/>
                <w:sz w:val="20"/>
              </w:rPr>
              <w:t>r</w:t>
            </w:r>
            <w:r w:rsidRPr="00855B4F">
              <w:rPr>
                <w:color w:val="000000"/>
                <w:sz w:val="20"/>
              </w:rPr>
              <w:t xml:space="preserve">etention to treatment and viral suppression of PLHIVs is critical in stopping transmission of HIV to key and vulnerable populations. </w:t>
            </w:r>
            <w:r>
              <w:rPr>
                <w:color w:val="000000"/>
                <w:sz w:val="20"/>
              </w:rPr>
              <w:t>To</w:t>
            </w:r>
            <w:r w:rsidRPr="00855B4F">
              <w:rPr>
                <w:color w:val="000000"/>
                <w:sz w:val="20"/>
              </w:rPr>
              <w:t xml:space="preserve"> reach this goal, </w:t>
            </w:r>
            <w:r>
              <w:rPr>
                <w:color w:val="000000"/>
                <w:sz w:val="20"/>
              </w:rPr>
              <w:t>cascade performance lags behind and approaches to service organization need to be revamped in order to remove leakages and allow achieving the 90/90/90 goals.</w:t>
            </w:r>
          </w:p>
        </w:tc>
      </w:tr>
      <w:tr w:rsidR="0015208B" w:rsidRPr="00BF4BEE" w14:paraId="067FFF49" w14:textId="77777777" w:rsidTr="0015208B">
        <w:trPr>
          <w:trHeight w:val="431"/>
        </w:trPr>
        <w:tc>
          <w:tcPr>
            <w:tcW w:w="2448" w:type="dxa"/>
            <w:shd w:val="clear" w:color="auto" w:fill="F2F2F2"/>
            <w:vAlign w:val="center"/>
          </w:tcPr>
          <w:p w14:paraId="39DE9423" w14:textId="77777777" w:rsidR="0015208B" w:rsidRPr="00BF4BEE" w:rsidRDefault="0015208B" w:rsidP="0015208B">
            <w:pPr>
              <w:spacing w:after="0"/>
            </w:pPr>
            <w:r w:rsidRPr="00BF4BEE">
              <w:t>Expected Outcome</w:t>
            </w:r>
          </w:p>
        </w:tc>
        <w:tc>
          <w:tcPr>
            <w:tcW w:w="7902" w:type="dxa"/>
          </w:tcPr>
          <w:p w14:paraId="416263D9" w14:textId="5ED743BC" w:rsidR="00417876" w:rsidRDefault="00417876" w:rsidP="00417876">
            <w:pPr>
              <w:pStyle w:val="CommentText"/>
            </w:pPr>
            <w:r>
              <w:t xml:space="preserve">Reduction in the high risk behavior and stabilization of HIV epidemic levels. </w:t>
            </w:r>
          </w:p>
          <w:p w14:paraId="27FF3E15" w14:textId="77777777" w:rsidR="00417876" w:rsidRDefault="00417876" w:rsidP="00417876">
            <w:pPr>
              <w:jc w:val="both"/>
              <w:rPr>
                <w:rFonts w:cstheme="minorHAnsi"/>
                <w:sz w:val="20"/>
              </w:rPr>
            </w:pPr>
            <w:r>
              <w:rPr>
                <w:rFonts w:cstheme="minorHAnsi"/>
                <w:sz w:val="20"/>
              </w:rPr>
              <w:t>Increase in targets for coverage with prevention, OST, testing and PLHIV on treatment and virally suppressed.</w:t>
            </w:r>
          </w:p>
          <w:p w14:paraId="4D59BBA1" w14:textId="77777777" w:rsidR="0015208B" w:rsidRPr="006F2AA1" w:rsidRDefault="0015208B" w:rsidP="0015208B">
            <w:pPr>
              <w:jc w:val="both"/>
              <w:rPr>
                <w:rFonts w:ascii="Calibri" w:hAnsi="Calibri" w:cs="Times New Roman"/>
                <w:i/>
                <w:sz w:val="20"/>
              </w:rPr>
            </w:pPr>
            <w:r w:rsidRPr="006F2AA1">
              <w:rPr>
                <w:rFonts w:cstheme="minorHAnsi"/>
                <w:i/>
                <w:sz w:val="20"/>
              </w:rPr>
              <w:t>See Annex: Coverage targets HIV spread sheet.</w:t>
            </w:r>
          </w:p>
        </w:tc>
      </w:tr>
      <w:tr w:rsidR="0015208B" w:rsidRPr="00BF4BEE" w14:paraId="6B8A35CD" w14:textId="77777777" w:rsidTr="0015208B">
        <w:trPr>
          <w:trHeight w:val="431"/>
        </w:trPr>
        <w:tc>
          <w:tcPr>
            <w:tcW w:w="2448" w:type="dxa"/>
            <w:shd w:val="clear" w:color="auto" w:fill="F2F2F2"/>
            <w:vAlign w:val="center"/>
          </w:tcPr>
          <w:p w14:paraId="7771474B" w14:textId="77777777" w:rsidR="0015208B" w:rsidRPr="00BF4BEE" w:rsidRDefault="0015208B" w:rsidP="0015208B">
            <w:pPr>
              <w:spacing w:after="0"/>
            </w:pPr>
            <w:r>
              <w:t>Expected investment</w:t>
            </w:r>
          </w:p>
        </w:tc>
        <w:tc>
          <w:tcPr>
            <w:tcW w:w="7902" w:type="dxa"/>
          </w:tcPr>
          <w:p w14:paraId="658FE84C" w14:textId="5C538ECF" w:rsidR="00D26A7A" w:rsidRDefault="00D26A7A" w:rsidP="00D26A7A">
            <w:pPr>
              <w:spacing w:after="0" w:line="240" w:lineRule="auto"/>
              <w:jc w:val="both"/>
              <w:rPr>
                <w:rFonts w:cs="Arial"/>
                <w:color w:val="000000"/>
                <w:sz w:val="20"/>
                <w:szCs w:val="20"/>
              </w:rPr>
            </w:pPr>
            <w:r w:rsidRPr="00D26A7A">
              <w:rPr>
                <w:rFonts w:ascii="Arial" w:hAnsi="Arial" w:cs="Arial"/>
                <w:color w:val="000000"/>
                <w:sz w:val="20"/>
                <w:szCs w:val="20"/>
                <w:highlight w:val="yellow"/>
              </w:rPr>
              <w:t>EUR 6,380,155</w:t>
            </w:r>
          </w:p>
          <w:p w14:paraId="4FC8F5CA" w14:textId="0A904114" w:rsidR="0015208B" w:rsidRPr="007A4367" w:rsidRDefault="00D26A7A" w:rsidP="0015208B">
            <w:pPr>
              <w:jc w:val="both"/>
              <w:rPr>
                <w:rFonts w:cstheme="minorHAnsi"/>
                <w:sz w:val="20"/>
              </w:rPr>
            </w:pPr>
            <w:r>
              <w:rPr>
                <w:rFonts w:cstheme="minorHAnsi"/>
                <w:sz w:val="20"/>
              </w:rPr>
              <w:t xml:space="preserve">PAAR: </w:t>
            </w:r>
          </w:p>
        </w:tc>
      </w:tr>
    </w:tbl>
    <w:p w14:paraId="303ED722" w14:textId="21E22AB8" w:rsidR="0015208B" w:rsidRDefault="0015208B" w:rsidP="0015208B">
      <w:pPr>
        <w:spacing w:after="0"/>
      </w:pPr>
    </w:p>
    <w:p w14:paraId="7C8D9F3F" w14:textId="417AC6E0" w:rsidR="0040643D" w:rsidRDefault="0040643D" w:rsidP="0015208B">
      <w:pPr>
        <w:spacing w:after="0"/>
      </w:pPr>
    </w:p>
    <w:tbl>
      <w:tblPr>
        <w:tblStyle w:val="TableGrid30"/>
        <w:tblW w:w="10350" w:type="dxa"/>
        <w:tblInd w:w="-5" w:type="dxa"/>
        <w:tblLook w:val="04A0" w:firstRow="1" w:lastRow="0" w:firstColumn="1" w:lastColumn="0" w:noHBand="0" w:noVBand="1"/>
      </w:tblPr>
      <w:tblGrid>
        <w:gridCol w:w="2448"/>
        <w:gridCol w:w="7902"/>
      </w:tblGrid>
      <w:tr w:rsidR="0040643D" w:rsidRPr="000A7A8A" w14:paraId="20D62ACE" w14:textId="77777777" w:rsidTr="00500903">
        <w:trPr>
          <w:trHeight w:val="422"/>
        </w:trPr>
        <w:tc>
          <w:tcPr>
            <w:tcW w:w="2448" w:type="dxa"/>
            <w:shd w:val="clear" w:color="auto" w:fill="F2F2F2"/>
            <w:vAlign w:val="center"/>
          </w:tcPr>
          <w:p w14:paraId="011639B3" w14:textId="77777777" w:rsidR="0040643D" w:rsidRPr="00BF4BEE" w:rsidRDefault="0040643D" w:rsidP="00500903">
            <w:pPr>
              <w:spacing w:after="0"/>
            </w:pPr>
            <w:r>
              <w:lastRenderedPageBreak/>
              <w:t xml:space="preserve">Component </w:t>
            </w:r>
          </w:p>
        </w:tc>
        <w:tc>
          <w:tcPr>
            <w:tcW w:w="7902" w:type="dxa"/>
            <w:shd w:val="clear" w:color="auto" w:fill="7030A0"/>
          </w:tcPr>
          <w:p w14:paraId="4CB041B9" w14:textId="77777777" w:rsidR="0040643D" w:rsidRPr="007F6E8A" w:rsidRDefault="0040643D" w:rsidP="00500903">
            <w:pPr>
              <w:spacing w:after="0"/>
              <w:rPr>
                <w:rFonts w:ascii="Calibri" w:hAnsi="Calibri" w:cs="Times New Roman"/>
                <w:b/>
                <w:color w:val="FFFFFF" w:themeColor="background1"/>
              </w:rPr>
            </w:pPr>
            <w:r w:rsidRPr="007F6E8A">
              <w:rPr>
                <w:rFonts w:ascii="Calibri" w:hAnsi="Calibri" w:cs="Times New Roman"/>
                <w:b/>
                <w:color w:val="FFFFFF" w:themeColor="background1"/>
              </w:rPr>
              <w:t>RSSH</w:t>
            </w:r>
          </w:p>
        </w:tc>
      </w:tr>
      <w:tr w:rsidR="0040643D" w:rsidRPr="00BF4BEE" w14:paraId="7B00E6E9" w14:textId="77777777" w:rsidTr="00500903">
        <w:trPr>
          <w:trHeight w:val="440"/>
        </w:trPr>
        <w:tc>
          <w:tcPr>
            <w:tcW w:w="2448" w:type="dxa"/>
            <w:shd w:val="clear" w:color="auto" w:fill="F2F2F2"/>
            <w:vAlign w:val="center"/>
          </w:tcPr>
          <w:p w14:paraId="5334E28C" w14:textId="77777777" w:rsidR="0040643D" w:rsidRPr="00BF4BEE" w:rsidRDefault="0040643D" w:rsidP="00500903">
            <w:pPr>
              <w:spacing w:after="0"/>
            </w:pPr>
            <w:r>
              <w:t>Module/i</w:t>
            </w:r>
            <w:r w:rsidRPr="00BF4BEE">
              <w:t>nterventions</w:t>
            </w:r>
          </w:p>
        </w:tc>
        <w:tc>
          <w:tcPr>
            <w:tcW w:w="7902" w:type="dxa"/>
          </w:tcPr>
          <w:p w14:paraId="1F42F25C" w14:textId="0E7CBDE7" w:rsidR="0015301F" w:rsidRDefault="0015301F" w:rsidP="0015301F">
            <w:pPr>
              <w:spacing w:after="0" w:line="240" w:lineRule="auto"/>
              <w:rPr>
                <w:rFonts w:cs="Arial"/>
                <w:b/>
                <w:bCs/>
                <w:color w:val="000000"/>
                <w:sz w:val="20"/>
                <w:szCs w:val="20"/>
              </w:rPr>
            </w:pPr>
            <w:r>
              <w:rPr>
                <w:rFonts w:cs="Arial"/>
                <w:b/>
                <w:bCs/>
                <w:color w:val="000000"/>
                <w:sz w:val="20"/>
                <w:szCs w:val="20"/>
              </w:rPr>
              <w:t xml:space="preserve">RSSH - </w:t>
            </w:r>
            <w:r w:rsidRPr="0000338D">
              <w:rPr>
                <w:rFonts w:cs="Arial"/>
                <w:b/>
                <w:bCs/>
                <w:color w:val="000000"/>
                <w:sz w:val="20"/>
                <w:szCs w:val="20"/>
              </w:rPr>
              <w:t>Health sector governance and planning</w:t>
            </w:r>
            <w:r>
              <w:rPr>
                <w:rFonts w:cs="Arial"/>
                <w:b/>
                <w:bCs/>
                <w:color w:val="000000"/>
                <w:sz w:val="20"/>
                <w:szCs w:val="20"/>
              </w:rPr>
              <w:t xml:space="preserve">: </w:t>
            </w:r>
          </w:p>
          <w:p w14:paraId="61137069" w14:textId="77777777" w:rsidR="0015301F" w:rsidRPr="0015301F" w:rsidRDefault="0015301F" w:rsidP="0015301F">
            <w:pPr>
              <w:pStyle w:val="ListParagraph"/>
              <w:numPr>
                <w:ilvl w:val="0"/>
                <w:numId w:val="34"/>
              </w:numPr>
              <w:spacing w:after="0" w:line="240" w:lineRule="auto"/>
              <w:rPr>
                <w:rFonts w:cs="Arial"/>
                <w:color w:val="000000"/>
                <w:sz w:val="20"/>
                <w:szCs w:val="20"/>
              </w:rPr>
            </w:pPr>
            <w:r w:rsidRPr="0015301F">
              <w:rPr>
                <w:rFonts w:cs="Arial"/>
                <w:color w:val="000000"/>
                <w:sz w:val="20"/>
                <w:szCs w:val="20"/>
              </w:rPr>
              <w:t>Develop vision for new governance and coordination structure for national programs HIV, TB, Hepatitis +all the rest (NCDs, MCH etc)</w:t>
            </w:r>
          </w:p>
          <w:p w14:paraId="41CC641B" w14:textId="77777777" w:rsidR="0015301F" w:rsidRPr="0015301F" w:rsidRDefault="0015301F" w:rsidP="0015301F">
            <w:pPr>
              <w:pStyle w:val="ListParagraph"/>
              <w:numPr>
                <w:ilvl w:val="0"/>
                <w:numId w:val="34"/>
              </w:numPr>
              <w:spacing w:after="0" w:line="240" w:lineRule="auto"/>
              <w:rPr>
                <w:rFonts w:cs="Arial"/>
                <w:color w:val="000000"/>
                <w:sz w:val="20"/>
                <w:szCs w:val="20"/>
              </w:rPr>
            </w:pPr>
            <w:r w:rsidRPr="0015301F">
              <w:rPr>
                <w:rFonts w:cs="Arial"/>
                <w:color w:val="000000"/>
                <w:sz w:val="20"/>
                <w:szCs w:val="20"/>
              </w:rPr>
              <w:t>Support to new governance structure by 2023</w:t>
            </w:r>
          </w:p>
          <w:p w14:paraId="649B61F1" w14:textId="4AFE7EC0" w:rsidR="0015301F" w:rsidRPr="0015301F" w:rsidRDefault="0015301F" w:rsidP="0015301F">
            <w:pPr>
              <w:pStyle w:val="ListParagraph"/>
              <w:numPr>
                <w:ilvl w:val="0"/>
                <w:numId w:val="33"/>
              </w:numPr>
              <w:rPr>
                <w:rFonts w:cs="Arial"/>
                <w:sz w:val="20"/>
                <w:szCs w:val="20"/>
              </w:rPr>
            </w:pPr>
            <w:r w:rsidRPr="0015301F">
              <w:rPr>
                <w:rFonts w:cs="Arial"/>
                <w:sz w:val="20"/>
                <w:szCs w:val="20"/>
              </w:rPr>
              <w:t>MAF: multisectorial coordination mechanism for TB</w:t>
            </w:r>
          </w:p>
          <w:p w14:paraId="25BD7FD4" w14:textId="332B8F31" w:rsidR="0015301F" w:rsidRPr="0015301F" w:rsidRDefault="0015301F" w:rsidP="0015301F">
            <w:pPr>
              <w:pStyle w:val="ListParagraph"/>
              <w:numPr>
                <w:ilvl w:val="0"/>
                <w:numId w:val="33"/>
              </w:numPr>
              <w:rPr>
                <w:rFonts w:cs="Arial"/>
                <w:color w:val="000000"/>
                <w:sz w:val="20"/>
                <w:szCs w:val="20"/>
              </w:rPr>
            </w:pPr>
            <w:r w:rsidRPr="0015301F">
              <w:rPr>
                <w:rFonts w:cs="Arial"/>
                <w:color w:val="000000"/>
                <w:sz w:val="20"/>
                <w:szCs w:val="20"/>
              </w:rPr>
              <w:t>Hospital optimization and strengthened outpatient care</w:t>
            </w:r>
          </w:p>
          <w:p w14:paraId="71DDB484" w14:textId="77777777" w:rsidR="0015301F" w:rsidRPr="0015301F" w:rsidRDefault="0015301F" w:rsidP="0015301F">
            <w:pPr>
              <w:pStyle w:val="ListParagraph"/>
              <w:numPr>
                <w:ilvl w:val="0"/>
                <w:numId w:val="33"/>
              </w:numPr>
              <w:rPr>
                <w:rFonts w:cs="Arial"/>
                <w:color w:val="000000"/>
                <w:sz w:val="20"/>
                <w:szCs w:val="20"/>
              </w:rPr>
            </w:pPr>
            <w:r w:rsidRPr="0015301F">
              <w:rPr>
                <w:rFonts w:cs="Arial"/>
                <w:color w:val="000000"/>
                <w:sz w:val="20"/>
                <w:szCs w:val="20"/>
              </w:rPr>
              <w:t xml:space="preserve">Costed TB service package and contracting mechanisms: PHC, specialist, hospital, CSO. </w:t>
            </w:r>
          </w:p>
          <w:p w14:paraId="39FDAFCB" w14:textId="77777777" w:rsidR="0040643D" w:rsidRPr="0015301F" w:rsidRDefault="0015301F" w:rsidP="0015301F">
            <w:pPr>
              <w:pStyle w:val="ListParagraph"/>
              <w:numPr>
                <w:ilvl w:val="0"/>
                <w:numId w:val="33"/>
              </w:numPr>
              <w:spacing w:after="0"/>
              <w:rPr>
                <w:rFonts w:ascii="Calibri" w:hAnsi="Calibri" w:cs="Times New Roman"/>
              </w:rPr>
            </w:pPr>
            <w:r w:rsidRPr="0015301F">
              <w:rPr>
                <w:rFonts w:cs="Arial"/>
                <w:color w:val="000000"/>
                <w:sz w:val="20"/>
                <w:szCs w:val="20"/>
              </w:rPr>
              <w:t>Actual health expenditure reporting for TB</w:t>
            </w:r>
          </w:p>
          <w:p w14:paraId="379D0417" w14:textId="77777777" w:rsidR="0015301F" w:rsidRDefault="0015301F" w:rsidP="0015301F">
            <w:pPr>
              <w:pStyle w:val="ListParagraph"/>
              <w:spacing w:after="0"/>
              <w:rPr>
                <w:rFonts w:cs="Arial"/>
                <w:color w:val="000000"/>
                <w:sz w:val="20"/>
                <w:szCs w:val="20"/>
              </w:rPr>
            </w:pPr>
          </w:p>
          <w:p w14:paraId="57E87909" w14:textId="77777777" w:rsidR="0015301F" w:rsidRPr="000C5EEB" w:rsidRDefault="0015301F" w:rsidP="0015301F">
            <w:pPr>
              <w:spacing w:after="0" w:line="240" w:lineRule="auto"/>
              <w:rPr>
                <w:rFonts w:cs="Arial"/>
                <w:color w:val="000000"/>
                <w:sz w:val="20"/>
                <w:szCs w:val="20"/>
              </w:rPr>
            </w:pPr>
            <w:r w:rsidRPr="00243887">
              <w:rPr>
                <w:rFonts w:cs="Arial"/>
                <w:b/>
                <w:color w:val="000000"/>
                <w:sz w:val="20"/>
                <w:szCs w:val="20"/>
              </w:rPr>
              <w:t>RSSH: Integrated service delivery and quality improvement</w:t>
            </w:r>
            <w:r w:rsidRPr="000C5EEB">
              <w:rPr>
                <w:rFonts w:cs="Arial"/>
                <w:color w:val="000000"/>
                <w:sz w:val="20"/>
                <w:szCs w:val="20"/>
              </w:rPr>
              <w:t>: service organization and facility management</w:t>
            </w:r>
          </w:p>
          <w:p w14:paraId="7CA430D4" w14:textId="1D273257" w:rsidR="0015301F" w:rsidRDefault="0015301F" w:rsidP="0015301F">
            <w:pPr>
              <w:pStyle w:val="ListParagraph"/>
              <w:numPr>
                <w:ilvl w:val="0"/>
                <w:numId w:val="35"/>
              </w:numPr>
              <w:spacing w:after="0" w:line="240" w:lineRule="auto"/>
              <w:rPr>
                <w:rFonts w:cs="Arial"/>
                <w:color w:val="000000"/>
                <w:sz w:val="20"/>
                <w:szCs w:val="20"/>
              </w:rPr>
            </w:pPr>
            <w:r w:rsidRPr="0015301F">
              <w:rPr>
                <w:rFonts w:cs="Arial"/>
                <w:color w:val="000000"/>
                <w:sz w:val="20"/>
                <w:szCs w:val="20"/>
              </w:rPr>
              <w:t>Integration concept for services at all levels HIV/TB/STIs/Hep/OST (regulations, model of integrated services at specialist level, integrated in CSOs platforms</w:t>
            </w:r>
          </w:p>
          <w:p w14:paraId="0DF072D4" w14:textId="77777777" w:rsidR="0015301F" w:rsidRPr="0015301F" w:rsidRDefault="0015301F" w:rsidP="0015301F">
            <w:pPr>
              <w:pStyle w:val="ListParagraph"/>
              <w:numPr>
                <w:ilvl w:val="0"/>
                <w:numId w:val="35"/>
              </w:numPr>
              <w:rPr>
                <w:rFonts w:cs="Arial"/>
                <w:sz w:val="20"/>
                <w:szCs w:val="20"/>
              </w:rPr>
            </w:pPr>
            <w:r w:rsidRPr="0015301F">
              <w:rPr>
                <w:rFonts w:cs="Arial"/>
                <w:sz w:val="20"/>
                <w:szCs w:val="20"/>
              </w:rPr>
              <w:t>Response at national level; collaborative partnerships at community level; develop integrated service delivery regulation</w:t>
            </w:r>
          </w:p>
          <w:p w14:paraId="41F23FC8" w14:textId="77777777" w:rsidR="0015301F" w:rsidRPr="0015301F" w:rsidRDefault="0015301F" w:rsidP="0015301F">
            <w:pPr>
              <w:pStyle w:val="ListParagraph"/>
              <w:numPr>
                <w:ilvl w:val="0"/>
                <w:numId w:val="35"/>
              </w:numPr>
              <w:spacing w:after="0" w:line="240" w:lineRule="auto"/>
              <w:rPr>
                <w:rFonts w:cs="Arial"/>
                <w:i/>
                <w:color w:val="000000"/>
                <w:sz w:val="20"/>
                <w:szCs w:val="20"/>
              </w:rPr>
            </w:pPr>
            <w:r w:rsidRPr="0015301F">
              <w:rPr>
                <w:rFonts w:cs="Arial"/>
                <w:i/>
                <w:color w:val="000000"/>
                <w:sz w:val="20"/>
                <w:szCs w:val="20"/>
              </w:rPr>
              <w:t>PAAR: MDT capacity building</w:t>
            </w:r>
          </w:p>
          <w:p w14:paraId="77DB006C" w14:textId="77777777" w:rsidR="0015301F" w:rsidRPr="0015301F" w:rsidRDefault="0015301F" w:rsidP="0015301F">
            <w:pPr>
              <w:pStyle w:val="ListParagraph"/>
              <w:numPr>
                <w:ilvl w:val="0"/>
                <w:numId w:val="35"/>
              </w:numPr>
              <w:spacing w:after="0" w:line="240" w:lineRule="auto"/>
              <w:rPr>
                <w:rFonts w:cs="Arial"/>
                <w:color w:val="000000"/>
                <w:sz w:val="20"/>
                <w:szCs w:val="20"/>
              </w:rPr>
            </w:pPr>
            <w:r w:rsidRPr="0015301F">
              <w:rPr>
                <w:rFonts w:cs="Arial"/>
                <w:color w:val="000000"/>
                <w:sz w:val="20"/>
                <w:szCs w:val="20"/>
              </w:rPr>
              <w:t>EMCT elimination TA for external assessment, reporting mechanism for HIV+ pregnant</w:t>
            </w:r>
          </w:p>
          <w:p w14:paraId="27AC3249" w14:textId="073944A1" w:rsidR="0015301F" w:rsidRDefault="0015301F" w:rsidP="0015301F">
            <w:pPr>
              <w:pStyle w:val="ListParagraph"/>
              <w:numPr>
                <w:ilvl w:val="0"/>
                <w:numId w:val="35"/>
              </w:numPr>
              <w:spacing w:after="0" w:line="240" w:lineRule="auto"/>
              <w:rPr>
                <w:rFonts w:cs="Arial"/>
                <w:i/>
                <w:color w:val="000000"/>
                <w:sz w:val="20"/>
                <w:szCs w:val="20"/>
              </w:rPr>
            </w:pPr>
            <w:r w:rsidRPr="0015301F">
              <w:rPr>
                <w:rFonts w:cs="Arial"/>
                <w:i/>
                <w:color w:val="000000"/>
                <w:sz w:val="20"/>
                <w:szCs w:val="20"/>
              </w:rPr>
              <w:t>PAAR: EMTCT capacity building family doctors and maternity staff and PMTCT protocol revision</w:t>
            </w:r>
          </w:p>
          <w:p w14:paraId="4E887936" w14:textId="77777777" w:rsidR="00BD6706" w:rsidRDefault="00BD6706" w:rsidP="00BD6706">
            <w:pPr>
              <w:spacing w:after="0" w:line="240" w:lineRule="auto"/>
              <w:rPr>
                <w:rFonts w:cs="Arial"/>
                <w:b/>
                <w:bCs/>
                <w:color w:val="000000"/>
                <w:sz w:val="20"/>
                <w:szCs w:val="20"/>
              </w:rPr>
            </w:pPr>
          </w:p>
          <w:p w14:paraId="0070A28A" w14:textId="18534B9D" w:rsidR="00BD6706" w:rsidRDefault="00BD6706" w:rsidP="00BD6706">
            <w:pPr>
              <w:spacing w:after="0" w:line="240" w:lineRule="auto"/>
              <w:rPr>
                <w:rFonts w:cs="Arial"/>
                <w:b/>
                <w:bCs/>
                <w:color w:val="000000"/>
                <w:sz w:val="20"/>
                <w:szCs w:val="20"/>
              </w:rPr>
            </w:pPr>
            <w:r w:rsidRPr="0000338D">
              <w:rPr>
                <w:rFonts w:cs="Arial"/>
                <w:b/>
                <w:bCs/>
                <w:color w:val="000000"/>
                <w:sz w:val="20"/>
                <w:szCs w:val="20"/>
              </w:rPr>
              <w:t>RSSH: Human resources for health, including community health workers</w:t>
            </w:r>
            <w:r>
              <w:rPr>
                <w:rFonts w:cs="Arial"/>
                <w:bCs/>
                <w:color w:val="000000"/>
                <w:sz w:val="20"/>
                <w:szCs w:val="20"/>
              </w:rPr>
              <w:t xml:space="preserve">: </w:t>
            </w:r>
          </w:p>
          <w:p w14:paraId="3B0A7F0C" w14:textId="36912D40" w:rsidR="00BD6706" w:rsidRPr="00BD6706" w:rsidRDefault="00BD6706" w:rsidP="00BD6706">
            <w:pPr>
              <w:pStyle w:val="ListParagraph"/>
              <w:numPr>
                <w:ilvl w:val="0"/>
                <w:numId w:val="42"/>
              </w:numPr>
              <w:spacing w:after="0" w:line="240" w:lineRule="auto"/>
              <w:rPr>
                <w:rFonts w:cs="Arial"/>
                <w:i/>
                <w:color w:val="000000"/>
                <w:sz w:val="20"/>
                <w:szCs w:val="20"/>
              </w:rPr>
            </w:pPr>
            <w:r w:rsidRPr="00BD6706">
              <w:rPr>
                <w:rFonts w:cs="Arial"/>
                <w:bCs/>
                <w:color w:val="000000"/>
                <w:sz w:val="20"/>
                <w:szCs w:val="20"/>
              </w:rPr>
              <w:t>Human resource planning, capacity building national TB program unit staff, integration in-service training into continuous medical education using digital platforms, integrating in-service training of non-medical staff on digital platforms</w:t>
            </w:r>
          </w:p>
          <w:p w14:paraId="7CF9F51D" w14:textId="77777777" w:rsidR="00BD6706" w:rsidRPr="00BD6706" w:rsidRDefault="00BD6706" w:rsidP="00BD6706">
            <w:pPr>
              <w:pStyle w:val="ListParagraph"/>
              <w:numPr>
                <w:ilvl w:val="0"/>
                <w:numId w:val="42"/>
              </w:numPr>
              <w:spacing w:after="0" w:line="240" w:lineRule="auto"/>
              <w:rPr>
                <w:rFonts w:cs="Arial"/>
                <w:sz w:val="20"/>
                <w:szCs w:val="20"/>
              </w:rPr>
            </w:pPr>
            <w:r w:rsidRPr="00BD6706">
              <w:rPr>
                <w:rFonts w:cs="Arial"/>
                <w:sz w:val="20"/>
                <w:szCs w:val="20"/>
              </w:rPr>
              <w:t>Develop and revise regulations for HR planning and retention</w:t>
            </w:r>
          </w:p>
          <w:p w14:paraId="1C3D614F" w14:textId="77777777" w:rsidR="00BD6706" w:rsidRPr="00BD6706" w:rsidRDefault="00BD6706" w:rsidP="00BD6706">
            <w:pPr>
              <w:pStyle w:val="ListParagraph"/>
              <w:numPr>
                <w:ilvl w:val="0"/>
                <w:numId w:val="42"/>
              </w:numPr>
              <w:spacing w:after="0" w:line="240" w:lineRule="auto"/>
              <w:rPr>
                <w:rFonts w:cs="Arial"/>
                <w:sz w:val="20"/>
                <w:szCs w:val="20"/>
              </w:rPr>
            </w:pPr>
            <w:r w:rsidRPr="00BD6706">
              <w:rPr>
                <w:rFonts w:cs="Arial"/>
                <w:sz w:val="20"/>
                <w:szCs w:val="20"/>
              </w:rPr>
              <w:t>Develop and update job description and requirements for CSOs</w:t>
            </w:r>
          </w:p>
          <w:p w14:paraId="79CACC44" w14:textId="77777777" w:rsidR="00BD6706" w:rsidRPr="00BD6706" w:rsidRDefault="00BD6706" w:rsidP="00BD6706">
            <w:pPr>
              <w:pStyle w:val="ListParagraph"/>
              <w:numPr>
                <w:ilvl w:val="0"/>
                <w:numId w:val="42"/>
              </w:numPr>
              <w:spacing w:after="0" w:line="240" w:lineRule="auto"/>
              <w:rPr>
                <w:rFonts w:cs="Arial"/>
                <w:sz w:val="20"/>
                <w:szCs w:val="20"/>
              </w:rPr>
            </w:pPr>
            <w:r w:rsidRPr="00BD6706">
              <w:rPr>
                <w:rFonts w:cs="Arial"/>
                <w:sz w:val="20"/>
                <w:szCs w:val="20"/>
              </w:rPr>
              <w:t>Integrate non-medical CSO positions in roster professions</w:t>
            </w:r>
          </w:p>
          <w:p w14:paraId="740B5239" w14:textId="77777777" w:rsidR="00BD6706" w:rsidRPr="00BD6706" w:rsidRDefault="00BD6706" w:rsidP="00BD6706">
            <w:pPr>
              <w:pStyle w:val="ListParagraph"/>
              <w:numPr>
                <w:ilvl w:val="0"/>
                <w:numId w:val="42"/>
              </w:numPr>
              <w:spacing w:after="0" w:line="240" w:lineRule="auto"/>
              <w:rPr>
                <w:rFonts w:cs="Arial"/>
                <w:color w:val="000000"/>
                <w:sz w:val="20"/>
                <w:szCs w:val="20"/>
              </w:rPr>
            </w:pPr>
            <w:r w:rsidRPr="00BD6706">
              <w:rPr>
                <w:rFonts w:cs="Arial"/>
                <w:color w:val="000000"/>
                <w:sz w:val="20"/>
                <w:szCs w:val="20"/>
              </w:rPr>
              <w:t>Integrate curriculums into CME and digital learning platform</w:t>
            </w:r>
          </w:p>
          <w:p w14:paraId="715E48EB" w14:textId="56C4F3A7" w:rsidR="00BD6706" w:rsidRPr="00BD6706" w:rsidRDefault="00BD6706" w:rsidP="00BD6706">
            <w:pPr>
              <w:pStyle w:val="ListParagraph"/>
              <w:numPr>
                <w:ilvl w:val="0"/>
                <w:numId w:val="42"/>
              </w:numPr>
              <w:spacing w:after="0" w:line="240" w:lineRule="auto"/>
              <w:rPr>
                <w:rFonts w:cs="Arial"/>
                <w:color w:val="000000"/>
                <w:sz w:val="20"/>
                <w:szCs w:val="20"/>
              </w:rPr>
            </w:pPr>
            <w:r w:rsidRPr="00BD6706">
              <w:rPr>
                <w:rFonts w:cs="Arial"/>
                <w:color w:val="000000"/>
                <w:sz w:val="20"/>
                <w:szCs w:val="20"/>
              </w:rPr>
              <w:t xml:space="preserve">Local and international trainings for </w:t>
            </w:r>
            <w:r>
              <w:rPr>
                <w:rFonts w:cs="Arial"/>
                <w:color w:val="000000"/>
                <w:sz w:val="20"/>
                <w:szCs w:val="20"/>
              </w:rPr>
              <w:t xml:space="preserve">HIV </w:t>
            </w:r>
            <w:r w:rsidRPr="00BD6706">
              <w:rPr>
                <w:rFonts w:cs="Arial"/>
                <w:color w:val="000000"/>
                <w:sz w:val="20"/>
                <w:szCs w:val="20"/>
              </w:rPr>
              <w:t>NRL and RRL staff</w:t>
            </w:r>
          </w:p>
          <w:p w14:paraId="49205515" w14:textId="77777777" w:rsidR="00BD6706" w:rsidRPr="00BD6706" w:rsidRDefault="00BD6706" w:rsidP="00BD6706">
            <w:pPr>
              <w:pStyle w:val="ListParagraph"/>
              <w:numPr>
                <w:ilvl w:val="0"/>
                <w:numId w:val="42"/>
              </w:numPr>
              <w:spacing w:after="0" w:line="240" w:lineRule="auto"/>
              <w:rPr>
                <w:rFonts w:cs="Arial"/>
                <w:color w:val="000000"/>
                <w:sz w:val="20"/>
                <w:szCs w:val="20"/>
              </w:rPr>
            </w:pPr>
            <w:r w:rsidRPr="00BD6706">
              <w:rPr>
                <w:rFonts w:cs="Arial"/>
                <w:color w:val="000000"/>
                <w:sz w:val="20"/>
                <w:szCs w:val="20"/>
              </w:rPr>
              <w:t>Training for staff included in HIV service provision</w:t>
            </w:r>
          </w:p>
          <w:p w14:paraId="7A81C631" w14:textId="77777777" w:rsidR="00BD6706" w:rsidRPr="00BD6706" w:rsidRDefault="00BD6706" w:rsidP="00BD6706">
            <w:pPr>
              <w:pStyle w:val="ListParagraph"/>
              <w:spacing w:after="0" w:line="240" w:lineRule="auto"/>
              <w:rPr>
                <w:rFonts w:cs="Arial"/>
                <w:i/>
                <w:color w:val="000000"/>
                <w:sz w:val="20"/>
                <w:szCs w:val="20"/>
              </w:rPr>
            </w:pPr>
          </w:p>
          <w:p w14:paraId="355144EC" w14:textId="77777777" w:rsidR="0015301F" w:rsidRPr="0000338D" w:rsidRDefault="0015301F" w:rsidP="0015301F">
            <w:pPr>
              <w:spacing w:after="0" w:line="240" w:lineRule="auto"/>
              <w:rPr>
                <w:rFonts w:cs="Arial"/>
                <w:bCs/>
                <w:color w:val="000000"/>
                <w:sz w:val="20"/>
                <w:szCs w:val="20"/>
              </w:rPr>
            </w:pPr>
            <w:r>
              <w:rPr>
                <w:rFonts w:cs="Arial"/>
                <w:b/>
                <w:bCs/>
                <w:color w:val="000000"/>
                <w:sz w:val="20"/>
                <w:szCs w:val="20"/>
              </w:rPr>
              <w:t>RSSH -</w:t>
            </w:r>
            <w:r w:rsidRPr="0000338D">
              <w:rPr>
                <w:rFonts w:cs="Arial"/>
                <w:b/>
                <w:bCs/>
                <w:color w:val="000000"/>
                <w:sz w:val="20"/>
                <w:szCs w:val="20"/>
              </w:rPr>
              <w:t xml:space="preserve"> Health Managem</w:t>
            </w:r>
            <w:r>
              <w:rPr>
                <w:rFonts w:cs="Arial"/>
                <w:b/>
                <w:bCs/>
                <w:color w:val="000000"/>
                <w:sz w:val="20"/>
                <w:szCs w:val="20"/>
              </w:rPr>
              <w:t xml:space="preserve">ent Information Systems and M&amp;E: </w:t>
            </w:r>
          </w:p>
          <w:p w14:paraId="02517474" w14:textId="6C5189F7" w:rsidR="0015301F" w:rsidRPr="0015301F" w:rsidRDefault="0015301F" w:rsidP="0015301F">
            <w:pPr>
              <w:pStyle w:val="ListParagraph"/>
              <w:numPr>
                <w:ilvl w:val="0"/>
                <w:numId w:val="36"/>
              </w:numPr>
              <w:spacing w:after="0" w:line="240" w:lineRule="auto"/>
              <w:rPr>
                <w:rFonts w:cs="Arial"/>
                <w:bCs/>
                <w:color w:val="000000"/>
                <w:sz w:val="20"/>
                <w:szCs w:val="20"/>
              </w:rPr>
            </w:pPr>
            <w:r w:rsidRPr="0015301F">
              <w:rPr>
                <w:rFonts w:cs="Arial"/>
                <w:bCs/>
                <w:color w:val="000000"/>
                <w:sz w:val="20"/>
                <w:szCs w:val="20"/>
              </w:rPr>
              <w:t>Redesign electronic informational system SIME TB (add lab and CF modules, ensure interoperability), ensure core M&amp;E visits</w:t>
            </w:r>
          </w:p>
          <w:p w14:paraId="69CCEF8A" w14:textId="2E13408B" w:rsidR="0015301F" w:rsidRPr="0015301F" w:rsidRDefault="00BD6706" w:rsidP="0015301F">
            <w:pPr>
              <w:pStyle w:val="ListParagraph"/>
              <w:numPr>
                <w:ilvl w:val="0"/>
                <w:numId w:val="36"/>
              </w:numPr>
              <w:spacing w:after="0" w:line="240" w:lineRule="auto"/>
              <w:rPr>
                <w:rFonts w:cs="Arial"/>
                <w:color w:val="000000"/>
                <w:sz w:val="20"/>
                <w:szCs w:val="20"/>
              </w:rPr>
            </w:pPr>
            <w:r w:rsidRPr="0015301F">
              <w:rPr>
                <w:rFonts w:cs="Arial"/>
                <w:bCs/>
                <w:color w:val="000000"/>
                <w:sz w:val="20"/>
                <w:szCs w:val="20"/>
              </w:rPr>
              <w:t xml:space="preserve">Redesign electronic informational system </w:t>
            </w:r>
            <w:r w:rsidR="0015301F" w:rsidRPr="0015301F">
              <w:rPr>
                <w:rFonts w:cs="Arial"/>
                <w:color w:val="000000"/>
                <w:sz w:val="20"/>
                <w:szCs w:val="20"/>
              </w:rPr>
              <w:t>SIME HIV, interoperability and implementation</w:t>
            </w:r>
          </w:p>
          <w:p w14:paraId="760E6C34" w14:textId="77777777" w:rsidR="0015301F" w:rsidRPr="00C71542" w:rsidRDefault="0015301F" w:rsidP="0015301F">
            <w:pPr>
              <w:pStyle w:val="ListParagraph"/>
              <w:numPr>
                <w:ilvl w:val="0"/>
                <w:numId w:val="36"/>
              </w:numPr>
              <w:spacing w:after="0" w:line="240" w:lineRule="auto"/>
              <w:rPr>
                <w:rFonts w:cs="Arial"/>
                <w:color w:val="000000"/>
                <w:sz w:val="20"/>
                <w:szCs w:val="20"/>
                <w:lang w:val="fr-FR"/>
              </w:rPr>
            </w:pPr>
            <w:r w:rsidRPr="00C71542">
              <w:rPr>
                <w:rFonts w:cs="Arial"/>
                <w:color w:val="000000"/>
                <w:sz w:val="20"/>
                <w:szCs w:val="20"/>
                <w:lang w:val="fr-FR"/>
              </w:rPr>
              <w:t xml:space="preserve">HIV core M&amp;E: salaries, visits </w:t>
            </w:r>
          </w:p>
          <w:p w14:paraId="1474061C" w14:textId="77777777" w:rsidR="00BD6706" w:rsidRDefault="00BD6706" w:rsidP="0015301F">
            <w:pPr>
              <w:pStyle w:val="ListParagraph"/>
              <w:numPr>
                <w:ilvl w:val="0"/>
                <w:numId w:val="36"/>
              </w:numPr>
              <w:spacing w:after="0" w:line="240" w:lineRule="auto"/>
              <w:rPr>
                <w:rFonts w:cs="Arial"/>
                <w:color w:val="000000"/>
                <w:sz w:val="20"/>
                <w:szCs w:val="20"/>
              </w:rPr>
            </w:pPr>
            <w:r w:rsidRPr="0015301F">
              <w:rPr>
                <w:rFonts w:cs="Arial"/>
                <w:color w:val="000000"/>
                <w:sz w:val="20"/>
                <w:szCs w:val="20"/>
              </w:rPr>
              <w:t xml:space="preserve">HIV Surveillance: capacity building on case-based surveillance and patient monitoring; annual training </w:t>
            </w:r>
          </w:p>
          <w:p w14:paraId="2259F663" w14:textId="4870E66F" w:rsidR="0015301F" w:rsidRPr="0015301F" w:rsidRDefault="0015301F" w:rsidP="0015301F">
            <w:pPr>
              <w:pStyle w:val="ListParagraph"/>
              <w:numPr>
                <w:ilvl w:val="0"/>
                <w:numId w:val="36"/>
              </w:numPr>
              <w:spacing w:after="0" w:line="240" w:lineRule="auto"/>
              <w:rPr>
                <w:rFonts w:cs="Arial"/>
                <w:color w:val="000000"/>
                <w:sz w:val="20"/>
                <w:szCs w:val="20"/>
              </w:rPr>
            </w:pPr>
            <w:r w:rsidRPr="0015301F">
              <w:rPr>
                <w:rFonts w:cs="Arial"/>
                <w:color w:val="000000"/>
                <w:sz w:val="20"/>
                <w:szCs w:val="20"/>
              </w:rPr>
              <w:t xml:space="preserve">CCM website – </w:t>
            </w:r>
            <w:r w:rsidR="00BD6706">
              <w:rPr>
                <w:rFonts w:cs="Arial"/>
                <w:color w:val="000000"/>
                <w:sz w:val="20"/>
                <w:szCs w:val="20"/>
              </w:rPr>
              <w:t xml:space="preserve">data </w:t>
            </w:r>
            <w:r w:rsidRPr="0015301F">
              <w:rPr>
                <w:rFonts w:cs="Arial"/>
                <w:color w:val="000000"/>
                <w:sz w:val="20"/>
                <w:szCs w:val="20"/>
              </w:rPr>
              <w:t>repository and dissemination</w:t>
            </w:r>
          </w:p>
          <w:p w14:paraId="79529919" w14:textId="7B3DE980" w:rsidR="0015301F" w:rsidRPr="0015301F" w:rsidRDefault="0015301F" w:rsidP="0015301F">
            <w:pPr>
              <w:pStyle w:val="ListParagraph"/>
              <w:numPr>
                <w:ilvl w:val="0"/>
                <w:numId w:val="36"/>
              </w:numPr>
              <w:spacing w:after="0" w:line="240" w:lineRule="auto"/>
              <w:rPr>
                <w:rFonts w:cs="Arial"/>
                <w:color w:val="000000"/>
                <w:sz w:val="20"/>
                <w:szCs w:val="20"/>
              </w:rPr>
            </w:pPr>
            <w:r w:rsidRPr="0015301F">
              <w:rPr>
                <w:rFonts w:cs="Arial"/>
                <w:i/>
                <w:color w:val="000000"/>
                <w:sz w:val="20"/>
                <w:szCs w:val="20"/>
              </w:rPr>
              <w:t xml:space="preserve">PAAR: </w:t>
            </w:r>
            <w:r w:rsidR="00A458EF">
              <w:rPr>
                <w:rFonts w:cs="Arial"/>
                <w:i/>
                <w:color w:val="000000"/>
                <w:sz w:val="20"/>
                <w:szCs w:val="20"/>
              </w:rPr>
              <w:t>HIV c</w:t>
            </w:r>
            <w:r w:rsidRPr="0015301F">
              <w:rPr>
                <w:rFonts w:cs="Arial"/>
                <w:i/>
                <w:color w:val="000000"/>
                <w:sz w:val="20"/>
                <w:szCs w:val="20"/>
              </w:rPr>
              <w:t>ore M&amp;E assessment and functional redesign, M&amp;E training, lobby for takeover of M&amp;E staff costs</w:t>
            </w:r>
            <w:r w:rsidRPr="0015301F">
              <w:rPr>
                <w:rFonts w:cs="Arial"/>
                <w:color w:val="000000"/>
                <w:sz w:val="20"/>
                <w:szCs w:val="20"/>
              </w:rPr>
              <w:t xml:space="preserve">  </w:t>
            </w:r>
          </w:p>
          <w:p w14:paraId="70C84200" w14:textId="77777777" w:rsidR="0015301F" w:rsidRPr="0015301F" w:rsidRDefault="0015301F" w:rsidP="0015301F">
            <w:pPr>
              <w:pStyle w:val="ListParagraph"/>
              <w:numPr>
                <w:ilvl w:val="0"/>
                <w:numId w:val="36"/>
              </w:numPr>
              <w:spacing w:after="0" w:line="240" w:lineRule="auto"/>
              <w:rPr>
                <w:rFonts w:cs="Arial"/>
                <w:i/>
                <w:color w:val="000000"/>
                <w:sz w:val="20"/>
                <w:szCs w:val="20"/>
              </w:rPr>
            </w:pPr>
            <w:r w:rsidRPr="0015301F">
              <w:rPr>
                <w:rFonts w:cs="Arial"/>
                <w:i/>
                <w:color w:val="000000"/>
                <w:sz w:val="20"/>
                <w:szCs w:val="20"/>
              </w:rPr>
              <w:t>PAAR: HIV Surveillance: update of HIV surveillance regulations, printing</w:t>
            </w:r>
          </w:p>
          <w:p w14:paraId="0F26C770" w14:textId="77777777" w:rsidR="0015301F" w:rsidRDefault="0015301F" w:rsidP="0015301F">
            <w:pPr>
              <w:spacing w:after="0" w:line="240" w:lineRule="auto"/>
              <w:rPr>
                <w:rFonts w:cs="Arial"/>
                <w:bCs/>
                <w:color w:val="000000"/>
                <w:sz w:val="20"/>
                <w:szCs w:val="20"/>
              </w:rPr>
            </w:pPr>
          </w:p>
          <w:p w14:paraId="3D510389" w14:textId="77777777" w:rsidR="0015301F" w:rsidRPr="000C5EEB" w:rsidRDefault="0015301F" w:rsidP="0015301F">
            <w:pPr>
              <w:autoSpaceDE w:val="0"/>
              <w:autoSpaceDN w:val="0"/>
              <w:adjustRightInd w:val="0"/>
              <w:spacing w:after="0" w:line="240" w:lineRule="auto"/>
              <w:rPr>
                <w:rFonts w:cs="Arial"/>
                <w:color w:val="000000"/>
                <w:sz w:val="20"/>
                <w:szCs w:val="20"/>
              </w:rPr>
            </w:pPr>
            <w:r w:rsidRPr="00243887">
              <w:rPr>
                <w:rFonts w:cs="Arial"/>
                <w:b/>
                <w:color w:val="000000"/>
                <w:sz w:val="20"/>
                <w:szCs w:val="20"/>
              </w:rPr>
              <w:t>RSSH: HMIS and M&amp;E</w:t>
            </w:r>
            <w:r w:rsidRPr="000C5EEB">
              <w:rPr>
                <w:rFonts w:cs="Arial"/>
                <w:color w:val="000000"/>
                <w:sz w:val="20"/>
                <w:szCs w:val="20"/>
              </w:rPr>
              <w:t>: Surveys</w:t>
            </w:r>
          </w:p>
          <w:p w14:paraId="0D39E21E" w14:textId="3C4554F8" w:rsidR="0015301F" w:rsidRPr="0015301F" w:rsidRDefault="0015301F" w:rsidP="0015301F">
            <w:pPr>
              <w:pStyle w:val="ListParagraph"/>
              <w:numPr>
                <w:ilvl w:val="0"/>
                <w:numId w:val="37"/>
              </w:numPr>
              <w:spacing w:after="0" w:line="240" w:lineRule="auto"/>
              <w:rPr>
                <w:rFonts w:cs="Arial"/>
                <w:i/>
                <w:color w:val="000000"/>
                <w:sz w:val="20"/>
                <w:szCs w:val="20"/>
              </w:rPr>
            </w:pPr>
            <w:r w:rsidRPr="0015301F">
              <w:rPr>
                <w:rFonts w:cs="Arial"/>
                <w:bCs/>
                <w:color w:val="000000"/>
                <w:sz w:val="20"/>
                <w:szCs w:val="20"/>
              </w:rPr>
              <w:t>Catastrophic TB costs survey, KAP TB, clinical audit TB/HIV</w:t>
            </w:r>
            <w:r w:rsidRPr="0015301F">
              <w:rPr>
                <w:rFonts w:cs="Arial"/>
                <w:i/>
                <w:color w:val="000000"/>
                <w:sz w:val="20"/>
                <w:szCs w:val="20"/>
              </w:rPr>
              <w:t xml:space="preserve"> </w:t>
            </w:r>
          </w:p>
          <w:p w14:paraId="340CBD5D" w14:textId="0C95EA21" w:rsidR="0015301F" w:rsidRPr="0015301F" w:rsidRDefault="0015301F" w:rsidP="0015301F">
            <w:pPr>
              <w:pStyle w:val="ListParagraph"/>
              <w:numPr>
                <w:ilvl w:val="0"/>
                <w:numId w:val="37"/>
              </w:numPr>
              <w:spacing w:after="0" w:line="240" w:lineRule="auto"/>
              <w:rPr>
                <w:rFonts w:cs="Arial"/>
                <w:bCs/>
                <w:color w:val="000000"/>
                <w:sz w:val="20"/>
                <w:szCs w:val="20"/>
              </w:rPr>
            </w:pPr>
            <w:r w:rsidRPr="0015301F">
              <w:rPr>
                <w:rFonts w:cs="Arial"/>
                <w:bCs/>
                <w:color w:val="000000"/>
                <w:sz w:val="20"/>
                <w:szCs w:val="20"/>
              </w:rPr>
              <w:t xml:space="preserve">AI </w:t>
            </w:r>
            <w:r w:rsidR="00A458EF">
              <w:rPr>
                <w:rFonts w:cs="Arial"/>
                <w:bCs/>
                <w:color w:val="000000"/>
                <w:sz w:val="20"/>
                <w:szCs w:val="20"/>
              </w:rPr>
              <w:t xml:space="preserve">CXR </w:t>
            </w:r>
            <w:r w:rsidRPr="0015301F">
              <w:rPr>
                <w:rFonts w:cs="Arial"/>
                <w:bCs/>
                <w:color w:val="000000"/>
                <w:sz w:val="20"/>
                <w:szCs w:val="20"/>
              </w:rPr>
              <w:t>operational research</w:t>
            </w:r>
          </w:p>
          <w:p w14:paraId="2767EE6C" w14:textId="469CECEC" w:rsidR="0015301F" w:rsidRPr="0015301F" w:rsidRDefault="0015301F" w:rsidP="0015301F">
            <w:pPr>
              <w:pStyle w:val="ListParagraph"/>
              <w:numPr>
                <w:ilvl w:val="0"/>
                <w:numId w:val="37"/>
              </w:numPr>
              <w:spacing w:after="0" w:line="240" w:lineRule="auto"/>
              <w:rPr>
                <w:rFonts w:cs="Arial"/>
                <w:i/>
                <w:color w:val="000000"/>
                <w:sz w:val="20"/>
                <w:szCs w:val="20"/>
              </w:rPr>
            </w:pPr>
            <w:r w:rsidRPr="0015301F">
              <w:rPr>
                <w:rFonts w:cs="Arial"/>
                <w:i/>
                <w:color w:val="000000"/>
                <w:sz w:val="20"/>
                <w:szCs w:val="20"/>
              </w:rPr>
              <w:t>PAAR: Size estimation on number of people who use non-injecting drugs</w:t>
            </w:r>
          </w:p>
          <w:p w14:paraId="59327196" w14:textId="77777777" w:rsidR="0015301F" w:rsidRPr="0015301F" w:rsidRDefault="0015301F" w:rsidP="0015301F">
            <w:pPr>
              <w:pStyle w:val="ListParagraph"/>
              <w:numPr>
                <w:ilvl w:val="0"/>
                <w:numId w:val="37"/>
              </w:numPr>
              <w:spacing w:after="0" w:line="240" w:lineRule="auto"/>
              <w:rPr>
                <w:rFonts w:cs="Arial"/>
                <w:i/>
                <w:color w:val="000000"/>
                <w:sz w:val="20"/>
                <w:szCs w:val="20"/>
              </w:rPr>
            </w:pPr>
            <w:r w:rsidRPr="0015301F">
              <w:rPr>
                <w:rFonts w:cs="Arial"/>
                <w:i/>
                <w:color w:val="000000"/>
                <w:sz w:val="20"/>
                <w:szCs w:val="20"/>
              </w:rPr>
              <w:t xml:space="preserve">PAAR: Size estimation on transgender and qualitative component to assess needs </w:t>
            </w:r>
          </w:p>
          <w:p w14:paraId="7F3C64D9" w14:textId="77777777" w:rsidR="0015301F" w:rsidRPr="0015301F" w:rsidRDefault="0015301F" w:rsidP="0015301F">
            <w:pPr>
              <w:pStyle w:val="ListParagraph"/>
              <w:numPr>
                <w:ilvl w:val="0"/>
                <w:numId w:val="37"/>
              </w:numPr>
              <w:spacing w:after="0" w:line="240" w:lineRule="auto"/>
              <w:rPr>
                <w:rFonts w:cs="Arial"/>
                <w:i/>
                <w:color w:val="000000"/>
                <w:sz w:val="20"/>
                <w:szCs w:val="20"/>
              </w:rPr>
            </w:pPr>
            <w:r w:rsidRPr="0015301F">
              <w:rPr>
                <w:rFonts w:cs="Arial"/>
                <w:i/>
                <w:color w:val="000000"/>
                <w:sz w:val="20"/>
                <w:szCs w:val="20"/>
              </w:rPr>
              <w:t xml:space="preserve">PAAR: IBBS + Size estimates KPs (reduce frequency, plan for 2024 to inform new NSP) </w:t>
            </w:r>
          </w:p>
          <w:p w14:paraId="4AF5E579" w14:textId="77777777" w:rsidR="0015301F" w:rsidRPr="0015301F" w:rsidRDefault="0015301F" w:rsidP="0015301F">
            <w:pPr>
              <w:pStyle w:val="ListParagraph"/>
              <w:numPr>
                <w:ilvl w:val="0"/>
                <w:numId w:val="37"/>
              </w:numPr>
              <w:spacing w:after="0" w:line="240" w:lineRule="auto"/>
              <w:rPr>
                <w:rFonts w:cs="Arial"/>
                <w:i/>
                <w:color w:val="000000"/>
                <w:sz w:val="20"/>
                <w:szCs w:val="20"/>
              </w:rPr>
            </w:pPr>
            <w:r w:rsidRPr="0015301F">
              <w:rPr>
                <w:rFonts w:cs="Arial"/>
                <w:i/>
                <w:color w:val="000000"/>
                <w:sz w:val="20"/>
                <w:szCs w:val="20"/>
              </w:rPr>
              <w:t>PAAR: Survey in migrants and mobile populations</w:t>
            </w:r>
          </w:p>
          <w:p w14:paraId="6E660A07" w14:textId="77777777" w:rsidR="0015301F" w:rsidRPr="0015301F" w:rsidRDefault="0015301F" w:rsidP="0015301F">
            <w:pPr>
              <w:pStyle w:val="ListParagraph"/>
              <w:numPr>
                <w:ilvl w:val="0"/>
                <w:numId w:val="37"/>
              </w:numPr>
              <w:spacing w:after="0" w:line="240" w:lineRule="auto"/>
              <w:rPr>
                <w:rFonts w:ascii="Calibri" w:hAnsi="Calibri" w:cs="Times New Roman"/>
              </w:rPr>
            </w:pPr>
            <w:r w:rsidRPr="0015301F">
              <w:rPr>
                <w:rFonts w:cs="Arial"/>
                <w:i/>
                <w:color w:val="000000"/>
                <w:sz w:val="20"/>
                <w:szCs w:val="20"/>
              </w:rPr>
              <w:t>PAAR: Youth KAP</w:t>
            </w:r>
          </w:p>
          <w:p w14:paraId="6C45BE53" w14:textId="77777777" w:rsidR="0015301F" w:rsidRDefault="0015301F" w:rsidP="0015301F">
            <w:pPr>
              <w:spacing w:after="0" w:line="240" w:lineRule="auto"/>
              <w:rPr>
                <w:rFonts w:cs="Arial"/>
                <w:b/>
                <w:color w:val="000000"/>
                <w:sz w:val="20"/>
                <w:szCs w:val="20"/>
              </w:rPr>
            </w:pPr>
          </w:p>
          <w:p w14:paraId="61BD93BC" w14:textId="35E6A49C" w:rsidR="0015301F" w:rsidRPr="000C5EEB" w:rsidRDefault="0015301F" w:rsidP="0015301F">
            <w:pPr>
              <w:spacing w:after="0" w:line="240" w:lineRule="auto"/>
              <w:rPr>
                <w:rFonts w:cs="Arial"/>
                <w:sz w:val="20"/>
                <w:szCs w:val="20"/>
              </w:rPr>
            </w:pPr>
            <w:r w:rsidRPr="00243887">
              <w:rPr>
                <w:rFonts w:cs="Arial"/>
                <w:b/>
                <w:color w:val="000000"/>
                <w:sz w:val="20"/>
                <w:szCs w:val="20"/>
              </w:rPr>
              <w:t>RSSH: HMIS and M&amp;E</w:t>
            </w:r>
            <w:r w:rsidRPr="000C5EEB">
              <w:rPr>
                <w:rFonts w:cs="Arial"/>
                <w:color w:val="000000"/>
                <w:sz w:val="20"/>
                <w:szCs w:val="20"/>
              </w:rPr>
              <w:t xml:space="preserve">: </w:t>
            </w:r>
            <w:r w:rsidRPr="000C5EEB">
              <w:rPr>
                <w:rFonts w:cs="Arial"/>
                <w:sz w:val="20"/>
                <w:szCs w:val="20"/>
              </w:rPr>
              <w:t>Analysis, evaluations, reviews and transparency</w:t>
            </w:r>
          </w:p>
          <w:p w14:paraId="3290BE4C" w14:textId="77777777" w:rsidR="0015301F" w:rsidRPr="0015301F" w:rsidRDefault="0015301F" w:rsidP="0015301F">
            <w:pPr>
              <w:pStyle w:val="ListParagraph"/>
              <w:numPr>
                <w:ilvl w:val="0"/>
                <w:numId w:val="38"/>
              </w:numPr>
              <w:spacing w:after="0" w:line="240" w:lineRule="auto"/>
              <w:rPr>
                <w:rFonts w:cs="Arial"/>
                <w:color w:val="000000"/>
                <w:sz w:val="20"/>
                <w:szCs w:val="20"/>
              </w:rPr>
            </w:pPr>
            <w:r w:rsidRPr="0015301F">
              <w:rPr>
                <w:rFonts w:cs="Arial"/>
                <w:color w:val="000000"/>
                <w:sz w:val="20"/>
                <w:szCs w:val="20"/>
              </w:rPr>
              <w:t>Assess the capacity of HIV/STI/HIV testing in Moldova</w:t>
            </w:r>
          </w:p>
          <w:p w14:paraId="75E143D2" w14:textId="77777777" w:rsidR="0015301F" w:rsidRPr="0015301F" w:rsidRDefault="0015301F" w:rsidP="0015301F">
            <w:pPr>
              <w:pStyle w:val="ListParagraph"/>
              <w:numPr>
                <w:ilvl w:val="0"/>
                <w:numId w:val="38"/>
              </w:numPr>
              <w:spacing w:after="0" w:line="240" w:lineRule="auto"/>
              <w:rPr>
                <w:rFonts w:cs="Arial"/>
                <w:color w:val="000000"/>
                <w:sz w:val="20"/>
                <w:szCs w:val="20"/>
              </w:rPr>
            </w:pPr>
            <w:r w:rsidRPr="0015301F">
              <w:rPr>
                <w:rFonts w:cs="Arial"/>
                <w:color w:val="000000"/>
                <w:sz w:val="20"/>
                <w:szCs w:val="20"/>
              </w:rPr>
              <w:lastRenderedPageBreak/>
              <w:t xml:space="preserve">Analysis of genotypes and resistance (collaboration with Romania) </w:t>
            </w:r>
          </w:p>
          <w:p w14:paraId="5DF3C3CD" w14:textId="77777777" w:rsidR="0015301F" w:rsidRPr="0015301F" w:rsidRDefault="0015301F" w:rsidP="0015301F">
            <w:pPr>
              <w:pStyle w:val="ListParagraph"/>
              <w:numPr>
                <w:ilvl w:val="0"/>
                <w:numId w:val="38"/>
              </w:numPr>
              <w:spacing w:after="0" w:line="240" w:lineRule="auto"/>
              <w:rPr>
                <w:rFonts w:cs="Arial"/>
                <w:sz w:val="20"/>
                <w:szCs w:val="20"/>
              </w:rPr>
            </w:pPr>
            <w:r w:rsidRPr="0015301F">
              <w:rPr>
                <w:rFonts w:cs="Arial"/>
                <w:sz w:val="20"/>
                <w:szCs w:val="20"/>
              </w:rPr>
              <w:t xml:space="preserve">Recency incidence operational research </w:t>
            </w:r>
          </w:p>
          <w:p w14:paraId="6BAB7AB1" w14:textId="3677BDF1" w:rsidR="0015301F" w:rsidRPr="003744D9" w:rsidRDefault="0015301F" w:rsidP="0015301F">
            <w:pPr>
              <w:pStyle w:val="ListParagraph"/>
              <w:numPr>
                <w:ilvl w:val="0"/>
                <w:numId w:val="38"/>
              </w:numPr>
              <w:spacing w:after="0" w:line="240" w:lineRule="auto"/>
              <w:rPr>
                <w:rFonts w:cs="Arial"/>
                <w:sz w:val="20"/>
                <w:szCs w:val="20"/>
              </w:rPr>
            </w:pPr>
            <w:r w:rsidRPr="003744D9">
              <w:rPr>
                <w:rFonts w:cs="Arial"/>
                <w:sz w:val="20"/>
                <w:szCs w:val="20"/>
              </w:rPr>
              <w:t xml:space="preserve">HIV </w:t>
            </w:r>
            <w:r w:rsidR="003744D9" w:rsidRPr="003744D9">
              <w:rPr>
                <w:rFonts w:cs="Arial"/>
                <w:sz w:val="20"/>
                <w:szCs w:val="20"/>
              </w:rPr>
              <w:t xml:space="preserve">clinical and mortality </w:t>
            </w:r>
            <w:r w:rsidRPr="003744D9">
              <w:rPr>
                <w:rFonts w:cs="Arial"/>
                <w:sz w:val="20"/>
                <w:szCs w:val="20"/>
              </w:rPr>
              <w:t>audit</w:t>
            </w:r>
          </w:p>
          <w:p w14:paraId="2C8ED5BB" w14:textId="77777777" w:rsidR="0015301F" w:rsidRPr="0015301F" w:rsidRDefault="0015301F" w:rsidP="0015301F">
            <w:pPr>
              <w:pStyle w:val="ListParagraph"/>
              <w:numPr>
                <w:ilvl w:val="0"/>
                <w:numId w:val="38"/>
              </w:numPr>
              <w:spacing w:after="0" w:line="240" w:lineRule="auto"/>
              <w:rPr>
                <w:rFonts w:cs="Arial"/>
                <w:sz w:val="20"/>
                <w:szCs w:val="20"/>
              </w:rPr>
            </w:pPr>
            <w:r w:rsidRPr="0015301F">
              <w:rPr>
                <w:rFonts w:cs="Arial"/>
                <w:sz w:val="20"/>
                <w:szCs w:val="20"/>
              </w:rPr>
              <w:t>Audit of psychosocial support services</w:t>
            </w:r>
          </w:p>
          <w:p w14:paraId="7EAA4377" w14:textId="77777777" w:rsidR="0015301F" w:rsidRPr="0015301F" w:rsidRDefault="0015301F" w:rsidP="0015301F">
            <w:pPr>
              <w:pStyle w:val="ListParagraph"/>
              <w:numPr>
                <w:ilvl w:val="0"/>
                <w:numId w:val="38"/>
              </w:numPr>
              <w:spacing w:after="0" w:line="240" w:lineRule="auto"/>
              <w:rPr>
                <w:rFonts w:cs="Arial"/>
                <w:color w:val="000000"/>
                <w:sz w:val="20"/>
                <w:szCs w:val="20"/>
              </w:rPr>
            </w:pPr>
            <w:r w:rsidRPr="0015301F">
              <w:rPr>
                <w:rFonts w:cs="Arial"/>
                <w:sz w:val="20"/>
                <w:szCs w:val="20"/>
              </w:rPr>
              <w:t>Operational research to document service integration process, effectiveness, outcomes.</w:t>
            </w:r>
          </w:p>
          <w:p w14:paraId="64EB38F2" w14:textId="77777777" w:rsidR="0015301F" w:rsidRPr="0015301F" w:rsidRDefault="0015301F" w:rsidP="0015301F">
            <w:pPr>
              <w:pStyle w:val="ListParagraph"/>
              <w:numPr>
                <w:ilvl w:val="0"/>
                <w:numId w:val="38"/>
              </w:numPr>
              <w:spacing w:after="0" w:line="240" w:lineRule="auto"/>
              <w:rPr>
                <w:rFonts w:cs="Arial"/>
                <w:i/>
                <w:color w:val="000000"/>
                <w:sz w:val="20"/>
                <w:szCs w:val="20"/>
              </w:rPr>
            </w:pPr>
            <w:r w:rsidRPr="0015301F">
              <w:rPr>
                <w:rFonts w:cs="Arial"/>
                <w:i/>
                <w:color w:val="000000"/>
                <w:sz w:val="20"/>
                <w:szCs w:val="20"/>
              </w:rPr>
              <w:t>PAAR</w:t>
            </w:r>
            <w:r w:rsidRPr="0015301F">
              <w:rPr>
                <w:rFonts w:cs="Arial"/>
                <w:color w:val="000000"/>
                <w:sz w:val="20"/>
                <w:szCs w:val="20"/>
              </w:rPr>
              <w:t xml:space="preserve">: </w:t>
            </w:r>
            <w:r w:rsidRPr="0015301F">
              <w:rPr>
                <w:rFonts w:cs="Arial"/>
                <w:i/>
                <w:color w:val="000000"/>
                <w:sz w:val="20"/>
                <w:szCs w:val="20"/>
              </w:rPr>
              <w:t>Analysis of cascade leakages to improve cascade strengthening</w:t>
            </w:r>
          </w:p>
          <w:p w14:paraId="2EF47A8D" w14:textId="2EFA094A" w:rsidR="0015301F" w:rsidRPr="00143F79" w:rsidRDefault="0015301F" w:rsidP="0015301F">
            <w:pPr>
              <w:pStyle w:val="ListParagraph"/>
              <w:numPr>
                <w:ilvl w:val="0"/>
                <w:numId w:val="38"/>
              </w:numPr>
              <w:spacing w:after="0" w:line="240" w:lineRule="auto"/>
              <w:rPr>
                <w:rFonts w:cs="Arial"/>
                <w:i/>
                <w:color w:val="000000"/>
                <w:sz w:val="20"/>
                <w:szCs w:val="20"/>
              </w:rPr>
            </w:pPr>
            <w:r w:rsidRPr="0015301F">
              <w:rPr>
                <w:rFonts w:cs="Arial"/>
                <w:i/>
                <w:color w:val="000000"/>
                <w:sz w:val="20"/>
                <w:szCs w:val="20"/>
              </w:rPr>
              <w:t>PAAR</w:t>
            </w:r>
            <w:r w:rsidRPr="0015301F">
              <w:rPr>
                <w:rFonts w:cs="Arial"/>
                <w:color w:val="000000"/>
                <w:sz w:val="20"/>
                <w:szCs w:val="20"/>
              </w:rPr>
              <w:t xml:space="preserve">: </w:t>
            </w:r>
            <w:r w:rsidRPr="0015301F">
              <w:rPr>
                <w:rFonts w:cs="Arial"/>
                <w:i/>
                <w:color w:val="000000"/>
                <w:sz w:val="20"/>
                <w:szCs w:val="20"/>
              </w:rPr>
              <w:t xml:space="preserve">Operational research to assess surveillance with participation of </w:t>
            </w:r>
            <w:r w:rsidR="00143F79" w:rsidRPr="00143F79">
              <w:rPr>
                <w:rFonts w:cs="Arial"/>
                <w:i/>
                <w:color w:val="000000"/>
                <w:sz w:val="20"/>
                <w:szCs w:val="20"/>
              </w:rPr>
              <w:t xml:space="preserve">State surveillance of NAPH </w:t>
            </w:r>
            <w:r w:rsidRPr="00143F79">
              <w:rPr>
                <w:rFonts w:cs="Arial"/>
                <w:i/>
                <w:color w:val="000000"/>
                <w:sz w:val="20"/>
                <w:szCs w:val="20"/>
              </w:rPr>
              <w:t>in response and control</w:t>
            </w:r>
          </w:p>
          <w:p w14:paraId="740E3681" w14:textId="77777777" w:rsidR="0015301F" w:rsidRPr="0015301F" w:rsidRDefault="0015301F" w:rsidP="0015301F">
            <w:pPr>
              <w:pStyle w:val="ListParagraph"/>
              <w:numPr>
                <w:ilvl w:val="0"/>
                <w:numId w:val="38"/>
              </w:numPr>
              <w:spacing w:after="0" w:line="240" w:lineRule="auto"/>
              <w:rPr>
                <w:rFonts w:cs="Arial"/>
                <w:i/>
                <w:sz w:val="20"/>
                <w:szCs w:val="20"/>
              </w:rPr>
            </w:pPr>
            <w:r w:rsidRPr="0015301F">
              <w:rPr>
                <w:rFonts w:cs="Arial"/>
                <w:i/>
                <w:color w:val="000000"/>
                <w:sz w:val="20"/>
                <w:szCs w:val="20"/>
              </w:rPr>
              <w:t>PAAR</w:t>
            </w:r>
            <w:r w:rsidRPr="0015301F">
              <w:rPr>
                <w:rFonts w:cs="Arial"/>
                <w:color w:val="000000"/>
                <w:sz w:val="20"/>
                <w:szCs w:val="20"/>
              </w:rPr>
              <w:t xml:space="preserve">: </w:t>
            </w:r>
            <w:r w:rsidRPr="0015301F">
              <w:rPr>
                <w:rFonts w:cs="Arial"/>
                <w:i/>
                <w:sz w:val="20"/>
                <w:szCs w:val="20"/>
              </w:rPr>
              <w:t xml:space="preserve">Mid-term HIV NSP review </w:t>
            </w:r>
          </w:p>
          <w:p w14:paraId="604DF769" w14:textId="77777777" w:rsidR="0015301F" w:rsidRPr="0015301F" w:rsidRDefault="0015301F" w:rsidP="0015301F">
            <w:pPr>
              <w:pStyle w:val="ListParagraph"/>
              <w:numPr>
                <w:ilvl w:val="0"/>
                <w:numId w:val="38"/>
              </w:numPr>
              <w:spacing w:after="0" w:line="240" w:lineRule="auto"/>
              <w:rPr>
                <w:rFonts w:cs="Arial"/>
                <w:i/>
                <w:sz w:val="20"/>
                <w:szCs w:val="20"/>
              </w:rPr>
            </w:pPr>
            <w:r w:rsidRPr="0015301F">
              <w:rPr>
                <w:rFonts w:cs="Arial"/>
                <w:i/>
                <w:color w:val="000000"/>
                <w:sz w:val="20"/>
                <w:szCs w:val="20"/>
              </w:rPr>
              <w:t>PAAR</w:t>
            </w:r>
            <w:r w:rsidRPr="0015301F">
              <w:rPr>
                <w:rFonts w:cs="Arial"/>
                <w:color w:val="000000"/>
                <w:sz w:val="20"/>
                <w:szCs w:val="20"/>
              </w:rPr>
              <w:t xml:space="preserve">: </w:t>
            </w:r>
            <w:r w:rsidRPr="0015301F">
              <w:rPr>
                <w:rFonts w:cs="Arial"/>
                <w:i/>
                <w:sz w:val="20"/>
                <w:szCs w:val="20"/>
              </w:rPr>
              <w:t xml:space="preserve">Final HIV NSP review </w:t>
            </w:r>
          </w:p>
          <w:p w14:paraId="2A195D6C" w14:textId="77777777" w:rsidR="0015301F" w:rsidRPr="0015301F" w:rsidRDefault="0015301F" w:rsidP="0015301F">
            <w:pPr>
              <w:pStyle w:val="ListParagraph"/>
              <w:numPr>
                <w:ilvl w:val="0"/>
                <w:numId w:val="38"/>
              </w:numPr>
              <w:spacing w:after="0" w:line="240" w:lineRule="auto"/>
              <w:rPr>
                <w:rFonts w:cs="Arial"/>
                <w:i/>
                <w:sz w:val="20"/>
                <w:szCs w:val="20"/>
              </w:rPr>
            </w:pPr>
            <w:r w:rsidRPr="0015301F">
              <w:rPr>
                <w:rFonts w:cs="Arial"/>
                <w:i/>
                <w:color w:val="000000"/>
                <w:sz w:val="20"/>
                <w:szCs w:val="20"/>
              </w:rPr>
              <w:t>PAAR</w:t>
            </w:r>
            <w:r w:rsidRPr="0015301F">
              <w:rPr>
                <w:rFonts w:cs="Arial"/>
                <w:color w:val="000000"/>
                <w:sz w:val="20"/>
                <w:szCs w:val="20"/>
              </w:rPr>
              <w:t xml:space="preserve">: </w:t>
            </w:r>
            <w:r w:rsidRPr="0015301F">
              <w:rPr>
                <w:rFonts w:cs="Arial"/>
                <w:i/>
                <w:sz w:val="20"/>
                <w:szCs w:val="20"/>
              </w:rPr>
              <w:t>Development and publication of annual HIV epi report</w:t>
            </w:r>
          </w:p>
          <w:p w14:paraId="2A21CFC1" w14:textId="77777777" w:rsidR="0015301F" w:rsidRPr="0015301F" w:rsidRDefault="0015301F" w:rsidP="0015301F">
            <w:pPr>
              <w:pStyle w:val="ListParagraph"/>
              <w:numPr>
                <w:ilvl w:val="0"/>
                <w:numId w:val="38"/>
              </w:numPr>
              <w:spacing w:after="0" w:line="240" w:lineRule="auto"/>
              <w:rPr>
                <w:rFonts w:cs="Arial"/>
                <w:i/>
                <w:sz w:val="20"/>
                <w:szCs w:val="20"/>
              </w:rPr>
            </w:pPr>
            <w:r w:rsidRPr="0015301F">
              <w:rPr>
                <w:rFonts w:cs="Arial"/>
                <w:i/>
                <w:color w:val="000000"/>
                <w:sz w:val="20"/>
                <w:szCs w:val="20"/>
              </w:rPr>
              <w:t>PAAR</w:t>
            </w:r>
            <w:r w:rsidRPr="0015301F">
              <w:rPr>
                <w:rFonts w:cs="Arial"/>
                <w:color w:val="000000"/>
                <w:sz w:val="20"/>
                <w:szCs w:val="20"/>
              </w:rPr>
              <w:t xml:space="preserve">: </w:t>
            </w:r>
            <w:r w:rsidRPr="0015301F">
              <w:rPr>
                <w:rFonts w:cs="Arial"/>
                <w:i/>
                <w:sz w:val="20"/>
                <w:szCs w:val="20"/>
              </w:rPr>
              <w:t>Preparing epi data to Euro WHO and ECDC</w:t>
            </w:r>
          </w:p>
          <w:p w14:paraId="640E490D" w14:textId="77777777" w:rsidR="00BD6706" w:rsidRDefault="00BD6706" w:rsidP="0015301F">
            <w:pPr>
              <w:spacing w:after="0" w:line="240" w:lineRule="auto"/>
              <w:rPr>
                <w:rFonts w:cs="Arial"/>
                <w:b/>
                <w:sz w:val="20"/>
                <w:szCs w:val="20"/>
              </w:rPr>
            </w:pPr>
          </w:p>
          <w:p w14:paraId="3BAAD99A" w14:textId="2C5833B1" w:rsidR="0015301F" w:rsidRPr="000C5EEB" w:rsidRDefault="0015301F" w:rsidP="0015301F">
            <w:pPr>
              <w:spacing w:after="0" w:line="240" w:lineRule="auto"/>
              <w:rPr>
                <w:rFonts w:cs="Arial"/>
                <w:sz w:val="20"/>
                <w:szCs w:val="20"/>
              </w:rPr>
            </w:pPr>
            <w:r w:rsidRPr="00243887">
              <w:rPr>
                <w:rFonts w:cs="Arial"/>
                <w:b/>
                <w:sz w:val="20"/>
                <w:szCs w:val="20"/>
              </w:rPr>
              <w:t xml:space="preserve">RSSH </w:t>
            </w:r>
            <w:r w:rsidR="009B7CC7" w:rsidRPr="00243887">
              <w:rPr>
                <w:rFonts w:cs="Arial"/>
                <w:b/>
                <w:sz w:val="20"/>
                <w:szCs w:val="20"/>
              </w:rPr>
              <w:t>Laboratory systems</w:t>
            </w:r>
            <w:r w:rsidR="009B7CC7" w:rsidRPr="00A70A53">
              <w:rPr>
                <w:rFonts w:cs="Arial"/>
                <w:sz w:val="20"/>
                <w:szCs w:val="20"/>
              </w:rPr>
              <w:t xml:space="preserve">: </w:t>
            </w:r>
            <w:r w:rsidRPr="000C5EEB">
              <w:rPr>
                <w:rFonts w:cs="Arial"/>
                <w:sz w:val="20"/>
                <w:szCs w:val="20"/>
              </w:rPr>
              <w:t xml:space="preserve"> </w:t>
            </w:r>
            <w:r w:rsidRPr="009B7CC7">
              <w:rPr>
                <w:rFonts w:cs="Arial"/>
                <w:b/>
                <w:sz w:val="20"/>
                <w:szCs w:val="20"/>
              </w:rPr>
              <w:t>Quality management systems and accreditation</w:t>
            </w:r>
            <w:r w:rsidRPr="000C5EEB">
              <w:rPr>
                <w:rFonts w:cs="Arial"/>
                <w:sz w:val="20"/>
                <w:szCs w:val="20"/>
              </w:rPr>
              <w:t xml:space="preserve"> </w:t>
            </w:r>
          </w:p>
          <w:p w14:paraId="63B6BE82" w14:textId="1C8C516C" w:rsidR="00BD6706" w:rsidRDefault="00BD6706" w:rsidP="0015301F">
            <w:pPr>
              <w:pStyle w:val="ListParagraph"/>
              <w:numPr>
                <w:ilvl w:val="0"/>
                <w:numId w:val="39"/>
              </w:numPr>
              <w:spacing w:after="0" w:line="240" w:lineRule="auto"/>
              <w:rPr>
                <w:rFonts w:cs="Arial"/>
                <w:sz w:val="20"/>
                <w:szCs w:val="20"/>
              </w:rPr>
            </w:pPr>
            <w:r w:rsidRPr="0000338D">
              <w:rPr>
                <w:rFonts w:cs="Arial"/>
                <w:bCs/>
                <w:color w:val="000000"/>
                <w:sz w:val="20"/>
                <w:szCs w:val="20"/>
              </w:rPr>
              <w:t>TB lab strengthening (quality management, external quality assessment, biosecurity standards)</w:t>
            </w:r>
          </w:p>
          <w:p w14:paraId="4E09BE6B" w14:textId="1403B52B" w:rsidR="0015301F" w:rsidRPr="0015301F" w:rsidRDefault="0015301F" w:rsidP="0015301F">
            <w:pPr>
              <w:pStyle w:val="ListParagraph"/>
              <w:numPr>
                <w:ilvl w:val="0"/>
                <w:numId w:val="39"/>
              </w:numPr>
              <w:spacing w:after="0" w:line="240" w:lineRule="auto"/>
              <w:rPr>
                <w:rFonts w:cs="Arial"/>
                <w:sz w:val="20"/>
                <w:szCs w:val="20"/>
              </w:rPr>
            </w:pPr>
            <w:r w:rsidRPr="0015301F">
              <w:rPr>
                <w:rFonts w:cs="Arial"/>
                <w:sz w:val="20"/>
                <w:szCs w:val="20"/>
              </w:rPr>
              <w:t xml:space="preserve">Implementation and maintaining QMS ISO 15189 in </w:t>
            </w:r>
            <w:r w:rsidR="00BD6706">
              <w:rPr>
                <w:rFonts w:cs="Arial"/>
                <w:sz w:val="20"/>
                <w:szCs w:val="20"/>
              </w:rPr>
              <w:t xml:space="preserve">HIV </w:t>
            </w:r>
            <w:r w:rsidRPr="0015301F">
              <w:rPr>
                <w:rFonts w:cs="Arial"/>
                <w:sz w:val="20"/>
                <w:szCs w:val="20"/>
              </w:rPr>
              <w:t>National Reference lab</w:t>
            </w:r>
          </w:p>
          <w:p w14:paraId="66DAE0D7" w14:textId="4538BE84" w:rsidR="0015301F" w:rsidRPr="0015301F" w:rsidRDefault="00BD6706" w:rsidP="0015301F">
            <w:pPr>
              <w:pStyle w:val="ListParagraph"/>
              <w:numPr>
                <w:ilvl w:val="0"/>
                <w:numId w:val="39"/>
              </w:numPr>
              <w:spacing w:after="0" w:line="240" w:lineRule="auto"/>
              <w:rPr>
                <w:rFonts w:cs="Arial"/>
                <w:sz w:val="20"/>
                <w:szCs w:val="20"/>
              </w:rPr>
            </w:pPr>
            <w:r>
              <w:rPr>
                <w:rFonts w:cs="Arial"/>
                <w:sz w:val="20"/>
                <w:szCs w:val="20"/>
              </w:rPr>
              <w:t>HIV</w:t>
            </w:r>
            <w:r w:rsidRPr="0015301F">
              <w:rPr>
                <w:rFonts w:cs="Arial"/>
                <w:sz w:val="20"/>
                <w:szCs w:val="20"/>
              </w:rPr>
              <w:t xml:space="preserve"> </w:t>
            </w:r>
            <w:r w:rsidR="0015301F" w:rsidRPr="0015301F">
              <w:rPr>
                <w:rFonts w:cs="Arial"/>
                <w:sz w:val="20"/>
                <w:szCs w:val="20"/>
              </w:rPr>
              <w:t>EQA participation</w:t>
            </w:r>
          </w:p>
          <w:p w14:paraId="75F08D5E" w14:textId="046F76FD" w:rsidR="0015301F" w:rsidRPr="0015301F" w:rsidRDefault="0015301F" w:rsidP="0015301F">
            <w:pPr>
              <w:pStyle w:val="ListParagraph"/>
              <w:numPr>
                <w:ilvl w:val="0"/>
                <w:numId w:val="39"/>
              </w:numPr>
              <w:spacing w:after="0" w:line="240" w:lineRule="auto"/>
              <w:rPr>
                <w:rFonts w:cs="Arial"/>
                <w:sz w:val="20"/>
                <w:szCs w:val="20"/>
              </w:rPr>
            </w:pPr>
            <w:r w:rsidRPr="0015301F">
              <w:rPr>
                <w:rFonts w:cs="Arial"/>
                <w:sz w:val="20"/>
                <w:szCs w:val="20"/>
              </w:rPr>
              <w:t xml:space="preserve">Periodic auditing of </w:t>
            </w:r>
            <w:r w:rsidR="00BD6706">
              <w:rPr>
                <w:rFonts w:cs="Arial"/>
                <w:sz w:val="20"/>
                <w:szCs w:val="20"/>
              </w:rPr>
              <w:t xml:space="preserve">HIV </w:t>
            </w:r>
            <w:r w:rsidRPr="0015301F">
              <w:rPr>
                <w:rFonts w:cs="Arial"/>
                <w:sz w:val="20"/>
                <w:szCs w:val="20"/>
              </w:rPr>
              <w:t>Testing Center (QA)</w:t>
            </w:r>
          </w:p>
          <w:p w14:paraId="286C3341" w14:textId="5B5C175A" w:rsidR="0015301F" w:rsidRPr="0015301F" w:rsidRDefault="0015301F" w:rsidP="0015301F">
            <w:pPr>
              <w:pStyle w:val="ListParagraph"/>
              <w:numPr>
                <w:ilvl w:val="0"/>
                <w:numId w:val="39"/>
              </w:numPr>
              <w:spacing w:after="0" w:line="240" w:lineRule="auto"/>
              <w:rPr>
                <w:rFonts w:cs="Arial"/>
                <w:sz w:val="20"/>
                <w:szCs w:val="20"/>
              </w:rPr>
            </w:pPr>
            <w:r w:rsidRPr="0015301F">
              <w:rPr>
                <w:rFonts w:cs="Arial"/>
                <w:sz w:val="20"/>
                <w:szCs w:val="20"/>
              </w:rPr>
              <w:t xml:space="preserve">Develop and implement national QC program for </w:t>
            </w:r>
            <w:r w:rsidR="00BD6706">
              <w:rPr>
                <w:rFonts w:cs="Arial"/>
                <w:sz w:val="20"/>
                <w:szCs w:val="20"/>
              </w:rPr>
              <w:t xml:space="preserve">HIV </w:t>
            </w:r>
            <w:r w:rsidRPr="0015301F">
              <w:rPr>
                <w:rFonts w:cs="Arial"/>
                <w:sz w:val="20"/>
                <w:szCs w:val="20"/>
              </w:rPr>
              <w:t>NRL and RRL and Testing Centers for HIV/STI</w:t>
            </w:r>
          </w:p>
          <w:p w14:paraId="45F068EC" w14:textId="77777777" w:rsidR="00BD6706" w:rsidRDefault="00BD6706" w:rsidP="0015301F">
            <w:pPr>
              <w:spacing w:after="0" w:line="240" w:lineRule="auto"/>
              <w:rPr>
                <w:rFonts w:cs="Arial"/>
                <w:b/>
                <w:sz w:val="20"/>
                <w:szCs w:val="20"/>
              </w:rPr>
            </w:pPr>
          </w:p>
          <w:p w14:paraId="4826213A" w14:textId="3B400CA0" w:rsidR="0015301F" w:rsidRDefault="0015301F" w:rsidP="0015301F">
            <w:pPr>
              <w:spacing w:after="0" w:line="240" w:lineRule="auto"/>
              <w:rPr>
                <w:rFonts w:cs="Arial"/>
                <w:sz w:val="20"/>
                <w:szCs w:val="20"/>
              </w:rPr>
            </w:pPr>
            <w:r w:rsidRPr="00243887">
              <w:rPr>
                <w:rFonts w:cs="Arial"/>
                <w:b/>
                <w:sz w:val="20"/>
                <w:szCs w:val="20"/>
              </w:rPr>
              <w:t xml:space="preserve">RSSH </w:t>
            </w:r>
            <w:r w:rsidR="009B7CC7" w:rsidRPr="00243887">
              <w:rPr>
                <w:rFonts w:cs="Arial"/>
                <w:b/>
                <w:sz w:val="20"/>
                <w:szCs w:val="20"/>
              </w:rPr>
              <w:t>Laboratory systems</w:t>
            </w:r>
            <w:r w:rsidR="009B7CC7" w:rsidRPr="00A70A53">
              <w:rPr>
                <w:rFonts w:cs="Arial"/>
                <w:sz w:val="20"/>
                <w:szCs w:val="20"/>
              </w:rPr>
              <w:t xml:space="preserve">: </w:t>
            </w:r>
            <w:r>
              <w:rPr>
                <w:rFonts w:cs="Arial"/>
                <w:sz w:val="20"/>
                <w:szCs w:val="20"/>
              </w:rPr>
              <w:t xml:space="preserve"> </w:t>
            </w:r>
            <w:r w:rsidRPr="009B7CC7">
              <w:rPr>
                <w:rFonts w:cs="Arial"/>
                <w:b/>
                <w:sz w:val="20"/>
                <w:szCs w:val="20"/>
              </w:rPr>
              <w:t>Quality Infrastructure and equipment management systems</w:t>
            </w:r>
          </w:p>
          <w:p w14:paraId="49E45E79" w14:textId="77777777" w:rsidR="0015301F" w:rsidRPr="0015301F" w:rsidRDefault="0015301F" w:rsidP="0015301F">
            <w:pPr>
              <w:pStyle w:val="ListParagraph"/>
              <w:numPr>
                <w:ilvl w:val="0"/>
                <w:numId w:val="40"/>
              </w:numPr>
              <w:spacing w:after="0" w:line="240" w:lineRule="auto"/>
              <w:rPr>
                <w:rFonts w:cs="Arial"/>
                <w:sz w:val="20"/>
                <w:szCs w:val="20"/>
              </w:rPr>
            </w:pPr>
            <w:r w:rsidRPr="0015301F">
              <w:rPr>
                <w:rFonts w:cs="Arial"/>
                <w:sz w:val="20"/>
                <w:szCs w:val="20"/>
              </w:rPr>
              <w:t>Establish and strengthen National HIV/STI Lab</w:t>
            </w:r>
          </w:p>
          <w:p w14:paraId="590911E9" w14:textId="77777777" w:rsidR="0015301F" w:rsidRPr="0015301F" w:rsidRDefault="0015301F" w:rsidP="0015301F">
            <w:pPr>
              <w:pStyle w:val="ListParagraph"/>
              <w:numPr>
                <w:ilvl w:val="0"/>
                <w:numId w:val="40"/>
              </w:numPr>
              <w:spacing w:after="0" w:line="240" w:lineRule="auto"/>
              <w:rPr>
                <w:rFonts w:cs="Arial"/>
                <w:i/>
                <w:color w:val="000000"/>
                <w:sz w:val="20"/>
                <w:szCs w:val="20"/>
              </w:rPr>
            </w:pPr>
            <w:r w:rsidRPr="0015301F">
              <w:rPr>
                <w:rFonts w:cs="Arial"/>
                <w:i/>
                <w:color w:val="000000"/>
                <w:sz w:val="20"/>
                <w:szCs w:val="20"/>
              </w:rPr>
              <w:t>PAAR</w:t>
            </w:r>
            <w:r w:rsidRPr="0015301F">
              <w:rPr>
                <w:rFonts w:cs="Arial"/>
                <w:color w:val="000000"/>
                <w:sz w:val="20"/>
                <w:szCs w:val="20"/>
              </w:rPr>
              <w:t xml:space="preserve">: </w:t>
            </w:r>
            <w:r w:rsidRPr="0015301F">
              <w:rPr>
                <w:rFonts w:cs="Arial"/>
                <w:i/>
                <w:color w:val="000000"/>
                <w:sz w:val="20"/>
                <w:szCs w:val="20"/>
              </w:rPr>
              <w:t>Renovation and equipping NRL</w:t>
            </w:r>
          </w:p>
          <w:p w14:paraId="4C00FC33" w14:textId="77777777" w:rsidR="0015301F" w:rsidRPr="0015301F" w:rsidRDefault="0015301F" w:rsidP="0015301F">
            <w:pPr>
              <w:pStyle w:val="ListParagraph"/>
              <w:numPr>
                <w:ilvl w:val="0"/>
                <w:numId w:val="40"/>
              </w:numPr>
              <w:spacing w:after="0" w:line="240" w:lineRule="auto"/>
              <w:rPr>
                <w:rFonts w:cs="Arial"/>
                <w:sz w:val="20"/>
                <w:szCs w:val="20"/>
              </w:rPr>
            </w:pPr>
            <w:r w:rsidRPr="0015301F">
              <w:rPr>
                <w:rFonts w:cs="Arial"/>
                <w:sz w:val="20"/>
                <w:szCs w:val="20"/>
              </w:rPr>
              <w:t>Establish and strengthen Regional Reference HIV/STI Lab</w:t>
            </w:r>
          </w:p>
          <w:p w14:paraId="5CD80139" w14:textId="77777777" w:rsidR="0015301F" w:rsidRPr="0015301F" w:rsidRDefault="0015301F" w:rsidP="0015301F">
            <w:pPr>
              <w:pStyle w:val="ListParagraph"/>
              <w:numPr>
                <w:ilvl w:val="0"/>
                <w:numId w:val="40"/>
              </w:numPr>
              <w:spacing w:after="0" w:line="240" w:lineRule="auto"/>
              <w:rPr>
                <w:rFonts w:cs="Arial"/>
                <w:sz w:val="20"/>
                <w:szCs w:val="20"/>
              </w:rPr>
            </w:pPr>
            <w:r w:rsidRPr="0015301F">
              <w:rPr>
                <w:rFonts w:cs="Arial"/>
                <w:sz w:val="20"/>
                <w:szCs w:val="20"/>
              </w:rPr>
              <w:t>Lab equipment maintenance (NRL and RRLs)</w:t>
            </w:r>
          </w:p>
          <w:p w14:paraId="4A404901" w14:textId="77777777" w:rsidR="00BD6706" w:rsidRDefault="00BD6706" w:rsidP="0015301F">
            <w:pPr>
              <w:spacing w:after="0" w:line="240" w:lineRule="auto"/>
              <w:rPr>
                <w:rFonts w:cs="Arial"/>
                <w:b/>
                <w:sz w:val="20"/>
                <w:szCs w:val="20"/>
              </w:rPr>
            </w:pPr>
          </w:p>
          <w:p w14:paraId="68B1D6E6" w14:textId="4B9C67A0" w:rsidR="0015301F" w:rsidRPr="00A70A53" w:rsidRDefault="0015301F" w:rsidP="0015301F">
            <w:pPr>
              <w:spacing w:after="0" w:line="240" w:lineRule="auto"/>
              <w:rPr>
                <w:rFonts w:cs="Arial"/>
                <w:sz w:val="20"/>
                <w:szCs w:val="20"/>
              </w:rPr>
            </w:pPr>
            <w:r w:rsidRPr="00243887">
              <w:rPr>
                <w:rFonts w:cs="Arial"/>
                <w:b/>
                <w:sz w:val="20"/>
                <w:szCs w:val="20"/>
              </w:rPr>
              <w:t>RSSH: Laboratory systems</w:t>
            </w:r>
            <w:r w:rsidRPr="00A70A53">
              <w:rPr>
                <w:rFonts w:cs="Arial"/>
                <w:sz w:val="20"/>
                <w:szCs w:val="20"/>
              </w:rPr>
              <w:t xml:space="preserve">: Information systems and integrated specimen transport networks </w:t>
            </w:r>
          </w:p>
          <w:p w14:paraId="78A24B69" w14:textId="77777777" w:rsidR="0015301F" w:rsidRPr="0015301F" w:rsidRDefault="0015301F" w:rsidP="0015301F">
            <w:pPr>
              <w:pStyle w:val="ListParagraph"/>
              <w:numPr>
                <w:ilvl w:val="0"/>
                <w:numId w:val="41"/>
              </w:numPr>
              <w:spacing w:after="0" w:line="240" w:lineRule="auto"/>
              <w:rPr>
                <w:rFonts w:cs="Arial"/>
                <w:sz w:val="20"/>
                <w:szCs w:val="20"/>
              </w:rPr>
            </w:pPr>
            <w:r w:rsidRPr="0015301F">
              <w:rPr>
                <w:rFonts w:cs="Arial"/>
                <w:sz w:val="20"/>
                <w:szCs w:val="20"/>
              </w:rPr>
              <w:t>LIS implementation and maintenance NRL level</w:t>
            </w:r>
          </w:p>
          <w:p w14:paraId="05340624" w14:textId="77777777" w:rsidR="0015301F" w:rsidRPr="0015301F" w:rsidRDefault="0015301F" w:rsidP="0015301F">
            <w:pPr>
              <w:pStyle w:val="ListParagraph"/>
              <w:numPr>
                <w:ilvl w:val="0"/>
                <w:numId w:val="41"/>
              </w:numPr>
              <w:spacing w:after="0" w:line="240" w:lineRule="auto"/>
              <w:rPr>
                <w:rFonts w:cs="Arial"/>
                <w:sz w:val="20"/>
                <w:szCs w:val="20"/>
              </w:rPr>
            </w:pPr>
            <w:r w:rsidRPr="0015301F">
              <w:rPr>
                <w:rFonts w:cs="Arial"/>
                <w:sz w:val="20"/>
                <w:szCs w:val="20"/>
              </w:rPr>
              <w:t>LIS HIV testing Centers level</w:t>
            </w:r>
          </w:p>
          <w:p w14:paraId="37DC4475" w14:textId="77777777" w:rsidR="0015301F" w:rsidRDefault="0015301F" w:rsidP="0015301F">
            <w:pPr>
              <w:spacing w:after="0" w:line="240" w:lineRule="auto"/>
              <w:rPr>
                <w:rFonts w:cs="Arial"/>
                <w:sz w:val="20"/>
                <w:szCs w:val="20"/>
              </w:rPr>
            </w:pPr>
          </w:p>
          <w:p w14:paraId="43EEB6C0" w14:textId="6A8BA74C" w:rsidR="0015301F" w:rsidRDefault="00BD6706" w:rsidP="00BD6706">
            <w:pPr>
              <w:spacing w:after="0" w:line="240" w:lineRule="auto"/>
              <w:rPr>
                <w:rFonts w:cs="Arial"/>
                <w:b/>
                <w:sz w:val="20"/>
                <w:szCs w:val="20"/>
              </w:rPr>
            </w:pPr>
            <w:r w:rsidRPr="00243887">
              <w:rPr>
                <w:rFonts w:cs="Arial"/>
                <w:b/>
                <w:sz w:val="20"/>
                <w:szCs w:val="20"/>
              </w:rPr>
              <w:t>RSSH:</w:t>
            </w:r>
            <w:r>
              <w:rPr>
                <w:rFonts w:cs="Arial"/>
                <w:b/>
                <w:sz w:val="20"/>
                <w:szCs w:val="20"/>
              </w:rPr>
              <w:t xml:space="preserve"> </w:t>
            </w:r>
            <w:r w:rsidRPr="00BD6706">
              <w:rPr>
                <w:rFonts w:cs="Arial"/>
                <w:b/>
                <w:sz w:val="20"/>
                <w:szCs w:val="20"/>
              </w:rPr>
              <w:t>Health products management systems</w:t>
            </w:r>
          </w:p>
          <w:p w14:paraId="3D8182E0" w14:textId="5C3E1087" w:rsidR="00BD6706" w:rsidRPr="00BD6706" w:rsidRDefault="00BD6706" w:rsidP="00BD6706">
            <w:pPr>
              <w:pStyle w:val="ListParagraph"/>
              <w:numPr>
                <w:ilvl w:val="0"/>
                <w:numId w:val="43"/>
              </w:numPr>
              <w:spacing w:after="0" w:line="240" w:lineRule="auto"/>
              <w:rPr>
                <w:rFonts w:cs="Arial"/>
                <w:b/>
                <w:sz w:val="20"/>
                <w:szCs w:val="20"/>
              </w:rPr>
            </w:pPr>
            <w:r w:rsidRPr="00BD6706">
              <w:rPr>
                <w:rFonts w:cs="Arial"/>
                <w:bCs/>
                <w:color w:val="000000"/>
                <w:sz w:val="20"/>
                <w:szCs w:val="20"/>
              </w:rPr>
              <w:t>Ensuring access to medicines for preventing adverse reactions during TB treatment, pharmacovigilance</w:t>
            </w:r>
          </w:p>
          <w:p w14:paraId="2D3D7297" w14:textId="25BF8F33" w:rsidR="00BD6706" w:rsidRPr="00BD6706" w:rsidRDefault="00BD6706" w:rsidP="00BD6706">
            <w:pPr>
              <w:pStyle w:val="ListParagraph"/>
              <w:numPr>
                <w:ilvl w:val="0"/>
                <w:numId w:val="43"/>
              </w:numPr>
              <w:spacing w:after="0" w:line="240" w:lineRule="auto"/>
              <w:rPr>
                <w:rFonts w:cs="Arial"/>
                <w:i/>
                <w:color w:val="000000"/>
                <w:sz w:val="20"/>
                <w:szCs w:val="20"/>
              </w:rPr>
            </w:pPr>
            <w:r w:rsidRPr="00BD6706">
              <w:rPr>
                <w:rFonts w:cs="Arial"/>
                <w:i/>
                <w:color w:val="000000"/>
                <w:sz w:val="20"/>
                <w:szCs w:val="20"/>
              </w:rPr>
              <w:t xml:space="preserve">PAAR: Pharmacovigilance: training on active reporting HIV treatment side effects </w:t>
            </w:r>
          </w:p>
          <w:p w14:paraId="2EE3FA2A" w14:textId="2961D603" w:rsidR="00BD6706" w:rsidRPr="00BD6706" w:rsidRDefault="00BD6706" w:rsidP="00BD6706">
            <w:pPr>
              <w:pStyle w:val="ListParagraph"/>
              <w:numPr>
                <w:ilvl w:val="0"/>
                <w:numId w:val="43"/>
              </w:numPr>
              <w:spacing w:after="0" w:line="240" w:lineRule="auto"/>
              <w:rPr>
                <w:rFonts w:ascii="Calibri" w:hAnsi="Calibri" w:cs="Times New Roman"/>
              </w:rPr>
            </w:pPr>
            <w:r w:rsidRPr="00BD6706">
              <w:rPr>
                <w:rFonts w:cs="Arial"/>
                <w:i/>
                <w:color w:val="000000"/>
                <w:sz w:val="20"/>
                <w:szCs w:val="20"/>
              </w:rPr>
              <w:t xml:space="preserve">PAAR: </w:t>
            </w:r>
            <w:r w:rsidRPr="00BD6706">
              <w:rPr>
                <w:rFonts w:cstheme="minorHAnsi"/>
                <w:i/>
                <w:sz w:val="20"/>
                <w:szCs w:val="20"/>
              </w:rPr>
              <w:t>Improve PV regulation for HIV</w:t>
            </w:r>
          </w:p>
        </w:tc>
      </w:tr>
      <w:tr w:rsidR="0040643D" w:rsidRPr="00BF4BEE" w14:paraId="0B7AAB1C" w14:textId="77777777" w:rsidTr="00500903">
        <w:trPr>
          <w:trHeight w:val="440"/>
        </w:trPr>
        <w:tc>
          <w:tcPr>
            <w:tcW w:w="2448" w:type="dxa"/>
            <w:shd w:val="clear" w:color="auto" w:fill="F2F2F2"/>
            <w:vAlign w:val="center"/>
          </w:tcPr>
          <w:p w14:paraId="6CA767B0" w14:textId="77777777" w:rsidR="0040643D" w:rsidRPr="00BF4BEE" w:rsidRDefault="0040643D" w:rsidP="00500903">
            <w:pPr>
              <w:spacing w:after="0"/>
            </w:pPr>
            <w:r w:rsidRPr="00BF4BEE">
              <w:lastRenderedPageBreak/>
              <w:t>Priority populations</w:t>
            </w:r>
          </w:p>
        </w:tc>
        <w:tc>
          <w:tcPr>
            <w:tcW w:w="7902" w:type="dxa"/>
          </w:tcPr>
          <w:p w14:paraId="54FB8DBD" w14:textId="1547C73A" w:rsidR="009B7CC7" w:rsidRDefault="006F2AA1" w:rsidP="00500903">
            <w:pPr>
              <w:spacing w:after="0"/>
              <w:rPr>
                <w:rFonts w:ascii="Calibri" w:hAnsi="Calibri" w:cs="Times New Roman"/>
              </w:rPr>
            </w:pPr>
            <w:r>
              <w:rPr>
                <w:rFonts w:ascii="Calibri" w:hAnsi="Calibri" w:cs="Times New Roman"/>
              </w:rPr>
              <w:t xml:space="preserve">Key populations: MSM, SW, PWID, people in prisons, homeless, migrants, Roma </w:t>
            </w:r>
          </w:p>
          <w:p w14:paraId="6D41AC44" w14:textId="2652E3D8" w:rsidR="009B7CC7" w:rsidRPr="00BF4BEE" w:rsidRDefault="009B7CC7" w:rsidP="00500903">
            <w:pPr>
              <w:spacing w:after="0"/>
              <w:rPr>
                <w:rFonts w:ascii="Calibri" w:hAnsi="Calibri" w:cs="Times New Roman"/>
              </w:rPr>
            </w:pPr>
          </w:p>
        </w:tc>
      </w:tr>
      <w:tr w:rsidR="0040643D" w:rsidRPr="00BF4BEE" w14:paraId="68FEC14E" w14:textId="77777777" w:rsidTr="00500903">
        <w:trPr>
          <w:trHeight w:val="440"/>
        </w:trPr>
        <w:tc>
          <w:tcPr>
            <w:tcW w:w="2448" w:type="dxa"/>
            <w:shd w:val="clear" w:color="auto" w:fill="F2F2F2"/>
            <w:vAlign w:val="center"/>
          </w:tcPr>
          <w:p w14:paraId="7C031521" w14:textId="77777777" w:rsidR="0040643D" w:rsidRPr="00633BBC" w:rsidRDefault="0040643D" w:rsidP="00500903">
            <w:pPr>
              <w:spacing w:after="0"/>
            </w:pPr>
            <w:r>
              <w:t>Barriers and i</w:t>
            </w:r>
            <w:r w:rsidRPr="009A1DC8">
              <w:t>nequities</w:t>
            </w:r>
          </w:p>
        </w:tc>
        <w:tc>
          <w:tcPr>
            <w:tcW w:w="7902" w:type="dxa"/>
          </w:tcPr>
          <w:p w14:paraId="695B1563" w14:textId="77777777" w:rsidR="0040643D" w:rsidRPr="006F2AA1" w:rsidRDefault="006F2AA1" w:rsidP="00326A6B">
            <w:pPr>
              <w:pStyle w:val="ListParagraph"/>
              <w:numPr>
                <w:ilvl w:val="0"/>
                <w:numId w:val="75"/>
              </w:numPr>
              <w:spacing w:after="0"/>
              <w:rPr>
                <w:rFonts w:cstheme="minorHAnsi"/>
                <w:sz w:val="20"/>
              </w:rPr>
            </w:pPr>
            <w:r w:rsidRPr="006F2AA1">
              <w:rPr>
                <w:rFonts w:cstheme="minorHAnsi"/>
                <w:sz w:val="20"/>
              </w:rPr>
              <w:t>Rural residents have lower access and need to travel to access specialized services</w:t>
            </w:r>
          </w:p>
          <w:p w14:paraId="358941C4" w14:textId="78FE633B" w:rsidR="006F2AA1" w:rsidRDefault="006F2AA1" w:rsidP="00326A6B">
            <w:pPr>
              <w:pStyle w:val="ListParagraph"/>
              <w:numPr>
                <w:ilvl w:val="0"/>
                <w:numId w:val="75"/>
              </w:numPr>
              <w:spacing w:after="0"/>
              <w:rPr>
                <w:rFonts w:cstheme="minorHAnsi"/>
                <w:sz w:val="20"/>
              </w:rPr>
            </w:pPr>
            <w:r w:rsidRPr="006F2AA1">
              <w:rPr>
                <w:rFonts w:cstheme="minorHAnsi"/>
                <w:sz w:val="20"/>
              </w:rPr>
              <w:t xml:space="preserve">Excessive hospitalization creates a number of barriers in families affected by TB </w:t>
            </w:r>
          </w:p>
          <w:p w14:paraId="5231CD5D" w14:textId="57916131" w:rsidR="006F2AA1" w:rsidRPr="006F2AA1" w:rsidRDefault="006F2AA1" w:rsidP="00326A6B">
            <w:pPr>
              <w:pStyle w:val="ListParagraph"/>
              <w:numPr>
                <w:ilvl w:val="0"/>
                <w:numId w:val="75"/>
              </w:numPr>
              <w:spacing w:after="0"/>
              <w:rPr>
                <w:rFonts w:cstheme="minorHAnsi"/>
                <w:sz w:val="20"/>
              </w:rPr>
            </w:pPr>
            <w:r>
              <w:rPr>
                <w:rFonts w:cstheme="minorHAnsi"/>
                <w:sz w:val="20"/>
              </w:rPr>
              <w:t>People-centered models of care are implemented at slow pace</w:t>
            </w:r>
          </w:p>
          <w:p w14:paraId="1D4E8987" w14:textId="62AF9903" w:rsidR="006F2AA1" w:rsidRPr="006F2AA1" w:rsidRDefault="006F2AA1" w:rsidP="00326A6B">
            <w:pPr>
              <w:pStyle w:val="ListParagraph"/>
              <w:numPr>
                <w:ilvl w:val="0"/>
                <w:numId w:val="75"/>
              </w:numPr>
              <w:spacing w:after="0"/>
              <w:rPr>
                <w:rFonts w:ascii="Calibri" w:hAnsi="Calibri" w:cs="Times New Roman"/>
              </w:rPr>
            </w:pPr>
            <w:r w:rsidRPr="006F2AA1">
              <w:rPr>
                <w:rFonts w:cstheme="minorHAnsi"/>
                <w:sz w:val="20"/>
              </w:rPr>
              <w:t>Despite universal coverage by Government some additional costs occur and to many key populations can be catastrophic. Better services closer to home that include comprehensive package cand reduce the financial burden</w:t>
            </w:r>
          </w:p>
        </w:tc>
      </w:tr>
      <w:tr w:rsidR="0040643D" w:rsidRPr="00BF4BEE" w14:paraId="413A2D2D" w14:textId="77777777" w:rsidTr="00500903">
        <w:trPr>
          <w:trHeight w:val="440"/>
        </w:trPr>
        <w:tc>
          <w:tcPr>
            <w:tcW w:w="2448" w:type="dxa"/>
            <w:shd w:val="clear" w:color="auto" w:fill="F2F2F2"/>
            <w:vAlign w:val="center"/>
          </w:tcPr>
          <w:p w14:paraId="104AAF32" w14:textId="77777777" w:rsidR="0040643D" w:rsidRPr="00BF4BEE" w:rsidRDefault="0040643D" w:rsidP="00500903">
            <w:pPr>
              <w:spacing w:after="0"/>
            </w:pPr>
            <w:r w:rsidRPr="00BF4BEE">
              <w:t>Rationale</w:t>
            </w:r>
          </w:p>
        </w:tc>
        <w:tc>
          <w:tcPr>
            <w:tcW w:w="7902" w:type="dxa"/>
          </w:tcPr>
          <w:p w14:paraId="55F21606" w14:textId="17EB5A02" w:rsidR="00104DFE" w:rsidRDefault="004F22B2" w:rsidP="004F22B2">
            <w:pPr>
              <w:spacing w:after="0" w:line="240" w:lineRule="auto"/>
              <w:ind w:right="157"/>
              <w:jc w:val="both"/>
              <w:rPr>
                <w:rFonts w:asciiTheme="majorHAnsi" w:hAnsiTheme="majorHAnsi" w:cstheme="majorHAnsi"/>
                <w:sz w:val="20"/>
                <w:szCs w:val="20"/>
              </w:rPr>
            </w:pPr>
            <w:r w:rsidRPr="009B7CC7">
              <w:rPr>
                <w:rFonts w:asciiTheme="majorHAnsi" w:hAnsiTheme="majorHAnsi" w:cstheme="majorHAnsi"/>
                <w:sz w:val="20"/>
                <w:szCs w:val="20"/>
              </w:rPr>
              <w:t xml:space="preserve">The priorities related to RSSH for HIV </w:t>
            </w:r>
            <w:r w:rsidR="00F8440F">
              <w:rPr>
                <w:rFonts w:asciiTheme="majorHAnsi" w:hAnsiTheme="majorHAnsi" w:cstheme="majorHAnsi"/>
                <w:sz w:val="20"/>
                <w:szCs w:val="20"/>
              </w:rPr>
              <w:t>emerge fro</w:t>
            </w:r>
            <w:r w:rsidRPr="009B7CC7">
              <w:rPr>
                <w:rFonts w:asciiTheme="majorHAnsi" w:hAnsiTheme="majorHAnsi" w:cstheme="majorHAnsi"/>
                <w:sz w:val="20"/>
                <w:szCs w:val="20"/>
              </w:rPr>
              <w:t>m those listed the NAP 2016-2020:</w:t>
            </w:r>
            <w:r w:rsidRPr="008E1EAE">
              <w:rPr>
                <w:rFonts w:asciiTheme="majorHAnsi" w:hAnsiTheme="majorHAnsi" w:cstheme="majorHAnsi"/>
                <w:sz w:val="20"/>
                <w:szCs w:val="20"/>
              </w:rPr>
              <w:t xml:space="preserve"> </w:t>
            </w:r>
          </w:p>
          <w:p w14:paraId="64AF6E19" w14:textId="0B76A85C" w:rsidR="00104DFE" w:rsidRPr="00104DFE" w:rsidRDefault="004F22B2" w:rsidP="00764F1E">
            <w:pPr>
              <w:pStyle w:val="ListParagraph"/>
              <w:numPr>
                <w:ilvl w:val="0"/>
                <w:numId w:val="49"/>
              </w:numPr>
              <w:spacing w:after="0" w:line="240" w:lineRule="auto"/>
              <w:ind w:right="157"/>
              <w:jc w:val="both"/>
              <w:rPr>
                <w:rFonts w:asciiTheme="majorHAnsi" w:hAnsiTheme="majorHAnsi" w:cstheme="majorHAnsi"/>
                <w:sz w:val="20"/>
                <w:szCs w:val="20"/>
              </w:rPr>
            </w:pPr>
            <w:r w:rsidRPr="00104DFE">
              <w:rPr>
                <w:rFonts w:asciiTheme="majorHAnsi" w:hAnsiTheme="majorHAnsi" w:cstheme="majorHAnsi"/>
                <w:sz w:val="20"/>
                <w:szCs w:val="20"/>
              </w:rPr>
              <w:t xml:space="preserve">Build capacity and improve management, coordination, and administration systems for the effective management of HIV/TB/Hepatitis programs; </w:t>
            </w:r>
          </w:p>
          <w:p w14:paraId="0C366B68" w14:textId="77777777" w:rsidR="00104DFE" w:rsidRPr="00104DFE" w:rsidRDefault="004F22B2" w:rsidP="00764F1E">
            <w:pPr>
              <w:pStyle w:val="ListParagraph"/>
              <w:numPr>
                <w:ilvl w:val="0"/>
                <w:numId w:val="49"/>
              </w:numPr>
              <w:spacing w:after="0" w:line="240" w:lineRule="auto"/>
              <w:ind w:right="157"/>
              <w:jc w:val="both"/>
              <w:rPr>
                <w:rFonts w:asciiTheme="majorHAnsi" w:hAnsiTheme="majorHAnsi" w:cstheme="majorHAnsi"/>
                <w:sz w:val="20"/>
                <w:szCs w:val="20"/>
              </w:rPr>
            </w:pPr>
            <w:r w:rsidRPr="00104DFE">
              <w:rPr>
                <w:rFonts w:asciiTheme="majorHAnsi" w:hAnsiTheme="majorHAnsi" w:cstheme="majorHAnsi"/>
                <w:sz w:val="20"/>
                <w:szCs w:val="20"/>
              </w:rPr>
              <w:t>Provide timely, quality information for strategic decision making;</w:t>
            </w:r>
          </w:p>
          <w:p w14:paraId="796A2163" w14:textId="77777777" w:rsidR="00104DFE" w:rsidRPr="00104DFE" w:rsidRDefault="004F22B2" w:rsidP="00764F1E">
            <w:pPr>
              <w:pStyle w:val="ListParagraph"/>
              <w:numPr>
                <w:ilvl w:val="0"/>
                <w:numId w:val="49"/>
              </w:numPr>
              <w:spacing w:after="0" w:line="240" w:lineRule="auto"/>
              <w:ind w:right="157"/>
              <w:jc w:val="both"/>
              <w:rPr>
                <w:rFonts w:asciiTheme="majorHAnsi" w:hAnsiTheme="majorHAnsi" w:cstheme="majorHAnsi"/>
                <w:sz w:val="20"/>
                <w:szCs w:val="20"/>
              </w:rPr>
            </w:pPr>
            <w:r w:rsidRPr="00104DFE">
              <w:rPr>
                <w:rFonts w:asciiTheme="majorHAnsi" w:hAnsiTheme="majorHAnsi" w:cstheme="majorHAnsi"/>
                <w:sz w:val="20"/>
                <w:szCs w:val="20"/>
              </w:rPr>
              <w:t xml:space="preserve">Strengthen the capacity of the HIV/STI Testing and Diagnostic Service by providing quality results in at least 95% of HIV/STI testing and diagnostic units; </w:t>
            </w:r>
          </w:p>
          <w:p w14:paraId="27519ECD" w14:textId="77777777" w:rsidR="00104DFE" w:rsidRPr="00104DFE" w:rsidRDefault="004F22B2" w:rsidP="00764F1E">
            <w:pPr>
              <w:pStyle w:val="ListParagraph"/>
              <w:numPr>
                <w:ilvl w:val="0"/>
                <w:numId w:val="49"/>
              </w:numPr>
              <w:spacing w:after="0" w:line="240" w:lineRule="auto"/>
              <w:ind w:right="157"/>
              <w:jc w:val="both"/>
              <w:rPr>
                <w:rFonts w:asciiTheme="majorHAnsi" w:hAnsiTheme="majorHAnsi" w:cstheme="majorHAnsi"/>
                <w:sz w:val="20"/>
                <w:szCs w:val="20"/>
              </w:rPr>
            </w:pPr>
            <w:r w:rsidRPr="00104DFE">
              <w:rPr>
                <w:rFonts w:asciiTheme="majorHAnsi" w:hAnsiTheme="majorHAnsi" w:cstheme="majorHAnsi"/>
                <w:sz w:val="20"/>
                <w:szCs w:val="20"/>
              </w:rPr>
              <w:t xml:space="preserve">Ensure the effectiveness of program implementation by investing in the knowledge and skills necessary to provide services; </w:t>
            </w:r>
          </w:p>
          <w:p w14:paraId="75578FC9" w14:textId="3D545571" w:rsidR="004F22B2" w:rsidRPr="00104DFE" w:rsidRDefault="004F22B2" w:rsidP="00764F1E">
            <w:pPr>
              <w:pStyle w:val="ListParagraph"/>
              <w:numPr>
                <w:ilvl w:val="0"/>
                <w:numId w:val="49"/>
              </w:numPr>
              <w:spacing w:after="0" w:line="240" w:lineRule="auto"/>
              <w:ind w:right="157"/>
              <w:jc w:val="both"/>
              <w:rPr>
                <w:rFonts w:asciiTheme="majorHAnsi" w:hAnsiTheme="majorHAnsi" w:cstheme="majorHAnsi"/>
                <w:sz w:val="20"/>
                <w:szCs w:val="20"/>
              </w:rPr>
            </w:pPr>
            <w:r w:rsidRPr="00104DFE">
              <w:rPr>
                <w:rFonts w:asciiTheme="majorHAnsi" w:hAnsiTheme="majorHAnsi" w:cstheme="majorHAnsi"/>
                <w:sz w:val="20"/>
                <w:szCs w:val="20"/>
              </w:rPr>
              <w:t>Eliminate barriers to the introduction of technology (diagnostics, laboratory), medication, and strengthen the supply system (</w:t>
            </w:r>
            <w:r w:rsidR="00713B46">
              <w:rPr>
                <w:rFonts w:asciiTheme="majorHAnsi" w:hAnsiTheme="majorHAnsi" w:cstheme="majorHAnsi"/>
                <w:sz w:val="20"/>
                <w:szCs w:val="20"/>
              </w:rPr>
              <w:t>PSM s</w:t>
            </w:r>
            <w:r w:rsidRPr="00104DFE">
              <w:rPr>
                <w:rFonts w:asciiTheme="majorHAnsi" w:hAnsiTheme="majorHAnsi" w:cstheme="majorHAnsi"/>
                <w:sz w:val="20"/>
                <w:szCs w:val="20"/>
              </w:rPr>
              <w:t>trengthening).</w:t>
            </w:r>
          </w:p>
          <w:p w14:paraId="5AA1644D" w14:textId="77777777" w:rsidR="00104DFE" w:rsidRDefault="00104DFE" w:rsidP="004F22B2">
            <w:pPr>
              <w:spacing w:after="0" w:line="240" w:lineRule="auto"/>
              <w:ind w:right="157"/>
              <w:jc w:val="both"/>
              <w:rPr>
                <w:rFonts w:asciiTheme="majorHAnsi" w:hAnsiTheme="majorHAnsi" w:cstheme="majorHAnsi"/>
                <w:sz w:val="20"/>
                <w:szCs w:val="20"/>
              </w:rPr>
            </w:pPr>
          </w:p>
          <w:p w14:paraId="00D44403" w14:textId="22F17FBC" w:rsidR="004F22B2" w:rsidRDefault="004F22B2" w:rsidP="004F22B2">
            <w:pPr>
              <w:spacing w:after="0" w:line="240" w:lineRule="auto"/>
              <w:ind w:right="157"/>
              <w:jc w:val="both"/>
              <w:rPr>
                <w:rFonts w:asciiTheme="majorHAnsi" w:hAnsiTheme="majorHAnsi" w:cstheme="majorHAnsi"/>
                <w:sz w:val="20"/>
                <w:szCs w:val="20"/>
              </w:rPr>
            </w:pPr>
            <w:r>
              <w:rPr>
                <w:rFonts w:asciiTheme="majorHAnsi" w:hAnsiTheme="majorHAnsi" w:cstheme="majorHAnsi"/>
                <w:sz w:val="20"/>
                <w:szCs w:val="20"/>
              </w:rPr>
              <w:lastRenderedPageBreak/>
              <w:t xml:space="preserve">Similarly, the National TB program includes </w:t>
            </w:r>
            <w:r w:rsidR="00104DFE">
              <w:rPr>
                <w:rFonts w:asciiTheme="majorHAnsi" w:hAnsiTheme="majorHAnsi" w:cstheme="majorHAnsi"/>
                <w:sz w:val="20"/>
                <w:szCs w:val="20"/>
              </w:rPr>
              <w:t xml:space="preserve">priority areas related to RSSH: </w:t>
            </w:r>
          </w:p>
          <w:p w14:paraId="466B219B" w14:textId="3961B12C" w:rsidR="00104DFE" w:rsidRPr="00F8440F" w:rsidRDefault="00104DFE" w:rsidP="00764F1E">
            <w:pPr>
              <w:pStyle w:val="ListParagraph"/>
              <w:numPr>
                <w:ilvl w:val="0"/>
                <w:numId w:val="49"/>
              </w:numPr>
              <w:spacing w:after="0" w:line="240" w:lineRule="auto"/>
              <w:ind w:right="157"/>
              <w:jc w:val="both"/>
              <w:rPr>
                <w:rFonts w:asciiTheme="majorHAnsi" w:hAnsiTheme="majorHAnsi" w:cstheme="majorHAnsi"/>
                <w:sz w:val="20"/>
                <w:szCs w:val="20"/>
              </w:rPr>
            </w:pPr>
            <w:r w:rsidRPr="00F8440F">
              <w:rPr>
                <w:rFonts w:asciiTheme="majorHAnsi" w:hAnsiTheme="majorHAnsi" w:cstheme="majorHAnsi"/>
                <w:sz w:val="20"/>
                <w:szCs w:val="20"/>
              </w:rPr>
              <w:t>Capacity building for the NTCP efficient management</w:t>
            </w:r>
          </w:p>
          <w:p w14:paraId="1E405D96" w14:textId="77777777" w:rsidR="00104DFE" w:rsidRPr="00F8440F" w:rsidRDefault="00104DFE" w:rsidP="00764F1E">
            <w:pPr>
              <w:pStyle w:val="ListParagraph"/>
              <w:numPr>
                <w:ilvl w:val="0"/>
                <w:numId w:val="49"/>
              </w:numPr>
              <w:spacing w:after="0" w:line="240" w:lineRule="auto"/>
              <w:ind w:right="157"/>
              <w:jc w:val="both"/>
              <w:rPr>
                <w:rFonts w:asciiTheme="majorHAnsi" w:hAnsiTheme="majorHAnsi" w:cstheme="majorHAnsi"/>
                <w:sz w:val="20"/>
                <w:szCs w:val="20"/>
              </w:rPr>
            </w:pPr>
            <w:r w:rsidRPr="00F8440F">
              <w:rPr>
                <w:rFonts w:asciiTheme="majorHAnsi" w:hAnsiTheme="majorHAnsi" w:cstheme="majorHAnsi"/>
                <w:sz w:val="20"/>
                <w:szCs w:val="20"/>
              </w:rPr>
              <w:t>Strengthening the health systems through well-aligned funding mechanisms for TB</w:t>
            </w:r>
          </w:p>
          <w:p w14:paraId="73D6C1BE" w14:textId="57591296" w:rsidR="00104DFE" w:rsidRPr="00F8440F" w:rsidRDefault="00104DFE" w:rsidP="00764F1E">
            <w:pPr>
              <w:pStyle w:val="ListParagraph"/>
              <w:numPr>
                <w:ilvl w:val="0"/>
                <w:numId w:val="49"/>
              </w:numPr>
              <w:spacing w:after="0" w:line="240" w:lineRule="auto"/>
              <w:ind w:right="157"/>
              <w:jc w:val="both"/>
              <w:rPr>
                <w:rFonts w:asciiTheme="majorHAnsi" w:hAnsiTheme="majorHAnsi" w:cstheme="majorHAnsi"/>
                <w:sz w:val="20"/>
                <w:szCs w:val="20"/>
              </w:rPr>
            </w:pPr>
            <w:r w:rsidRPr="00F8440F">
              <w:rPr>
                <w:rFonts w:asciiTheme="majorHAnsi" w:hAnsiTheme="majorHAnsi" w:cstheme="majorHAnsi"/>
                <w:sz w:val="20"/>
                <w:szCs w:val="20"/>
              </w:rPr>
              <w:t>Capacity building of human resources involved in TB control</w:t>
            </w:r>
          </w:p>
          <w:p w14:paraId="22073E22" w14:textId="6742F170" w:rsidR="00104DFE" w:rsidRPr="00F8440F" w:rsidRDefault="00104DFE" w:rsidP="00764F1E">
            <w:pPr>
              <w:pStyle w:val="ListParagraph"/>
              <w:numPr>
                <w:ilvl w:val="0"/>
                <w:numId w:val="49"/>
              </w:numPr>
              <w:spacing w:after="0" w:line="240" w:lineRule="auto"/>
              <w:ind w:right="157"/>
              <w:jc w:val="both"/>
              <w:rPr>
                <w:rFonts w:asciiTheme="majorHAnsi" w:hAnsiTheme="majorHAnsi" w:cstheme="majorHAnsi"/>
                <w:sz w:val="20"/>
                <w:szCs w:val="20"/>
              </w:rPr>
            </w:pPr>
            <w:r w:rsidRPr="00F8440F">
              <w:rPr>
                <w:rFonts w:asciiTheme="majorHAnsi" w:hAnsiTheme="majorHAnsi" w:cstheme="majorHAnsi"/>
                <w:sz w:val="20"/>
                <w:szCs w:val="20"/>
              </w:rPr>
              <w:t>Strengthening collaborative actions in TB control with other national programs</w:t>
            </w:r>
          </w:p>
          <w:p w14:paraId="0E353E4B" w14:textId="1C8AC336" w:rsidR="00F8440F" w:rsidRPr="00F8440F" w:rsidRDefault="00F8440F" w:rsidP="00764F1E">
            <w:pPr>
              <w:pStyle w:val="ListParagraph"/>
              <w:numPr>
                <w:ilvl w:val="0"/>
                <w:numId w:val="49"/>
              </w:numPr>
              <w:spacing w:after="0" w:line="240" w:lineRule="auto"/>
              <w:ind w:right="157"/>
              <w:jc w:val="both"/>
              <w:rPr>
                <w:rFonts w:asciiTheme="majorHAnsi" w:hAnsiTheme="majorHAnsi" w:cstheme="majorHAnsi"/>
                <w:sz w:val="20"/>
                <w:szCs w:val="20"/>
              </w:rPr>
            </w:pPr>
            <w:r w:rsidRPr="00F8440F">
              <w:rPr>
                <w:rFonts w:asciiTheme="majorHAnsi" w:hAnsiTheme="majorHAnsi" w:cstheme="majorHAnsi"/>
                <w:sz w:val="20"/>
                <w:szCs w:val="20"/>
              </w:rPr>
              <w:t>Development of regulatory acts for surveillance based on individual data, improving the quality of registration of civil status documents, the quality and rational use of medicines and pharmacovigilance</w:t>
            </w:r>
          </w:p>
          <w:p w14:paraId="126FA2FF" w14:textId="38F4353A" w:rsidR="00F8440F" w:rsidRPr="00F8440F" w:rsidRDefault="00F8440F" w:rsidP="00764F1E">
            <w:pPr>
              <w:pStyle w:val="ListParagraph"/>
              <w:numPr>
                <w:ilvl w:val="0"/>
                <w:numId w:val="49"/>
              </w:numPr>
              <w:spacing w:after="0" w:line="240" w:lineRule="auto"/>
              <w:ind w:right="157"/>
              <w:jc w:val="both"/>
              <w:rPr>
                <w:rFonts w:asciiTheme="majorHAnsi" w:hAnsiTheme="majorHAnsi" w:cstheme="majorHAnsi"/>
                <w:sz w:val="20"/>
                <w:szCs w:val="20"/>
              </w:rPr>
            </w:pPr>
            <w:r w:rsidRPr="00F8440F">
              <w:rPr>
                <w:rFonts w:asciiTheme="majorHAnsi" w:hAnsiTheme="majorHAnsi" w:cstheme="majorHAnsi"/>
                <w:sz w:val="20"/>
                <w:szCs w:val="20"/>
              </w:rPr>
              <w:t>Social protection, poverty reduction and action on other TB determinants, including among migrants and detainees</w:t>
            </w:r>
          </w:p>
          <w:p w14:paraId="0BAAB9EE" w14:textId="6C5238E4" w:rsidR="00F8440F" w:rsidRDefault="00F8440F" w:rsidP="00764F1E">
            <w:pPr>
              <w:pStyle w:val="ListParagraph"/>
              <w:numPr>
                <w:ilvl w:val="0"/>
                <w:numId w:val="49"/>
              </w:numPr>
              <w:spacing w:after="0" w:line="240" w:lineRule="auto"/>
              <w:ind w:right="157"/>
              <w:jc w:val="both"/>
              <w:rPr>
                <w:rFonts w:asciiTheme="majorHAnsi" w:hAnsiTheme="majorHAnsi" w:cstheme="majorHAnsi"/>
                <w:sz w:val="20"/>
                <w:szCs w:val="20"/>
              </w:rPr>
            </w:pPr>
            <w:r w:rsidRPr="00F8440F">
              <w:rPr>
                <w:rFonts w:asciiTheme="majorHAnsi" w:hAnsiTheme="majorHAnsi" w:cstheme="majorHAnsi"/>
                <w:sz w:val="20"/>
                <w:szCs w:val="20"/>
              </w:rPr>
              <w:t>Carrying out operational studies</w:t>
            </w:r>
          </w:p>
          <w:p w14:paraId="2BF26030" w14:textId="77777777" w:rsidR="004F22B2" w:rsidRDefault="004F22B2" w:rsidP="004F22B2">
            <w:pPr>
              <w:spacing w:after="0" w:line="240" w:lineRule="auto"/>
              <w:ind w:right="157"/>
              <w:jc w:val="both"/>
              <w:rPr>
                <w:rFonts w:asciiTheme="majorHAnsi" w:hAnsiTheme="majorHAnsi" w:cstheme="majorHAnsi"/>
                <w:sz w:val="20"/>
                <w:szCs w:val="20"/>
              </w:rPr>
            </w:pPr>
          </w:p>
          <w:p w14:paraId="0D70DB85" w14:textId="3157A41C" w:rsidR="00FE668F" w:rsidRDefault="008E1EAE" w:rsidP="008E1EAE">
            <w:pPr>
              <w:spacing w:after="0" w:line="240" w:lineRule="auto"/>
              <w:ind w:right="157"/>
              <w:jc w:val="both"/>
              <w:rPr>
                <w:rFonts w:asciiTheme="majorHAnsi" w:hAnsiTheme="majorHAnsi" w:cstheme="majorHAnsi"/>
                <w:sz w:val="20"/>
                <w:szCs w:val="20"/>
              </w:rPr>
            </w:pPr>
            <w:r w:rsidRPr="008E1EAE">
              <w:rPr>
                <w:rFonts w:asciiTheme="majorHAnsi" w:hAnsiTheme="majorHAnsi" w:cstheme="majorHAnsi"/>
                <w:b/>
                <w:sz w:val="20"/>
                <w:szCs w:val="20"/>
              </w:rPr>
              <w:t>Integration at governance level and coordination of collaborative activities:  responses</w:t>
            </w:r>
            <w:r>
              <w:rPr>
                <w:rFonts w:asciiTheme="majorHAnsi" w:hAnsiTheme="majorHAnsi" w:cstheme="majorHAnsi"/>
                <w:b/>
                <w:sz w:val="20"/>
                <w:szCs w:val="20"/>
              </w:rPr>
              <w:t xml:space="preserve">: </w:t>
            </w:r>
            <w:r w:rsidRPr="008E1EAE">
              <w:rPr>
                <w:rFonts w:asciiTheme="majorHAnsi" w:hAnsiTheme="majorHAnsi" w:cstheme="majorHAnsi"/>
                <w:sz w:val="20"/>
                <w:szCs w:val="20"/>
              </w:rPr>
              <w:t xml:space="preserve">the </w:t>
            </w:r>
            <w:r w:rsidR="009B7CC7" w:rsidRPr="008E1EAE">
              <w:rPr>
                <w:rFonts w:asciiTheme="majorHAnsi" w:hAnsiTheme="majorHAnsi" w:cstheme="majorHAnsi"/>
                <w:sz w:val="20"/>
                <w:szCs w:val="20"/>
              </w:rPr>
              <w:t xml:space="preserve">National TB, HIV Aids and STIs Program management governance model has been a recurrent discussion in the past decade. </w:t>
            </w:r>
            <w:r>
              <w:rPr>
                <w:rFonts w:asciiTheme="majorHAnsi" w:hAnsiTheme="majorHAnsi" w:cstheme="majorHAnsi"/>
                <w:sz w:val="20"/>
                <w:szCs w:val="20"/>
              </w:rPr>
              <w:t>T</w:t>
            </w:r>
            <w:r w:rsidRPr="008E1EAE">
              <w:rPr>
                <w:rFonts w:asciiTheme="majorHAnsi" w:hAnsiTheme="majorHAnsi" w:cstheme="majorHAnsi"/>
                <w:sz w:val="20"/>
                <w:szCs w:val="20"/>
              </w:rPr>
              <w:t>he National Public Health Strategy 2014-2020</w:t>
            </w:r>
            <w:r>
              <w:rPr>
                <w:rFonts w:asciiTheme="majorHAnsi" w:hAnsiTheme="majorHAnsi" w:cstheme="majorHAnsi"/>
                <w:sz w:val="20"/>
                <w:szCs w:val="20"/>
              </w:rPr>
              <w:t xml:space="preserve"> i</w:t>
            </w:r>
            <w:r w:rsidRPr="008E1EAE">
              <w:rPr>
                <w:rFonts w:asciiTheme="majorHAnsi" w:hAnsiTheme="majorHAnsi" w:cstheme="majorHAnsi"/>
                <w:sz w:val="20"/>
                <w:szCs w:val="20"/>
              </w:rPr>
              <w:t>ncluded</w:t>
            </w:r>
            <w:r>
              <w:rPr>
                <w:rFonts w:asciiTheme="majorHAnsi" w:hAnsiTheme="majorHAnsi" w:cstheme="majorHAnsi"/>
                <w:sz w:val="20"/>
                <w:szCs w:val="20"/>
              </w:rPr>
              <w:t xml:space="preserve"> </w:t>
            </w:r>
            <w:r w:rsidRPr="008E1EAE">
              <w:rPr>
                <w:rFonts w:asciiTheme="majorHAnsi" w:hAnsiTheme="majorHAnsi" w:cstheme="majorHAnsi"/>
                <w:sz w:val="20"/>
                <w:szCs w:val="20"/>
              </w:rPr>
              <w:t>integration of the vertical programs for monitoring of TB, HIV/AIDS and STDs in the wider health system of communicable diseases</w:t>
            </w:r>
            <w:r>
              <w:rPr>
                <w:rFonts w:asciiTheme="majorHAnsi" w:hAnsiTheme="majorHAnsi" w:cstheme="majorHAnsi"/>
                <w:sz w:val="20"/>
                <w:szCs w:val="20"/>
              </w:rPr>
              <w:t xml:space="preserve"> as one of the priority interventions. Due to an unstable political environment since 2015, it has not been implemented so far. </w:t>
            </w:r>
            <w:r w:rsidR="009B7CC7" w:rsidRPr="008E1EAE">
              <w:rPr>
                <w:rFonts w:asciiTheme="majorHAnsi" w:hAnsiTheme="majorHAnsi" w:cstheme="majorHAnsi"/>
                <w:sz w:val="20"/>
                <w:szCs w:val="20"/>
              </w:rPr>
              <w:t xml:space="preserve">The current model where National Programs for both communicable and non-communicable diseases are located as part of tertiary hospitals creates some disadvantages in terms of ensuring best </w:t>
            </w:r>
            <w:r>
              <w:rPr>
                <w:rFonts w:asciiTheme="majorHAnsi" w:hAnsiTheme="majorHAnsi" w:cstheme="majorHAnsi"/>
                <w:sz w:val="20"/>
                <w:szCs w:val="20"/>
              </w:rPr>
              <w:t>and multi-sectoral coordination, missing potential sy</w:t>
            </w:r>
            <w:r w:rsidR="009B7CC7" w:rsidRPr="008E1EAE">
              <w:rPr>
                <w:rFonts w:asciiTheme="majorHAnsi" w:hAnsiTheme="majorHAnsi" w:cstheme="majorHAnsi"/>
                <w:sz w:val="20"/>
                <w:szCs w:val="20"/>
              </w:rPr>
              <w:t>nergies</w:t>
            </w:r>
            <w:r>
              <w:rPr>
                <w:rFonts w:asciiTheme="majorHAnsi" w:hAnsiTheme="majorHAnsi" w:cstheme="majorHAnsi"/>
                <w:sz w:val="20"/>
                <w:szCs w:val="20"/>
              </w:rPr>
              <w:t xml:space="preserve"> and optimization</w:t>
            </w:r>
            <w:r w:rsidR="009B7CC7" w:rsidRPr="008E1EAE">
              <w:rPr>
                <w:rFonts w:asciiTheme="majorHAnsi" w:hAnsiTheme="majorHAnsi" w:cstheme="majorHAnsi"/>
                <w:sz w:val="20"/>
                <w:szCs w:val="20"/>
              </w:rPr>
              <w:t>. Two external independent evaluations</w:t>
            </w:r>
            <w:r>
              <w:rPr>
                <w:rStyle w:val="FootnoteReference"/>
                <w:rFonts w:asciiTheme="majorHAnsi" w:hAnsiTheme="majorHAnsi" w:cstheme="majorHAnsi"/>
                <w:sz w:val="20"/>
                <w:szCs w:val="20"/>
              </w:rPr>
              <w:footnoteReference w:id="57"/>
            </w:r>
            <w:r w:rsidR="00FE668F">
              <w:rPr>
                <w:rFonts w:asciiTheme="majorHAnsi" w:hAnsiTheme="majorHAnsi" w:cstheme="majorHAnsi"/>
                <w:sz w:val="20"/>
                <w:szCs w:val="20"/>
              </w:rPr>
              <w:t>,</w:t>
            </w:r>
            <w:r w:rsidR="00FE668F">
              <w:rPr>
                <w:rStyle w:val="FootnoteReference"/>
                <w:rFonts w:asciiTheme="majorHAnsi" w:hAnsiTheme="majorHAnsi" w:cstheme="majorHAnsi"/>
                <w:sz w:val="20"/>
                <w:szCs w:val="20"/>
              </w:rPr>
              <w:footnoteReference w:id="58"/>
            </w:r>
            <w:r w:rsidR="009B7CC7" w:rsidRPr="008E1EAE">
              <w:rPr>
                <w:rFonts w:asciiTheme="majorHAnsi" w:hAnsiTheme="majorHAnsi" w:cstheme="majorHAnsi"/>
                <w:sz w:val="20"/>
                <w:szCs w:val="20"/>
              </w:rPr>
              <w:t xml:space="preserve"> provided views on possible options moving forward, including setting a new entity to manage national programs, house all national programs under the MoHLSP and maintain status quo. </w:t>
            </w:r>
            <w:r w:rsidR="00FE668F">
              <w:rPr>
                <w:rFonts w:asciiTheme="majorHAnsi" w:hAnsiTheme="majorHAnsi" w:cstheme="majorHAnsi"/>
                <w:sz w:val="20"/>
                <w:szCs w:val="20"/>
              </w:rPr>
              <w:t xml:space="preserve"> </w:t>
            </w:r>
          </w:p>
          <w:p w14:paraId="056C9A5A" w14:textId="77777777" w:rsidR="004F22B2" w:rsidRDefault="004F22B2" w:rsidP="008E1EAE">
            <w:pPr>
              <w:spacing w:after="0" w:line="240" w:lineRule="auto"/>
              <w:ind w:right="157"/>
              <w:jc w:val="both"/>
              <w:rPr>
                <w:rFonts w:asciiTheme="majorHAnsi" w:hAnsiTheme="majorHAnsi" w:cstheme="majorHAnsi"/>
                <w:sz w:val="20"/>
                <w:szCs w:val="20"/>
              </w:rPr>
            </w:pPr>
          </w:p>
          <w:p w14:paraId="000F3159" w14:textId="77777777" w:rsidR="00104DFE" w:rsidRPr="00104DFE" w:rsidRDefault="00104DFE" w:rsidP="00104DFE">
            <w:pPr>
              <w:spacing w:after="0" w:line="240" w:lineRule="auto"/>
              <w:ind w:right="157"/>
              <w:jc w:val="both"/>
              <w:rPr>
                <w:rFonts w:asciiTheme="majorHAnsi" w:hAnsiTheme="majorHAnsi" w:cstheme="majorHAnsi"/>
                <w:sz w:val="20"/>
                <w:szCs w:val="20"/>
              </w:rPr>
            </w:pPr>
            <w:r w:rsidRPr="00104DFE">
              <w:rPr>
                <w:rFonts w:asciiTheme="majorHAnsi" w:hAnsiTheme="majorHAnsi" w:cstheme="majorHAnsi"/>
                <w:sz w:val="20"/>
                <w:szCs w:val="20"/>
              </w:rPr>
              <w:t>Coordination and overall supervision of national TB and HIV programs is carried out through the National Coordinating Council, i.e., an interagency and intersectoral decision-making structure, with dedicated thematic working groups for TB and HIV as well as a separate group for TB/HIV. The integrated TB/HIV service model is based on the local healthcare system context, i.e., the linkage and referral between two vertical TB and HIV programs. Developing and implementing the models for integrated service delivery, including relevant policy, regulations, and guidelines considering the service organization specificity at all levels as well as exiting priorities and needs in terms of coinfections/comorbidities.</w:t>
            </w:r>
          </w:p>
          <w:p w14:paraId="2968D124" w14:textId="77777777" w:rsidR="00F8440F" w:rsidRDefault="00F8440F" w:rsidP="00F8440F">
            <w:pPr>
              <w:spacing w:after="0" w:line="240" w:lineRule="auto"/>
              <w:ind w:right="157"/>
              <w:jc w:val="both"/>
              <w:rPr>
                <w:rFonts w:asciiTheme="majorHAnsi" w:hAnsiTheme="majorHAnsi" w:cstheme="majorHAnsi"/>
                <w:sz w:val="20"/>
                <w:szCs w:val="20"/>
              </w:rPr>
            </w:pPr>
          </w:p>
          <w:p w14:paraId="352C0F38" w14:textId="77777777" w:rsidR="00F8440F" w:rsidRDefault="00F8440F" w:rsidP="00F8440F">
            <w:pPr>
              <w:spacing w:after="0" w:line="240" w:lineRule="auto"/>
              <w:ind w:right="157"/>
              <w:jc w:val="both"/>
              <w:rPr>
                <w:rFonts w:asciiTheme="majorHAnsi" w:hAnsiTheme="majorHAnsi" w:cstheme="majorHAnsi"/>
                <w:sz w:val="20"/>
                <w:szCs w:val="20"/>
              </w:rPr>
            </w:pPr>
            <w:r w:rsidRPr="00104DFE">
              <w:rPr>
                <w:rFonts w:asciiTheme="majorHAnsi" w:hAnsiTheme="majorHAnsi" w:cstheme="majorHAnsi"/>
                <w:b/>
                <w:sz w:val="20"/>
                <w:szCs w:val="20"/>
              </w:rPr>
              <w:t>MAF:</w:t>
            </w:r>
            <w:r w:rsidRPr="00104DFE">
              <w:rPr>
                <w:rFonts w:asciiTheme="majorHAnsi" w:hAnsiTheme="majorHAnsi" w:cstheme="majorHAnsi"/>
                <w:sz w:val="20"/>
                <w:szCs w:val="20"/>
              </w:rPr>
              <w:t xml:space="preserve"> Necessary commitments needed for reaching these targets are specified in the current TB NSP 2021-2025 and the related operational plan (Annex I), also in relevant cross-Ministerial/Multisectoral policies, plans and strategies. However, all these actions are fragmented, and there is need in an effective national multisectoral mechanism which must be established/strengthened and tasked with providing oversight, coordination, and periodic review functions.</w:t>
            </w:r>
            <w:r>
              <w:rPr>
                <w:rFonts w:asciiTheme="majorHAnsi" w:hAnsiTheme="majorHAnsi" w:cstheme="majorHAnsi"/>
                <w:sz w:val="20"/>
                <w:szCs w:val="20"/>
              </w:rPr>
              <w:t xml:space="preserve"> </w:t>
            </w:r>
            <w:r w:rsidRPr="00104DFE">
              <w:rPr>
                <w:rFonts w:asciiTheme="majorHAnsi" w:hAnsiTheme="majorHAnsi" w:cstheme="majorHAnsi"/>
                <w:sz w:val="20"/>
                <w:szCs w:val="20"/>
              </w:rPr>
              <w:t>Currently CCM is assuming some of the roles and responsibilities of the MAF-TB, with major focus on GF supported TB and HIV programs. CCM is mostly operates with GF support, considering the anticipated GF withdrawal, the country will start planning for transition or these roles and responsibilities vis-a-vis the establishment of MAF-TB, which will be accomplished in line with WHO standards.</w:t>
            </w:r>
            <w:r w:rsidRPr="00104DFE">
              <w:rPr>
                <w:rFonts w:asciiTheme="majorHAnsi" w:hAnsiTheme="majorHAnsi" w:cstheme="majorHAnsi"/>
                <w:sz w:val="20"/>
                <w:szCs w:val="20"/>
              </w:rPr>
              <w:footnoteReference w:id="59"/>
            </w:r>
            <w:r w:rsidRPr="00104DFE">
              <w:rPr>
                <w:rFonts w:asciiTheme="majorHAnsi" w:hAnsiTheme="majorHAnsi" w:cstheme="majorHAnsi"/>
                <w:sz w:val="20"/>
                <w:szCs w:val="20"/>
              </w:rPr>
              <w:t xml:space="preserve"> As an initial step, MAF-TB baseline assessment will be conducted, to be followed by the development of MAF-TB, including the following four key elements: (a) formalizing commitments, targets and roles via laws, decrees, NSPs and budgets; (b) multisectoral engagement – prioritized list of ministries for engagement; (c) civil Society engagement &amp; and other stakeholder roles across all components of accountability framework; (d) national TB Reports, advocacy and associated documents; and (e) high-level review and coordination mechanisms: design, operation, indicators, etc.</w:t>
            </w:r>
          </w:p>
          <w:p w14:paraId="6637F57E" w14:textId="77777777" w:rsidR="00104DFE" w:rsidRDefault="00104DFE" w:rsidP="00104DFE">
            <w:pPr>
              <w:spacing w:after="0" w:line="240" w:lineRule="auto"/>
              <w:ind w:right="157"/>
              <w:jc w:val="both"/>
              <w:rPr>
                <w:rFonts w:asciiTheme="majorHAnsi" w:hAnsiTheme="majorHAnsi" w:cstheme="majorHAnsi"/>
                <w:b/>
                <w:sz w:val="20"/>
                <w:szCs w:val="20"/>
              </w:rPr>
            </w:pPr>
          </w:p>
          <w:p w14:paraId="7A091606" w14:textId="1F0D8F1C" w:rsidR="00104DFE" w:rsidRPr="009B7CC7" w:rsidRDefault="00104DFE" w:rsidP="00104DFE">
            <w:pPr>
              <w:spacing w:after="0" w:line="240" w:lineRule="auto"/>
              <w:ind w:right="157"/>
              <w:jc w:val="both"/>
              <w:rPr>
                <w:rFonts w:asciiTheme="majorHAnsi" w:hAnsiTheme="majorHAnsi" w:cstheme="majorHAnsi"/>
                <w:sz w:val="20"/>
                <w:szCs w:val="20"/>
              </w:rPr>
            </w:pPr>
            <w:r w:rsidRPr="00104DFE">
              <w:rPr>
                <w:rFonts w:asciiTheme="majorHAnsi" w:hAnsiTheme="majorHAnsi" w:cstheme="majorHAnsi"/>
                <w:b/>
                <w:sz w:val="20"/>
                <w:szCs w:val="20"/>
              </w:rPr>
              <w:t>Integration of services and programs</w:t>
            </w:r>
            <w:r w:rsidRPr="00BF377D">
              <w:rPr>
                <w:rFonts w:asciiTheme="majorHAnsi" w:hAnsiTheme="majorHAnsi" w:cstheme="majorHAnsi"/>
                <w:sz w:val="20"/>
                <w:szCs w:val="20"/>
              </w:rPr>
              <w:t xml:space="preserve"> are the key to improving case detection as well as treatment outcomes</w:t>
            </w:r>
            <w:r>
              <w:rPr>
                <w:rFonts w:asciiTheme="majorHAnsi" w:hAnsiTheme="majorHAnsi" w:cstheme="majorHAnsi"/>
                <w:sz w:val="20"/>
                <w:szCs w:val="20"/>
              </w:rPr>
              <w:t xml:space="preserve"> for both TB and HIV, as well as managing patients with co-morbidities. Interventions witll support </w:t>
            </w:r>
            <w:r w:rsidRPr="00BF377D">
              <w:rPr>
                <w:rFonts w:asciiTheme="majorHAnsi" w:hAnsiTheme="majorHAnsi" w:cstheme="majorHAnsi"/>
                <w:sz w:val="20"/>
                <w:szCs w:val="20"/>
              </w:rPr>
              <w:t xml:space="preserve">screening/diagnostic assessment and monitoring by different setting and patient groups taking into account most prevalent comorbidities including HIV, HCV, DM, MCH, mental health disorders, alcohol and </w:t>
            </w:r>
            <w:r w:rsidRPr="00BF377D">
              <w:rPr>
                <w:rFonts w:asciiTheme="majorHAnsi" w:hAnsiTheme="majorHAnsi" w:cstheme="majorHAnsi"/>
                <w:sz w:val="20"/>
                <w:szCs w:val="20"/>
              </w:rPr>
              <w:lastRenderedPageBreak/>
              <w:t>drug use, etc. Similarly, the efforts will be made on redesigning/adjusting patient care pathways with relevant focus on integrated service delivery and most prevalent comorbidities (e.g., problematic alcohol use, DM, HCV coinfection, etc.) including developing/ revising and implementing appropriate technical documents and guidelines. Collecting additional epidemiological, people-centered, and health system data with relevant focus on coinfection/ comorbidities is planned under the national TB research agenda/priorities</w:t>
            </w:r>
          </w:p>
          <w:p w14:paraId="27D93E3A" w14:textId="600559C4" w:rsidR="009B7CC7" w:rsidRDefault="009B7CC7" w:rsidP="008E1EAE">
            <w:pPr>
              <w:spacing w:after="0" w:line="240" w:lineRule="auto"/>
              <w:ind w:right="157"/>
              <w:jc w:val="both"/>
              <w:rPr>
                <w:rFonts w:asciiTheme="majorHAnsi" w:hAnsiTheme="majorHAnsi" w:cstheme="majorHAnsi"/>
                <w:sz w:val="20"/>
                <w:szCs w:val="20"/>
              </w:rPr>
            </w:pPr>
            <w:r w:rsidRPr="008E1EAE">
              <w:rPr>
                <w:rFonts w:asciiTheme="majorHAnsi" w:hAnsiTheme="majorHAnsi" w:cstheme="majorHAnsi"/>
                <w:sz w:val="20"/>
                <w:szCs w:val="20"/>
              </w:rPr>
              <w:t xml:space="preserve"> </w:t>
            </w:r>
          </w:p>
          <w:p w14:paraId="34888407" w14:textId="3BDFE498" w:rsidR="00104DFE" w:rsidRDefault="00104DFE" w:rsidP="00104DFE">
            <w:pPr>
              <w:jc w:val="both"/>
            </w:pPr>
            <w:r w:rsidRPr="00BF377D">
              <w:rPr>
                <w:rFonts w:asciiTheme="majorHAnsi" w:hAnsiTheme="majorHAnsi" w:cstheme="majorHAnsi"/>
                <w:b/>
                <w:sz w:val="20"/>
                <w:szCs w:val="20"/>
              </w:rPr>
              <w:t>People-centered model for TB: hospital optimization and scaling up outpatient treatment</w:t>
            </w:r>
            <w:r>
              <w:rPr>
                <w:rFonts w:asciiTheme="majorHAnsi" w:hAnsiTheme="majorHAnsi" w:cstheme="majorHAnsi"/>
                <w:b/>
                <w:sz w:val="20"/>
                <w:szCs w:val="20"/>
              </w:rPr>
              <w:t xml:space="preserve">: </w:t>
            </w:r>
            <w:r w:rsidRPr="00BF377D">
              <w:rPr>
                <w:rFonts w:asciiTheme="majorHAnsi" w:hAnsiTheme="majorHAnsi" w:cstheme="majorHAnsi"/>
                <w:sz w:val="18"/>
                <w:szCs w:val="20"/>
              </w:rPr>
              <w:t>In</w:t>
            </w:r>
            <w:r w:rsidRPr="00BF377D">
              <w:rPr>
                <w:sz w:val="20"/>
              </w:rPr>
              <w:t xml:space="preserve"> line with WHO EURO policy and the TB NSP 2016-2020,</w:t>
            </w:r>
            <w:r w:rsidRPr="00BF377D">
              <w:rPr>
                <w:rStyle w:val="FootnoteReference"/>
                <w:bCs/>
                <w:sz w:val="20"/>
              </w:rPr>
              <w:t xml:space="preserve"> </w:t>
            </w:r>
            <w:r w:rsidRPr="00BF377D">
              <w:rPr>
                <w:rStyle w:val="FootnoteReference"/>
                <w:bCs/>
                <w:sz w:val="20"/>
              </w:rPr>
              <w:footnoteReference w:id="60"/>
            </w:r>
            <w:r w:rsidRPr="00BF377D">
              <w:rPr>
                <w:rStyle w:val="FootnoteReference"/>
                <w:bCs/>
                <w:sz w:val="20"/>
              </w:rPr>
              <w:t>,</w:t>
            </w:r>
            <w:r w:rsidRPr="00BF377D">
              <w:rPr>
                <w:rStyle w:val="FootnoteReference"/>
                <w:bCs/>
                <w:sz w:val="20"/>
              </w:rPr>
              <w:footnoteReference w:id="61"/>
            </w:r>
            <w:r w:rsidRPr="00BF377D">
              <w:rPr>
                <w:sz w:val="20"/>
              </w:rPr>
              <w:t xml:space="preserve"> the country has developed the national TB hospital optimization plan to improve TB/MDR-TB treatment outcomes and achieve cost-efficiency of interventions.</w:t>
            </w:r>
            <w:r w:rsidRPr="00BF377D">
              <w:rPr>
                <w:rStyle w:val="FootnoteReference"/>
                <w:bCs/>
                <w:sz w:val="20"/>
              </w:rPr>
              <w:footnoteReference w:id="62"/>
            </w:r>
            <w:r w:rsidRPr="00BF377D">
              <w:rPr>
                <w:sz w:val="20"/>
              </w:rPr>
              <w:t xml:space="preserve"> However, this plan has not been implemented as planned; TB hospital care is still  financed through a blend of per bed day and global budget, which incentivize long hospital stays and high rates of admission.</w:t>
            </w:r>
            <w:r w:rsidRPr="00BF377D">
              <w:rPr>
                <w:rStyle w:val="FootnoteReference"/>
                <w:bCs/>
                <w:sz w:val="20"/>
              </w:rPr>
              <w:footnoteReference w:id="63"/>
            </w:r>
            <w:r w:rsidRPr="00BF377D">
              <w:rPr>
                <w:sz w:val="20"/>
              </w:rPr>
              <w:t xml:space="preserve"> It is recognized that the key to solving this problem is a broader (TB) hospital financing reform, which may also require the reorganization of TB facility network in the country. To support this process, the NTP has developed the initiative aiming at reorganization of the specialized TB hospital service. In the meantime, the NTP will update the </w:t>
            </w:r>
            <w:r w:rsidRPr="00BF377D">
              <w:rPr>
                <w:sz w:val="20"/>
                <w:szCs w:val="20"/>
              </w:rPr>
              <w:t xml:space="preserve">optimization plan for the bed capacity. There is a need in improving the quality of care across TB care cascade, particularly for ambulatory patients receiving the respective treatment under supervision of </w:t>
            </w:r>
            <w:r w:rsidRPr="00BF377D">
              <w:rPr>
                <w:bCs/>
                <w:sz w:val="20"/>
                <w:szCs w:val="20"/>
              </w:rPr>
              <w:t xml:space="preserve">phthisiopneumologist and with direct involvement of </w:t>
            </w:r>
            <w:r w:rsidRPr="00BF377D">
              <w:rPr>
                <w:sz w:val="20"/>
                <w:szCs w:val="20"/>
              </w:rPr>
              <w:t>PHC/family doctors (at village health facilities)</w:t>
            </w:r>
            <w:r>
              <w:rPr>
                <w:sz w:val="20"/>
                <w:szCs w:val="20"/>
              </w:rPr>
              <w:t xml:space="preserve"> and regularize involvement of CSO and case-management and psychosocial support as part of routine </w:t>
            </w:r>
            <w:r w:rsidR="00143F79">
              <w:rPr>
                <w:sz w:val="20"/>
                <w:szCs w:val="20"/>
              </w:rPr>
              <w:t>offering</w:t>
            </w:r>
            <w:r w:rsidRPr="00BF377D">
              <w:rPr>
                <w:sz w:val="20"/>
                <w:szCs w:val="20"/>
              </w:rPr>
              <w:t xml:space="preserve">. </w:t>
            </w:r>
            <w:r w:rsidRPr="00BF377D">
              <w:rPr>
                <w:rFonts w:cs="Brandon Grotesque Light"/>
                <w:color w:val="000000"/>
                <w:sz w:val="20"/>
                <w:szCs w:val="20"/>
              </w:rPr>
              <w:t xml:space="preserve">The national leading institutions in TB prevention and care, i.e., with technical support from the Centre for Health Policies and Studies (PAS), </w:t>
            </w:r>
            <w:r>
              <w:rPr>
                <w:rFonts w:cs="Brandon Grotesque Light"/>
                <w:color w:val="000000"/>
                <w:sz w:val="20"/>
                <w:szCs w:val="20"/>
              </w:rPr>
              <w:t xml:space="preserve">through TB REP grant </w:t>
            </w:r>
            <w:r w:rsidRPr="00BF377D">
              <w:rPr>
                <w:rFonts w:cs="Brandon Grotesque Light"/>
                <w:color w:val="000000"/>
                <w:sz w:val="20"/>
                <w:szCs w:val="20"/>
              </w:rPr>
              <w:t>has developed a national guide to a people-centered model of care (PCMC) for TB.</w:t>
            </w:r>
            <w:r w:rsidRPr="00BF377D">
              <w:rPr>
                <w:rStyle w:val="FootnoteReference"/>
                <w:rFonts w:cs="Brandon Grotesque Light"/>
                <w:color w:val="000000"/>
                <w:sz w:val="20"/>
                <w:szCs w:val="20"/>
              </w:rPr>
              <w:footnoteReference w:id="64"/>
            </w:r>
            <w:r w:rsidRPr="00CA190E">
              <w:t xml:space="preserve"> </w:t>
            </w:r>
          </w:p>
          <w:p w14:paraId="48519144" w14:textId="32CD8DE2" w:rsidR="00BF377D" w:rsidRDefault="00104DFE" w:rsidP="00F8440F">
            <w:pPr>
              <w:jc w:val="both"/>
              <w:rPr>
                <w:rFonts w:asciiTheme="majorHAnsi" w:hAnsiTheme="majorHAnsi" w:cstheme="majorHAnsi"/>
                <w:sz w:val="20"/>
                <w:szCs w:val="20"/>
              </w:rPr>
            </w:pPr>
            <w:r w:rsidRPr="004F22B2">
              <w:rPr>
                <w:sz w:val="20"/>
              </w:rPr>
              <w:t>The</w:t>
            </w:r>
            <w:r>
              <w:rPr>
                <w:sz w:val="20"/>
              </w:rPr>
              <w:t xml:space="preserve"> expansion </w:t>
            </w:r>
            <w:r w:rsidRPr="004F22B2">
              <w:rPr>
                <w:sz w:val="20"/>
              </w:rPr>
              <w:t>of ambulatory treatment will be optimized through</w:t>
            </w:r>
            <w:r>
              <w:rPr>
                <w:sz w:val="20"/>
              </w:rPr>
              <w:t xml:space="preserve"> improving service packages at peripheral level and updating the </w:t>
            </w:r>
            <w:r w:rsidRPr="004F22B2">
              <w:rPr>
                <w:sz w:val="20"/>
              </w:rPr>
              <w:t xml:space="preserve">current health </w:t>
            </w:r>
            <w:r>
              <w:rPr>
                <w:sz w:val="20"/>
              </w:rPr>
              <w:t xml:space="preserve">payment mechanisms at primary and secondary levels of care, as well as develop a service package for supportive services as the basis </w:t>
            </w:r>
            <w:r w:rsidRPr="004F22B2">
              <w:rPr>
                <w:sz w:val="20"/>
              </w:rPr>
              <w:t>financing strategies</w:t>
            </w:r>
            <w:r>
              <w:rPr>
                <w:sz w:val="20"/>
              </w:rPr>
              <w:t>. If money follows the patient, this will create premises to maintain adequate staff and</w:t>
            </w:r>
            <w:r w:rsidRPr="004F22B2">
              <w:rPr>
                <w:sz w:val="20"/>
              </w:rPr>
              <w:t xml:space="preserve"> </w:t>
            </w:r>
            <w:r>
              <w:rPr>
                <w:sz w:val="20"/>
              </w:rPr>
              <w:t>adjust</w:t>
            </w:r>
            <w:r w:rsidRPr="004F22B2">
              <w:rPr>
                <w:sz w:val="20"/>
              </w:rPr>
              <w:t xml:space="preserve"> human resource development, integration of services, etc., which should be designed and implemented in light of overarching UHC concept</w:t>
            </w:r>
            <w:r>
              <w:rPr>
                <w:sz w:val="20"/>
              </w:rPr>
              <w:t xml:space="preserve">. </w:t>
            </w:r>
            <w:r w:rsidRPr="00104DFE">
              <w:rPr>
                <w:sz w:val="20"/>
              </w:rPr>
              <w:t>The recently introduced people-centered approaches implemented through community centers as well as by NGOs/CSOs will provide patient adherence support for ambulatory treatment through LTFU risk assessment/ management, homebased care as well as psychological and social support.</w:t>
            </w:r>
            <w:r w:rsidR="00F8440F">
              <w:rPr>
                <w:sz w:val="20"/>
              </w:rPr>
              <w:t xml:space="preserve"> </w:t>
            </w:r>
            <w:r w:rsidR="004F22B2" w:rsidRPr="00104DFE">
              <w:rPr>
                <w:rFonts w:asciiTheme="majorHAnsi" w:hAnsiTheme="majorHAnsi" w:cstheme="majorHAnsi"/>
                <w:sz w:val="20"/>
                <w:szCs w:val="20"/>
              </w:rPr>
              <w:t>Furthermore, the national regulatory and legislative framework should allow for full and early integration of patients on effective treatment into daily social life (e.g., the attendance of work, school, or pre-school institutions. This should be also supported with broader collective efforts to reduce TB-related stigma in local communities (described under the respective sections of Pillar 2 below).</w:t>
            </w:r>
          </w:p>
          <w:p w14:paraId="1D54F17D" w14:textId="433F2FFB" w:rsidR="00F8440F" w:rsidRPr="00F8440F" w:rsidRDefault="00F8440F" w:rsidP="00F8440F">
            <w:pPr>
              <w:jc w:val="both"/>
              <w:rPr>
                <w:rFonts w:asciiTheme="majorHAnsi" w:hAnsiTheme="majorHAnsi" w:cstheme="majorHAnsi"/>
                <w:sz w:val="20"/>
                <w:szCs w:val="20"/>
              </w:rPr>
            </w:pPr>
            <w:r w:rsidRPr="00F8440F">
              <w:rPr>
                <w:rFonts w:asciiTheme="majorHAnsi" w:hAnsiTheme="majorHAnsi" w:cstheme="majorHAnsi"/>
                <w:b/>
                <w:sz w:val="20"/>
                <w:szCs w:val="20"/>
              </w:rPr>
              <w:t>Human resource development</w:t>
            </w:r>
            <w:r>
              <w:rPr>
                <w:rFonts w:asciiTheme="majorHAnsi" w:hAnsiTheme="majorHAnsi" w:cstheme="majorHAnsi"/>
                <w:sz w:val="20"/>
                <w:szCs w:val="20"/>
              </w:rPr>
              <w:t xml:space="preserve">: </w:t>
            </w:r>
            <w:r w:rsidRPr="00F8440F">
              <w:rPr>
                <w:rFonts w:asciiTheme="majorHAnsi" w:hAnsiTheme="majorHAnsi" w:cstheme="majorHAnsi"/>
                <w:sz w:val="20"/>
                <w:szCs w:val="20"/>
              </w:rPr>
              <w:t>Integrated care approach, as a foundation for predominantly ambulatory model of TB care delivery requires new approaches for HRD and planning, distribution and professional development. A critical task during transition from outdated model of hospital-driven care to people-centered outpatient model will be to ensure shifting of TB-related tasks to general service providers (based on the defined and agreed packages of services), and to retain optimal number of TB specialists. This task will be accomplished through:</w:t>
            </w:r>
            <w:r>
              <w:rPr>
                <w:rFonts w:asciiTheme="majorHAnsi" w:hAnsiTheme="majorHAnsi" w:cstheme="majorHAnsi"/>
                <w:sz w:val="20"/>
                <w:szCs w:val="20"/>
              </w:rPr>
              <w:t xml:space="preserve"> </w:t>
            </w:r>
            <w:bookmarkStart w:id="6" w:name="_Hlk42161636"/>
            <w:r>
              <w:rPr>
                <w:rFonts w:asciiTheme="majorHAnsi" w:hAnsiTheme="majorHAnsi" w:cstheme="majorHAnsi"/>
                <w:sz w:val="20"/>
                <w:szCs w:val="20"/>
              </w:rPr>
              <w:t xml:space="preserve">(1) </w:t>
            </w:r>
            <w:r w:rsidRPr="00F8440F">
              <w:rPr>
                <w:rFonts w:asciiTheme="majorHAnsi" w:hAnsiTheme="majorHAnsi" w:cstheme="majorHAnsi"/>
                <w:sz w:val="20"/>
                <w:szCs w:val="20"/>
              </w:rPr>
              <w:t xml:space="preserve">Developing/updating the HRD policies and plans (including numbers, </w:t>
            </w:r>
            <w:r>
              <w:rPr>
                <w:rFonts w:asciiTheme="majorHAnsi" w:hAnsiTheme="majorHAnsi" w:cstheme="majorHAnsi"/>
                <w:sz w:val="20"/>
                <w:szCs w:val="20"/>
              </w:rPr>
              <w:t xml:space="preserve">deployment, retention, </w:t>
            </w:r>
            <w:r w:rsidRPr="00F8440F">
              <w:rPr>
                <w:rFonts w:asciiTheme="majorHAnsi" w:hAnsiTheme="majorHAnsi" w:cstheme="majorHAnsi"/>
                <w:sz w:val="20"/>
                <w:szCs w:val="20"/>
              </w:rPr>
              <w:t>operations, workload and working conditions) considering the new requirements of integrated TB service delivery at all levels, based on the respective HRD assessments and operations research.</w:t>
            </w:r>
            <w:r>
              <w:rPr>
                <w:rFonts w:asciiTheme="majorHAnsi" w:hAnsiTheme="majorHAnsi" w:cstheme="majorHAnsi"/>
                <w:sz w:val="20"/>
                <w:szCs w:val="20"/>
              </w:rPr>
              <w:t xml:space="preserve"> (2) </w:t>
            </w:r>
            <w:r w:rsidRPr="00F8440F">
              <w:rPr>
                <w:rFonts w:asciiTheme="majorHAnsi" w:hAnsiTheme="majorHAnsi" w:cstheme="majorHAnsi"/>
                <w:sz w:val="20"/>
                <w:szCs w:val="20"/>
              </w:rPr>
              <w:t xml:space="preserve">Setting competencies, tasks, and standards of care for the health workforce at different levels considering the updated patient care pathway, task shifting, etc. </w:t>
            </w:r>
            <w:r>
              <w:rPr>
                <w:rFonts w:asciiTheme="majorHAnsi" w:hAnsiTheme="majorHAnsi" w:cstheme="majorHAnsi"/>
                <w:sz w:val="20"/>
                <w:szCs w:val="20"/>
              </w:rPr>
              <w:t xml:space="preserve">(3) </w:t>
            </w:r>
            <w:bookmarkStart w:id="7" w:name="_Hlk42161726"/>
            <w:bookmarkEnd w:id="6"/>
            <w:r w:rsidRPr="00F8440F">
              <w:rPr>
                <w:rFonts w:asciiTheme="majorHAnsi" w:hAnsiTheme="majorHAnsi" w:cstheme="majorHAnsi"/>
                <w:sz w:val="20"/>
                <w:szCs w:val="20"/>
              </w:rPr>
              <w:t xml:space="preserve">Updating pre- and in-service education and training curricula (considering the updated patient care pathway, integrated service delivery, task shifting, social protection, etc.), </w:t>
            </w:r>
            <w:bookmarkEnd w:id="7"/>
            <w:r w:rsidRPr="00F8440F">
              <w:rPr>
                <w:rFonts w:asciiTheme="majorHAnsi" w:hAnsiTheme="majorHAnsi" w:cstheme="majorHAnsi"/>
                <w:sz w:val="20"/>
                <w:szCs w:val="20"/>
              </w:rPr>
              <w:t xml:space="preserve">and </w:t>
            </w:r>
            <w:r w:rsidRPr="00F8440F">
              <w:rPr>
                <w:rFonts w:asciiTheme="majorHAnsi" w:hAnsiTheme="majorHAnsi" w:cstheme="majorHAnsi"/>
                <w:sz w:val="20"/>
                <w:szCs w:val="20"/>
              </w:rPr>
              <w:lastRenderedPageBreak/>
              <w:t xml:space="preserve">continuous training of relevant healthcare workers involved in TB prevention and care at various levels, including through digital platforms and distance learning programs. </w:t>
            </w:r>
          </w:p>
          <w:p w14:paraId="1D7B300A" w14:textId="5E8AC370" w:rsidR="00F8440F" w:rsidRPr="00F8440F" w:rsidRDefault="00F8440F" w:rsidP="00F8440F">
            <w:pPr>
              <w:jc w:val="both"/>
              <w:rPr>
                <w:rFonts w:asciiTheme="majorHAnsi" w:hAnsiTheme="majorHAnsi" w:cstheme="majorHAnsi"/>
                <w:sz w:val="20"/>
                <w:szCs w:val="20"/>
              </w:rPr>
            </w:pPr>
            <w:r w:rsidRPr="00F8440F">
              <w:rPr>
                <w:rFonts w:asciiTheme="majorHAnsi" w:hAnsiTheme="majorHAnsi" w:cstheme="majorHAnsi"/>
                <w:b/>
                <w:sz w:val="20"/>
                <w:szCs w:val="20"/>
              </w:rPr>
              <w:t>Procurement and supply chain management</w:t>
            </w:r>
            <w:r w:rsidRPr="00F8440F">
              <w:rPr>
                <w:rFonts w:asciiTheme="majorHAnsi" w:hAnsiTheme="majorHAnsi" w:cstheme="majorHAnsi"/>
                <w:sz w:val="20"/>
                <w:szCs w:val="20"/>
              </w:rPr>
              <w:t xml:space="preserve">: From 2005 to 2011, GF was the only provider of anti-TB drugs in the country. Since 2011, all FLDs have been procured from the national budget by the MOLHSP and the Ministry of Justice for the civilian and penitentiary sectors, respectively. </w:t>
            </w:r>
            <w:r>
              <w:rPr>
                <w:rFonts w:asciiTheme="majorHAnsi" w:hAnsiTheme="majorHAnsi" w:cstheme="majorHAnsi"/>
                <w:sz w:val="20"/>
                <w:szCs w:val="20"/>
              </w:rPr>
              <w:t xml:space="preserve">Since </w:t>
            </w:r>
            <w:r w:rsidRPr="00F8440F">
              <w:rPr>
                <w:rFonts w:asciiTheme="majorHAnsi" w:hAnsiTheme="majorHAnsi" w:cstheme="majorHAnsi"/>
                <w:sz w:val="20"/>
                <w:szCs w:val="20"/>
              </w:rPr>
              <w:t xml:space="preserve">2014, the government started purchasing SLDs, with 50% of SLDs currently purchased from domestic sources (the other 50% is purchased from GF budget).  From 2016 to 2018, UNDP procured medicines and other health products for treatment and diagnosis of diseases included in the national and special health programs, including </w:t>
            </w:r>
            <w:r w:rsidR="00BB0048">
              <w:rPr>
                <w:rFonts w:asciiTheme="majorHAnsi" w:hAnsiTheme="majorHAnsi" w:cstheme="majorHAnsi"/>
                <w:sz w:val="20"/>
                <w:szCs w:val="20"/>
              </w:rPr>
              <w:t xml:space="preserve">HIV and </w:t>
            </w:r>
            <w:r w:rsidRPr="00F8440F">
              <w:rPr>
                <w:rFonts w:asciiTheme="majorHAnsi" w:hAnsiTheme="majorHAnsi" w:cstheme="majorHAnsi"/>
                <w:sz w:val="20"/>
                <w:szCs w:val="20"/>
              </w:rPr>
              <w:t>TB medicines. Since 2019, procurement is done by the MOLHSP Centre for Centralized Public Procurement in Health</w:t>
            </w:r>
            <w:r>
              <w:rPr>
                <w:rFonts w:asciiTheme="majorHAnsi" w:hAnsiTheme="majorHAnsi" w:cstheme="majorHAnsi"/>
                <w:sz w:val="20"/>
                <w:szCs w:val="20"/>
              </w:rPr>
              <w:t xml:space="preserve">. </w:t>
            </w:r>
            <w:r w:rsidRPr="00F8440F">
              <w:rPr>
                <w:rFonts w:asciiTheme="majorHAnsi" w:hAnsiTheme="majorHAnsi" w:cstheme="majorHAnsi"/>
                <w:sz w:val="20"/>
                <w:szCs w:val="20"/>
              </w:rPr>
              <w:t>Procuring TB medicines in Transnistria from quality-assured sources; Updating the National Essential Medicines List (last updated in 2011), by including newer medicines such as bedaquiline, delamanid, clofazimine and child-friendly formulations; Technical assistance to Moldova’s Medicines and Medical Devices Agency to assess the current policies and practices for registration and import of health products and medicines, pharmacovigilance systems and quality assurance/quality control standards as well as planning and implementing the actions for improvement</w:t>
            </w:r>
          </w:p>
          <w:p w14:paraId="3A90DF02" w14:textId="71A3779F" w:rsidR="00F8440F" w:rsidRDefault="00F8440F" w:rsidP="00F8440F">
            <w:pPr>
              <w:jc w:val="both"/>
              <w:rPr>
                <w:rFonts w:asciiTheme="majorHAnsi" w:hAnsiTheme="majorHAnsi" w:cstheme="majorHAnsi"/>
                <w:sz w:val="20"/>
                <w:szCs w:val="20"/>
              </w:rPr>
            </w:pPr>
            <w:r w:rsidRPr="00F8440F">
              <w:rPr>
                <w:rFonts w:asciiTheme="majorHAnsi" w:hAnsiTheme="majorHAnsi" w:cstheme="majorHAnsi"/>
                <w:b/>
                <w:sz w:val="20"/>
                <w:szCs w:val="20"/>
              </w:rPr>
              <w:t>SIME TB:</w:t>
            </w:r>
            <w:r>
              <w:rPr>
                <w:rFonts w:asciiTheme="majorHAnsi" w:hAnsiTheme="majorHAnsi" w:cstheme="majorHAnsi"/>
                <w:sz w:val="20"/>
                <w:szCs w:val="20"/>
              </w:rPr>
              <w:t xml:space="preserve"> </w:t>
            </w:r>
            <w:r w:rsidRPr="00F8440F">
              <w:rPr>
                <w:rFonts w:asciiTheme="majorHAnsi" w:hAnsiTheme="majorHAnsi" w:cstheme="majorHAnsi"/>
                <w:sz w:val="20"/>
                <w:szCs w:val="20"/>
              </w:rPr>
              <w:t>Although SIME TB functions well, it is not possible to add new variables or make substantial changes, which is due to the programming language used that has reached the end of its life. The database is able to generate standardized reports, but ad-hoc analyses are rather time consuming because easy variable selection is not possible. This h</w:t>
            </w:r>
            <w:r w:rsidR="00BB0048">
              <w:rPr>
                <w:rFonts w:asciiTheme="majorHAnsi" w:hAnsiTheme="majorHAnsi" w:cstheme="majorHAnsi"/>
                <w:sz w:val="20"/>
                <w:szCs w:val="20"/>
              </w:rPr>
              <w:t>inders a more granular analysis. Additional modules are also needed for lab and case finding.</w:t>
            </w:r>
          </w:p>
          <w:p w14:paraId="53871678" w14:textId="77777777" w:rsidR="00BB0048" w:rsidRDefault="00BB0048" w:rsidP="00BB0048">
            <w:pPr>
              <w:jc w:val="both"/>
              <w:rPr>
                <w:rStyle w:val="e24kjd"/>
                <w:rFonts w:asciiTheme="majorHAnsi" w:hAnsiTheme="majorHAnsi" w:cstheme="majorHAnsi"/>
                <w:sz w:val="20"/>
              </w:rPr>
            </w:pPr>
            <w:r w:rsidRPr="00950B43">
              <w:rPr>
                <w:rStyle w:val="e24kjd"/>
                <w:rFonts w:asciiTheme="majorHAnsi" w:hAnsiTheme="majorHAnsi" w:cstheme="majorHAnsi"/>
                <w:b/>
                <w:sz w:val="20"/>
              </w:rPr>
              <w:t xml:space="preserve">HIV </w:t>
            </w:r>
            <w:r>
              <w:rPr>
                <w:rStyle w:val="e24kjd"/>
                <w:rFonts w:asciiTheme="majorHAnsi" w:hAnsiTheme="majorHAnsi" w:cstheme="majorHAnsi"/>
                <w:b/>
                <w:sz w:val="20"/>
              </w:rPr>
              <w:t>M&amp;E</w:t>
            </w:r>
            <w:r w:rsidRPr="00950B43">
              <w:rPr>
                <w:rStyle w:val="e24kjd"/>
                <w:rFonts w:asciiTheme="majorHAnsi" w:hAnsiTheme="majorHAnsi" w:cstheme="majorHAnsi"/>
                <w:b/>
                <w:sz w:val="20"/>
              </w:rPr>
              <w:t xml:space="preserve"> system: </w:t>
            </w:r>
            <w:r>
              <w:rPr>
                <w:rStyle w:val="e24kjd"/>
                <w:rFonts w:asciiTheme="majorHAnsi" w:hAnsiTheme="majorHAnsi" w:cstheme="majorHAnsi"/>
                <w:sz w:val="20"/>
              </w:rPr>
              <w:t>T</w:t>
            </w:r>
            <w:r w:rsidRPr="00B554EB">
              <w:rPr>
                <w:rStyle w:val="e24kjd"/>
                <w:rFonts w:asciiTheme="majorHAnsi" w:hAnsiTheme="majorHAnsi" w:cstheme="majorHAnsi"/>
                <w:sz w:val="20"/>
              </w:rPr>
              <w:t xml:space="preserve">he HIV monitoring systems are different modules with no linkages between them that have been </w:t>
            </w:r>
            <w:r>
              <w:rPr>
                <w:rStyle w:val="e24kjd"/>
                <w:rFonts w:asciiTheme="majorHAnsi" w:hAnsiTheme="majorHAnsi" w:cstheme="majorHAnsi"/>
                <w:sz w:val="20"/>
              </w:rPr>
              <w:t>developed over time and it is not possible to ensure continuity of data flow. SIME-</w:t>
            </w:r>
            <w:r w:rsidRPr="00950B43">
              <w:rPr>
                <w:rStyle w:val="e24kjd"/>
                <w:rFonts w:asciiTheme="majorHAnsi" w:hAnsiTheme="majorHAnsi" w:cstheme="majorHAnsi"/>
                <w:sz w:val="20"/>
              </w:rPr>
              <w:t xml:space="preserve">HIV – collects ARV treatment data, which is only partially updated and non-operational at present. </w:t>
            </w:r>
            <w:r>
              <w:rPr>
                <w:rStyle w:val="e24kjd"/>
                <w:rFonts w:asciiTheme="majorHAnsi" w:hAnsiTheme="majorHAnsi" w:cstheme="majorHAnsi"/>
                <w:sz w:val="20"/>
              </w:rPr>
              <w:t>There are additional e</w:t>
            </w:r>
            <w:r w:rsidRPr="00950B43">
              <w:rPr>
                <w:rStyle w:val="e24kjd"/>
                <w:rFonts w:asciiTheme="majorHAnsi" w:hAnsiTheme="majorHAnsi" w:cstheme="majorHAnsi"/>
                <w:sz w:val="20"/>
              </w:rPr>
              <w:t>xcel databases updated by all institutions p</w:t>
            </w:r>
            <w:r>
              <w:rPr>
                <w:rStyle w:val="e24kjd"/>
                <w:rFonts w:asciiTheme="majorHAnsi" w:hAnsiTheme="majorHAnsi" w:cstheme="majorHAnsi"/>
                <w:sz w:val="20"/>
              </w:rPr>
              <w:t xml:space="preserve">roviding ARV treatment to PLHIV. In light of decentralization there is a stringent need for a new HMIS and EMR system. The current digital health strategy in Moldova envisions setting interoperability of various emerging HMIS systems and does nt plan for a single integrated HMIS. </w:t>
            </w:r>
          </w:p>
          <w:p w14:paraId="70DF4A81" w14:textId="2E8575DF" w:rsidR="00BF377D" w:rsidRPr="009B7CC7" w:rsidRDefault="00BB0048" w:rsidP="00BB0048">
            <w:pPr>
              <w:jc w:val="both"/>
              <w:rPr>
                <w:rFonts w:asciiTheme="majorHAnsi" w:hAnsiTheme="majorHAnsi" w:cstheme="majorHAnsi"/>
                <w:sz w:val="20"/>
                <w:szCs w:val="20"/>
              </w:rPr>
            </w:pPr>
            <w:r>
              <w:rPr>
                <w:rStyle w:val="e24kjd"/>
                <w:rFonts w:asciiTheme="majorHAnsi" w:hAnsiTheme="majorHAnsi" w:cstheme="majorHAnsi"/>
                <w:b/>
                <w:sz w:val="20"/>
              </w:rPr>
              <w:t xml:space="preserve">HIV laboratory network: </w:t>
            </w:r>
            <w:r w:rsidRPr="002D3CA0">
              <w:rPr>
                <w:rStyle w:val="e24kjd"/>
                <w:rFonts w:asciiTheme="majorHAnsi" w:hAnsiTheme="majorHAnsi" w:cstheme="majorHAnsi"/>
                <w:sz w:val="20"/>
              </w:rPr>
              <w:t>at the national level, SDMC’s lab centralizes the national capacity to conduct HIV testing, diagnosis, and follow-u</w:t>
            </w:r>
            <w:r>
              <w:rPr>
                <w:rStyle w:val="e24kjd"/>
                <w:rFonts w:asciiTheme="majorHAnsi" w:hAnsiTheme="majorHAnsi" w:cstheme="majorHAnsi"/>
                <w:sz w:val="20"/>
              </w:rPr>
              <w:t xml:space="preserve">p for patients in ARV treatment.  Major gaps include lack of LIS connecting HIV confirmatory labs and HIV screening sites (reports are excel-based), lack of unique identifier does not allow counting people tested, only tests used, and lack of reference system to linkage to care. With decentralization of testing capacity, more focus on quality management systems is needed. </w:t>
            </w:r>
          </w:p>
        </w:tc>
      </w:tr>
      <w:tr w:rsidR="0040643D" w:rsidRPr="00BF4BEE" w14:paraId="0145A636" w14:textId="77777777" w:rsidTr="00500903">
        <w:trPr>
          <w:trHeight w:val="431"/>
        </w:trPr>
        <w:tc>
          <w:tcPr>
            <w:tcW w:w="2448" w:type="dxa"/>
            <w:shd w:val="clear" w:color="auto" w:fill="F2F2F2"/>
            <w:vAlign w:val="center"/>
          </w:tcPr>
          <w:p w14:paraId="6FE3E9FE" w14:textId="77777777" w:rsidR="0040643D" w:rsidRPr="00BF4BEE" w:rsidRDefault="0040643D" w:rsidP="00500903">
            <w:pPr>
              <w:spacing w:after="0"/>
            </w:pPr>
            <w:r w:rsidRPr="00BF4BEE">
              <w:lastRenderedPageBreak/>
              <w:t>Expected Outcome</w:t>
            </w:r>
          </w:p>
        </w:tc>
        <w:tc>
          <w:tcPr>
            <w:tcW w:w="7902" w:type="dxa"/>
          </w:tcPr>
          <w:p w14:paraId="49B568F0" w14:textId="40102860" w:rsidR="0040643D" w:rsidRPr="00000135" w:rsidRDefault="00BB0048" w:rsidP="00326A6B">
            <w:pPr>
              <w:pStyle w:val="ListParagraph"/>
              <w:numPr>
                <w:ilvl w:val="0"/>
                <w:numId w:val="76"/>
              </w:numPr>
              <w:spacing w:after="0"/>
              <w:rPr>
                <w:rFonts w:cstheme="minorHAnsi"/>
                <w:sz w:val="20"/>
              </w:rPr>
            </w:pPr>
            <w:r w:rsidRPr="00000135">
              <w:rPr>
                <w:rFonts w:cstheme="minorHAnsi"/>
                <w:sz w:val="20"/>
              </w:rPr>
              <w:t>Stronger capacity of health system to support TB and HIV response</w:t>
            </w:r>
          </w:p>
          <w:p w14:paraId="19C55D5D" w14:textId="51775548" w:rsidR="00000135" w:rsidRPr="00000135" w:rsidRDefault="00000135" w:rsidP="00326A6B">
            <w:pPr>
              <w:pStyle w:val="ListParagraph"/>
              <w:numPr>
                <w:ilvl w:val="0"/>
                <w:numId w:val="76"/>
              </w:numPr>
              <w:jc w:val="both"/>
              <w:rPr>
                <w:rFonts w:cstheme="minorHAnsi"/>
                <w:sz w:val="20"/>
              </w:rPr>
            </w:pPr>
            <w:r w:rsidRPr="00000135">
              <w:rPr>
                <w:rFonts w:cstheme="minorHAnsi"/>
                <w:sz w:val="20"/>
              </w:rPr>
              <w:t>Improved governance structure for coordination of national programs</w:t>
            </w:r>
          </w:p>
          <w:p w14:paraId="6D99F817" w14:textId="6703D9BF" w:rsidR="00000135" w:rsidRPr="00000135" w:rsidRDefault="00BB0048" w:rsidP="00326A6B">
            <w:pPr>
              <w:pStyle w:val="ListParagraph"/>
              <w:numPr>
                <w:ilvl w:val="0"/>
                <w:numId w:val="76"/>
              </w:numPr>
              <w:jc w:val="both"/>
              <w:rPr>
                <w:rFonts w:cstheme="minorHAnsi"/>
                <w:sz w:val="20"/>
              </w:rPr>
            </w:pPr>
            <w:r w:rsidRPr="00000135">
              <w:rPr>
                <w:rFonts w:cstheme="minorHAnsi"/>
                <w:sz w:val="20"/>
              </w:rPr>
              <w:t xml:space="preserve">Improved provision of integrated and decentralized services </w:t>
            </w:r>
            <w:r w:rsidR="00000135" w:rsidRPr="00000135">
              <w:rPr>
                <w:rFonts w:cstheme="minorHAnsi"/>
                <w:sz w:val="20"/>
              </w:rPr>
              <w:t>leads</w:t>
            </w:r>
            <w:r w:rsidRPr="00000135">
              <w:rPr>
                <w:rFonts w:cstheme="minorHAnsi"/>
                <w:sz w:val="20"/>
              </w:rPr>
              <w:t xml:space="preserve"> to better TB and HIV outcomes</w:t>
            </w:r>
            <w:r w:rsidR="00000135" w:rsidRPr="00000135">
              <w:rPr>
                <w:rFonts w:cstheme="minorHAnsi"/>
                <w:sz w:val="20"/>
              </w:rPr>
              <w:t xml:space="preserve"> </w:t>
            </w:r>
          </w:p>
          <w:p w14:paraId="18EB2CA3" w14:textId="1E54C873" w:rsidR="00000135" w:rsidRPr="00000135" w:rsidRDefault="00000135" w:rsidP="00326A6B">
            <w:pPr>
              <w:pStyle w:val="ListParagraph"/>
              <w:numPr>
                <w:ilvl w:val="0"/>
                <w:numId w:val="76"/>
              </w:numPr>
              <w:jc w:val="both"/>
              <w:rPr>
                <w:rFonts w:cstheme="minorHAnsi"/>
                <w:sz w:val="20"/>
              </w:rPr>
            </w:pPr>
            <w:r w:rsidRPr="00000135">
              <w:rPr>
                <w:rFonts w:cstheme="minorHAnsi"/>
                <w:sz w:val="20"/>
              </w:rPr>
              <w:t xml:space="preserve">Service packages for TB and HIV in decentralized models are costed, approved and used to </w:t>
            </w:r>
            <w:r w:rsidR="005B648A" w:rsidRPr="00000135">
              <w:rPr>
                <w:rFonts w:cstheme="minorHAnsi"/>
                <w:sz w:val="20"/>
              </w:rPr>
              <w:t>channel</w:t>
            </w:r>
            <w:r w:rsidRPr="00000135">
              <w:rPr>
                <w:rFonts w:cstheme="minorHAnsi"/>
                <w:sz w:val="20"/>
              </w:rPr>
              <w:t xml:space="preserve"> appropriate funding at outpatient level of care</w:t>
            </w:r>
          </w:p>
          <w:p w14:paraId="4B0D12AB" w14:textId="01CDFA92" w:rsidR="00000135" w:rsidRPr="00000135" w:rsidRDefault="00000135" w:rsidP="00326A6B">
            <w:pPr>
              <w:pStyle w:val="ListParagraph"/>
              <w:numPr>
                <w:ilvl w:val="0"/>
                <w:numId w:val="76"/>
              </w:numPr>
              <w:jc w:val="both"/>
              <w:rPr>
                <w:rFonts w:cstheme="minorHAnsi"/>
                <w:sz w:val="20"/>
              </w:rPr>
            </w:pPr>
            <w:r w:rsidRPr="00000135">
              <w:rPr>
                <w:rFonts w:cstheme="minorHAnsi"/>
                <w:sz w:val="20"/>
              </w:rPr>
              <w:t xml:space="preserve">Reduction in hospitalization rated for TB and better care and more comprehensive available </w:t>
            </w:r>
            <w:r w:rsidR="005B648A">
              <w:rPr>
                <w:rFonts w:cstheme="minorHAnsi"/>
                <w:sz w:val="20"/>
              </w:rPr>
              <w:t>in ambulatory setting</w:t>
            </w:r>
          </w:p>
          <w:p w14:paraId="15949C87" w14:textId="04755498" w:rsidR="00BB0048" w:rsidRPr="00BF4BEE" w:rsidRDefault="00000135" w:rsidP="00326A6B">
            <w:pPr>
              <w:pStyle w:val="ListParagraph"/>
              <w:numPr>
                <w:ilvl w:val="0"/>
                <w:numId w:val="76"/>
              </w:numPr>
              <w:spacing w:after="0"/>
              <w:rPr>
                <w:rFonts w:ascii="Calibri" w:hAnsi="Calibri" w:cs="Times New Roman"/>
              </w:rPr>
            </w:pPr>
            <w:r w:rsidRPr="00000135">
              <w:rPr>
                <w:rFonts w:cstheme="minorHAnsi"/>
                <w:sz w:val="20"/>
              </w:rPr>
              <w:t>Better information systems able to provide granular data for decision-making and response adjustment and ensure continuity of care</w:t>
            </w:r>
          </w:p>
        </w:tc>
      </w:tr>
      <w:tr w:rsidR="008659A5" w:rsidRPr="00BF4BEE" w14:paraId="4134ED2E" w14:textId="77777777" w:rsidTr="00500903">
        <w:trPr>
          <w:trHeight w:val="431"/>
        </w:trPr>
        <w:tc>
          <w:tcPr>
            <w:tcW w:w="2448" w:type="dxa"/>
            <w:shd w:val="clear" w:color="auto" w:fill="F2F2F2"/>
            <w:vAlign w:val="center"/>
          </w:tcPr>
          <w:p w14:paraId="1CF9CFEC" w14:textId="3AF177B4" w:rsidR="008659A5" w:rsidRPr="00BF4BEE" w:rsidRDefault="008659A5" w:rsidP="00500903">
            <w:pPr>
              <w:spacing w:after="0"/>
            </w:pPr>
            <w:r>
              <w:t>Expected Investment</w:t>
            </w:r>
          </w:p>
        </w:tc>
        <w:tc>
          <w:tcPr>
            <w:tcW w:w="7902" w:type="dxa"/>
          </w:tcPr>
          <w:p w14:paraId="3253D0AC" w14:textId="77777777" w:rsidR="008659A5" w:rsidRPr="005B648A" w:rsidRDefault="00A82FB8" w:rsidP="00A82FB8">
            <w:pPr>
              <w:spacing w:after="0" w:line="240" w:lineRule="auto"/>
              <w:rPr>
                <w:rFonts w:ascii="Arial" w:hAnsi="Arial" w:cs="Arial"/>
                <w:color w:val="000000"/>
                <w:sz w:val="20"/>
                <w:szCs w:val="20"/>
                <w:highlight w:val="yellow"/>
              </w:rPr>
            </w:pPr>
            <w:r w:rsidRPr="005B648A">
              <w:rPr>
                <w:rFonts w:ascii="Arial" w:hAnsi="Arial" w:cs="Arial"/>
                <w:color w:val="000000"/>
                <w:sz w:val="20"/>
                <w:szCs w:val="20"/>
                <w:highlight w:val="yellow"/>
              </w:rPr>
              <w:t>EUR 1,836,404</w:t>
            </w:r>
          </w:p>
          <w:p w14:paraId="36AA6016" w14:textId="71BFBE94" w:rsidR="005B648A" w:rsidRPr="00BF4BEE" w:rsidRDefault="005B648A" w:rsidP="00A82FB8">
            <w:pPr>
              <w:spacing w:after="0" w:line="240" w:lineRule="auto"/>
              <w:rPr>
                <w:rFonts w:ascii="Calibri" w:hAnsi="Calibri" w:cs="Times New Roman"/>
              </w:rPr>
            </w:pPr>
            <w:r w:rsidRPr="005B648A">
              <w:rPr>
                <w:rFonts w:ascii="Arial" w:hAnsi="Arial" w:cs="Arial"/>
                <w:color w:val="000000"/>
                <w:sz w:val="20"/>
                <w:szCs w:val="20"/>
                <w:highlight w:val="yellow"/>
              </w:rPr>
              <w:t>PAAR</w:t>
            </w:r>
          </w:p>
        </w:tc>
      </w:tr>
    </w:tbl>
    <w:p w14:paraId="68061DD0" w14:textId="77777777" w:rsidR="0040643D" w:rsidRDefault="0040643D" w:rsidP="0040643D">
      <w:pPr>
        <w:spacing w:after="0"/>
        <w:rPr>
          <w:i/>
          <w:sz w:val="16"/>
          <w:szCs w:val="16"/>
        </w:rPr>
      </w:pPr>
    </w:p>
    <w:tbl>
      <w:tblPr>
        <w:tblStyle w:val="TableGrid30"/>
        <w:tblW w:w="10350" w:type="dxa"/>
        <w:tblInd w:w="-5" w:type="dxa"/>
        <w:tblLook w:val="04A0" w:firstRow="1" w:lastRow="0" w:firstColumn="1" w:lastColumn="0" w:noHBand="0" w:noVBand="1"/>
      </w:tblPr>
      <w:tblGrid>
        <w:gridCol w:w="2448"/>
        <w:gridCol w:w="7902"/>
      </w:tblGrid>
      <w:tr w:rsidR="0040643D" w:rsidRPr="00BF4BEE" w14:paraId="422E020E" w14:textId="77777777" w:rsidTr="00500903">
        <w:trPr>
          <w:trHeight w:val="422"/>
        </w:trPr>
        <w:tc>
          <w:tcPr>
            <w:tcW w:w="2448" w:type="dxa"/>
            <w:shd w:val="clear" w:color="auto" w:fill="F2F2F2"/>
            <w:vAlign w:val="center"/>
          </w:tcPr>
          <w:p w14:paraId="4DB2973E" w14:textId="77777777" w:rsidR="0040643D" w:rsidRPr="00BF4BEE" w:rsidRDefault="0040643D" w:rsidP="00500903">
            <w:pPr>
              <w:spacing w:after="0"/>
            </w:pPr>
            <w:r>
              <w:t xml:space="preserve">Component </w:t>
            </w:r>
          </w:p>
        </w:tc>
        <w:tc>
          <w:tcPr>
            <w:tcW w:w="7902" w:type="dxa"/>
            <w:shd w:val="clear" w:color="auto" w:fill="00B050"/>
          </w:tcPr>
          <w:p w14:paraId="5761134B" w14:textId="4ECDEF4D" w:rsidR="0040643D" w:rsidRPr="00221560" w:rsidRDefault="00221560" w:rsidP="00500903">
            <w:pPr>
              <w:spacing w:after="0"/>
              <w:rPr>
                <w:rFonts w:ascii="Calibri" w:hAnsi="Calibri" w:cs="Times New Roman"/>
                <w:b/>
              </w:rPr>
            </w:pPr>
            <w:r>
              <w:rPr>
                <w:rFonts w:ascii="Calibri" w:hAnsi="Calibri" w:cs="Times New Roman"/>
                <w:color w:val="FFFFFF" w:themeColor="background1"/>
              </w:rPr>
              <w:t xml:space="preserve"> </w:t>
            </w:r>
            <w:r w:rsidRPr="00221560">
              <w:rPr>
                <w:rFonts w:ascii="Calibri" w:hAnsi="Calibri" w:cs="Times New Roman"/>
                <w:b/>
                <w:color w:val="FFFFFF" w:themeColor="background1"/>
              </w:rPr>
              <w:t xml:space="preserve">CSS and </w:t>
            </w:r>
            <w:r w:rsidR="0040643D" w:rsidRPr="00221560">
              <w:rPr>
                <w:rFonts w:ascii="Calibri" w:hAnsi="Calibri" w:cs="Times New Roman"/>
                <w:b/>
                <w:color w:val="FFFFFF" w:themeColor="background1"/>
              </w:rPr>
              <w:t>HRG</w:t>
            </w:r>
          </w:p>
        </w:tc>
      </w:tr>
      <w:tr w:rsidR="0040643D" w:rsidRPr="00BF4BEE" w14:paraId="3282FCED" w14:textId="77777777" w:rsidTr="00500903">
        <w:trPr>
          <w:trHeight w:val="440"/>
        </w:trPr>
        <w:tc>
          <w:tcPr>
            <w:tcW w:w="2448" w:type="dxa"/>
            <w:shd w:val="clear" w:color="auto" w:fill="F2F2F2"/>
            <w:vAlign w:val="center"/>
          </w:tcPr>
          <w:p w14:paraId="7A11BCCE" w14:textId="77777777" w:rsidR="0040643D" w:rsidRPr="00BF4BEE" w:rsidRDefault="0040643D" w:rsidP="00500903">
            <w:pPr>
              <w:spacing w:after="0"/>
            </w:pPr>
            <w:r>
              <w:t>Module/i</w:t>
            </w:r>
            <w:r w:rsidRPr="00BF4BEE">
              <w:t>nterventions</w:t>
            </w:r>
          </w:p>
        </w:tc>
        <w:tc>
          <w:tcPr>
            <w:tcW w:w="7902" w:type="dxa"/>
          </w:tcPr>
          <w:p w14:paraId="49B7144F" w14:textId="70B5338D" w:rsidR="00221560" w:rsidRDefault="00221560" w:rsidP="00221560">
            <w:pPr>
              <w:rPr>
                <w:rFonts w:cs="Arial"/>
                <w:b/>
                <w:bCs/>
                <w:color w:val="000000"/>
                <w:sz w:val="20"/>
                <w:szCs w:val="20"/>
              </w:rPr>
            </w:pPr>
            <w:r w:rsidRPr="0000338D">
              <w:rPr>
                <w:rFonts w:cs="Arial"/>
                <w:b/>
                <w:bCs/>
                <w:color w:val="000000"/>
                <w:sz w:val="20"/>
                <w:szCs w:val="20"/>
              </w:rPr>
              <w:t xml:space="preserve">RSSH: </w:t>
            </w:r>
            <w:r>
              <w:rPr>
                <w:rFonts w:cs="Arial"/>
                <w:b/>
                <w:bCs/>
                <w:color w:val="000000"/>
                <w:sz w:val="20"/>
                <w:szCs w:val="20"/>
              </w:rPr>
              <w:t>CSS</w:t>
            </w:r>
            <w:r w:rsidRPr="0000338D">
              <w:rPr>
                <w:rFonts w:cs="Arial"/>
                <w:b/>
                <w:bCs/>
                <w:color w:val="000000"/>
                <w:sz w:val="20"/>
                <w:szCs w:val="20"/>
              </w:rPr>
              <w:t xml:space="preserve"> / Social mobilization, building community linkage and </w:t>
            </w:r>
            <w:r>
              <w:rPr>
                <w:rFonts w:cs="Arial"/>
                <w:b/>
                <w:bCs/>
                <w:color w:val="000000"/>
                <w:sz w:val="20"/>
                <w:szCs w:val="20"/>
              </w:rPr>
              <w:t>coordination</w:t>
            </w:r>
          </w:p>
          <w:p w14:paraId="2D91248A" w14:textId="49796877" w:rsidR="00221560" w:rsidRPr="00221560" w:rsidRDefault="00221560" w:rsidP="00221560">
            <w:pPr>
              <w:pStyle w:val="ListParagraph"/>
              <w:numPr>
                <w:ilvl w:val="0"/>
                <w:numId w:val="47"/>
              </w:numPr>
              <w:spacing w:after="0" w:line="240" w:lineRule="auto"/>
              <w:rPr>
                <w:rFonts w:cs="Arial"/>
                <w:color w:val="000000"/>
                <w:sz w:val="20"/>
                <w:szCs w:val="20"/>
              </w:rPr>
            </w:pPr>
            <w:r w:rsidRPr="00221560">
              <w:rPr>
                <w:rFonts w:cs="Arial"/>
                <w:color w:val="000000"/>
                <w:sz w:val="20"/>
                <w:szCs w:val="20"/>
              </w:rPr>
              <w:t>Improve institution and organizational potential for CSOs working with KPs (including KAP platform)</w:t>
            </w:r>
          </w:p>
          <w:p w14:paraId="3433820C" w14:textId="40848F1F" w:rsidR="00221560" w:rsidRPr="00221560" w:rsidRDefault="00221560" w:rsidP="00221560">
            <w:pPr>
              <w:pStyle w:val="ListParagraph"/>
              <w:numPr>
                <w:ilvl w:val="0"/>
                <w:numId w:val="47"/>
              </w:numPr>
              <w:spacing w:after="0" w:line="240" w:lineRule="auto"/>
              <w:rPr>
                <w:rFonts w:cs="Arial"/>
                <w:color w:val="000000"/>
                <w:sz w:val="20"/>
                <w:szCs w:val="20"/>
              </w:rPr>
            </w:pPr>
            <w:r w:rsidRPr="00221560">
              <w:rPr>
                <w:rFonts w:cs="Arial"/>
                <w:b/>
                <w:bCs/>
                <w:color w:val="000000"/>
                <w:sz w:val="20"/>
                <w:szCs w:val="20"/>
              </w:rPr>
              <w:t xml:space="preserve">HIV: </w:t>
            </w:r>
            <w:r w:rsidRPr="00221560">
              <w:rPr>
                <w:rFonts w:cs="Arial"/>
                <w:color w:val="000000"/>
                <w:sz w:val="20"/>
                <w:szCs w:val="20"/>
              </w:rPr>
              <w:t>Support to public leadership (Memorial Days)</w:t>
            </w:r>
          </w:p>
          <w:p w14:paraId="3710DDE0" w14:textId="243920D4" w:rsidR="00221560" w:rsidRPr="00221560" w:rsidRDefault="00221560" w:rsidP="00221560">
            <w:pPr>
              <w:pStyle w:val="ListParagraph"/>
              <w:numPr>
                <w:ilvl w:val="0"/>
                <w:numId w:val="47"/>
              </w:numPr>
              <w:spacing w:after="0" w:line="240" w:lineRule="auto"/>
              <w:rPr>
                <w:rFonts w:cs="Arial"/>
                <w:color w:val="000000"/>
                <w:sz w:val="20"/>
                <w:szCs w:val="20"/>
              </w:rPr>
            </w:pPr>
            <w:r w:rsidRPr="00221560">
              <w:rPr>
                <w:rFonts w:cs="Arial"/>
                <w:b/>
                <w:bCs/>
                <w:color w:val="000000"/>
                <w:sz w:val="20"/>
                <w:szCs w:val="20"/>
              </w:rPr>
              <w:t xml:space="preserve">HIV: </w:t>
            </w:r>
            <w:r w:rsidRPr="00221560">
              <w:rPr>
                <w:rFonts w:cs="Arial"/>
                <w:color w:val="000000"/>
                <w:sz w:val="20"/>
                <w:szCs w:val="20"/>
              </w:rPr>
              <w:t>Engagement working groups, committees</w:t>
            </w:r>
          </w:p>
          <w:p w14:paraId="2DE4D8D4" w14:textId="006B3136" w:rsidR="00221560" w:rsidRPr="00221560" w:rsidRDefault="00221560" w:rsidP="00221560">
            <w:pPr>
              <w:pStyle w:val="ListParagraph"/>
              <w:numPr>
                <w:ilvl w:val="0"/>
                <w:numId w:val="47"/>
              </w:numPr>
              <w:spacing w:after="0" w:line="240" w:lineRule="auto"/>
              <w:rPr>
                <w:rFonts w:cs="Arial"/>
                <w:bCs/>
                <w:color w:val="000000"/>
                <w:sz w:val="20"/>
                <w:szCs w:val="20"/>
              </w:rPr>
            </w:pPr>
            <w:r w:rsidRPr="00221560">
              <w:rPr>
                <w:rFonts w:cs="Arial"/>
                <w:b/>
                <w:bCs/>
                <w:color w:val="000000"/>
                <w:sz w:val="20"/>
                <w:szCs w:val="20"/>
              </w:rPr>
              <w:t xml:space="preserve">TB: </w:t>
            </w:r>
            <w:r w:rsidRPr="00221560">
              <w:rPr>
                <w:rFonts w:cs="Arial"/>
                <w:bCs/>
                <w:color w:val="000000"/>
                <w:sz w:val="20"/>
                <w:szCs w:val="20"/>
              </w:rPr>
              <w:t>Develop and implement social contracting mechanisms for TB supportive services active case finding and case-management</w:t>
            </w:r>
          </w:p>
          <w:p w14:paraId="3685A7A2" w14:textId="77777777" w:rsidR="00221560" w:rsidRPr="00221560" w:rsidRDefault="00221560" w:rsidP="00221560">
            <w:pPr>
              <w:pStyle w:val="ListParagraph"/>
              <w:numPr>
                <w:ilvl w:val="0"/>
                <w:numId w:val="47"/>
              </w:numPr>
              <w:spacing w:after="0" w:line="240" w:lineRule="auto"/>
              <w:rPr>
                <w:rFonts w:cs="Arial"/>
                <w:b/>
                <w:bCs/>
                <w:color w:val="000000"/>
                <w:sz w:val="20"/>
                <w:szCs w:val="20"/>
              </w:rPr>
            </w:pPr>
            <w:r w:rsidRPr="00221560">
              <w:rPr>
                <w:rFonts w:cs="Arial"/>
                <w:b/>
                <w:bCs/>
                <w:color w:val="000000"/>
                <w:sz w:val="20"/>
                <w:szCs w:val="20"/>
              </w:rPr>
              <w:lastRenderedPageBreak/>
              <w:t xml:space="preserve">RSSH: CSS / Community-based monitoring </w:t>
            </w:r>
          </w:p>
          <w:p w14:paraId="1BDACD30" w14:textId="558AB1B3" w:rsidR="00221560" w:rsidRPr="00221560" w:rsidRDefault="00221560" w:rsidP="00221560">
            <w:pPr>
              <w:pStyle w:val="ListParagraph"/>
              <w:numPr>
                <w:ilvl w:val="0"/>
                <w:numId w:val="47"/>
              </w:numPr>
              <w:spacing w:after="0" w:line="240" w:lineRule="auto"/>
              <w:rPr>
                <w:rFonts w:cs="Arial"/>
                <w:color w:val="000000"/>
                <w:sz w:val="20"/>
                <w:szCs w:val="20"/>
              </w:rPr>
            </w:pPr>
            <w:r w:rsidRPr="00221560">
              <w:rPr>
                <w:rFonts w:cs="Arial"/>
                <w:b/>
                <w:bCs/>
                <w:color w:val="000000"/>
                <w:sz w:val="20"/>
                <w:szCs w:val="20"/>
              </w:rPr>
              <w:t xml:space="preserve">HIV: </w:t>
            </w:r>
            <w:r w:rsidRPr="00221560">
              <w:rPr>
                <w:rFonts w:cs="Arial"/>
                <w:color w:val="000000"/>
                <w:sz w:val="20"/>
                <w:szCs w:val="20"/>
              </w:rPr>
              <w:t>Monitoring takeover by country</w:t>
            </w:r>
          </w:p>
          <w:p w14:paraId="33FE6C9A" w14:textId="6251642A" w:rsidR="00221560" w:rsidRPr="00221560" w:rsidRDefault="00221560" w:rsidP="00221560">
            <w:pPr>
              <w:pStyle w:val="ListParagraph"/>
              <w:numPr>
                <w:ilvl w:val="0"/>
                <w:numId w:val="47"/>
              </w:numPr>
              <w:spacing w:after="0" w:line="240" w:lineRule="auto"/>
              <w:rPr>
                <w:rFonts w:cs="Arial"/>
                <w:color w:val="000000"/>
                <w:sz w:val="20"/>
                <w:szCs w:val="20"/>
              </w:rPr>
            </w:pPr>
            <w:r w:rsidRPr="00221560">
              <w:rPr>
                <w:rFonts w:cs="Arial"/>
                <w:b/>
                <w:bCs/>
                <w:color w:val="000000"/>
                <w:sz w:val="20"/>
                <w:szCs w:val="20"/>
              </w:rPr>
              <w:t xml:space="preserve">HIV: </w:t>
            </w:r>
            <w:r w:rsidRPr="00221560">
              <w:rPr>
                <w:rFonts w:cs="Arial"/>
                <w:color w:val="000000"/>
                <w:sz w:val="20"/>
                <w:szCs w:val="20"/>
              </w:rPr>
              <w:t>Budget advocacy</w:t>
            </w:r>
          </w:p>
          <w:p w14:paraId="42991255" w14:textId="5BE23A32" w:rsidR="00221560" w:rsidRPr="00221560" w:rsidRDefault="00221560" w:rsidP="00221560">
            <w:pPr>
              <w:pStyle w:val="ListParagraph"/>
              <w:numPr>
                <w:ilvl w:val="0"/>
                <w:numId w:val="47"/>
              </w:numPr>
              <w:spacing w:after="0" w:line="240" w:lineRule="auto"/>
              <w:rPr>
                <w:rFonts w:cs="Arial"/>
                <w:color w:val="000000"/>
                <w:sz w:val="20"/>
                <w:szCs w:val="20"/>
              </w:rPr>
            </w:pPr>
            <w:r w:rsidRPr="00221560">
              <w:rPr>
                <w:rFonts w:cs="Arial"/>
                <w:b/>
                <w:bCs/>
                <w:color w:val="000000"/>
                <w:sz w:val="20"/>
                <w:szCs w:val="20"/>
              </w:rPr>
              <w:t xml:space="preserve">HIV: </w:t>
            </w:r>
            <w:r w:rsidRPr="00221560">
              <w:rPr>
                <w:rFonts w:cs="Arial"/>
                <w:color w:val="000000"/>
                <w:sz w:val="20"/>
                <w:szCs w:val="20"/>
              </w:rPr>
              <w:t>Capacity building for communities to implement national program</w:t>
            </w:r>
          </w:p>
          <w:p w14:paraId="05611E2D" w14:textId="32C4077E" w:rsidR="00221560" w:rsidRPr="00221560" w:rsidRDefault="00221560" w:rsidP="00221560">
            <w:pPr>
              <w:pStyle w:val="ListParagraph"/>
              <w:numPr>
                <w:ilvl w:val="0"/>
                <w:numId w:val="47"/>
              </w:numPr>
              <w:spacing w:after="0" w:line="240" w:lineRule="auto"/>
              <w:rPr>
                <w:rFonts w:cs="Arial"/>
                <w:color w:val="000000"/>
                <w:sz w:val="20"/>
                <w:szCs w:val="20"/>
              </w:rPr>
            </w:pPr>
            <w:r w:rsidRPr="00221560">
              <w:rPr>
                <w:rFonts w:cs="Arial"/>
                <w:b/>
                <w:bCs/>
                <w:color w:val="000000"/>
                <w:sz w:val="20"/>
                <w:szCs w:val="20"/>
              </w:rPr>
              <w:t xml:space="preserve">HIV: </w:t>
            </w:r>
            <w:r w:rsidRPr="00221560">
              <w:rPr>
                <w:rFonts w:cs="Arial"/>
                <w:color w:val="000000"/>
                <w:sz w:val="20"/>
                <w:szCs w:val="20"/>
              </w:rPr>
              <w:t>TA to HIV service orgs</w:t>
            </w:r>
          </w:p>
          <w:p w14:paraId="30F0FA56" w14:textId="4A95E0A8" w:rsidR="00221560" w:rsidRPr="00221560" w:rsidRDefault="00221560" w:rsidP="00221560">
            <w:pPr>
              <w:pStyle w:val="ListParagraph"/>
              <w:numPr>
                <w:ilvl w:val="0"/>
                <w:numId w:val="47"/>
              </w:numPr>
              <w:spacing w:after="0" w:line="240" w:lineRule="auto"/>
              <w:rPr>
                <w:rFonts w:cs="Arial"/>
                <w:b/>
                <w:bCs/>
                <w:color w:val="000000"/>
                <w:sz w:val="20"/>
                <w:szCs w:val="20"/>
              </w:rPr>
            </w:pPr>
            <w:r w:rsidRPr="00221560">
              <w:rPr>
                <w:rFonts w:cs="Arial"/>
                <w:b/>
                <w:bCs/>
                <w:color w:val="000000"/>
                <w:sz w:val="20"/>
                <w:szCs w:val="20"/>
              </w:rPr>
              <w:t xml:space="preserve">HIV: </w:t>
            </w:r>
            <w:r w:rsidRPr="00221560">
              <w:rPr>
                <w:rFonts w:cs="Arial"/>
                <w:color w:val="000000"/>
                <w:sz w:val="20"/>
                <w:szCs w:val="20"/>
              </w:rPr>
              <w:t>Communication and visibility</w:t>
            </w:r>
            <w:r w:rsidRPr="00221560">
              <w:rPr>
                <w:rFonts w:cs="Arial"/>
                <w:b/>
                <w:bCs/>
                <w:color w:val="000000"/>
                <w:sz w:val="20"/>
                <w:szCs w:val="20"/>
              </w:rPr>
              <w:t xml:space="preserve"> </w:t>
            </w:r>
          </w:p>
          <w:p w14:paraId="176DBC77" w14:textId="77777777" w:rsidR="00221560" w:rsidRDefault="00221560" w:rsidP="00221560">
            <w:pPr>
              <w:spacing w:after="0" w:line="240" w:lineRule="auto"/>
              <w:rPr>
                <w:rFonts w:cs="Arial"/>
                <w:b/>
                <w:bCs/>
                <w:color w:val="000000"/>
                <w:sz w:val="20"/>
                <w:szCs w:val="20"/>
              </w:rPr>
            </w:pPr>
          </w:p>
          <w:p w14:paraId="05599D2B" w14:textId="65735441" w:rsidR="00221560" w:rsidRDefault="00221560" w:rsidP="00221560">
            <w:pPr>
              <w:spacing w:after="0" w:line="240" w:lineRule="auto"/>
              <w:rPr>
                <w:rFonts w:cs="Arial"/>
                <w:b/>
                <w:bCs/>
                <w:color w:val="000000"/>
                <w:sz w:val="20"/>
                <w:szCs w:val="20"/>
              </w:rPr>
            </w:pPr>
            <w:r w:rsidRPr="0000338D">
              <w:rPr>
                <w:rFonts w:cs="Arial"/>
                <w:b/>
                <w:bCs/>
                <w:color w:val="000000"/>
                <w:sz w:val="20"/>
                <w:szCs w:val="20"/>
              </w:rPr>
              <w:t>Reducing human rights-related barriers to TB services</w:t>
            </w:r>
            <w:r>
              <w:rPr>
                <w:rFonts w:cs="Arial"/>
                <w:b/>
                <w:bCs/>
                <w:color w:val="000000"/>
                <w:sz w:val="20"/>
                <w:szCs w:val="20"/>
              </w:rPr>
              <w:t xml:space="preserve">: </w:t>
            </w:r>
          </w:p>
          <w:p w14:paraId="03FA75F2" w14:textId="77777777" w:rsidR="00221560" w:rsidRPr="00221560" w:rsidRDefault="00221560" w:rsidP="00221560">
            <w:pPr>
              <w:pStyle w:val="ListParagraph"/>
              <w:numPr>
                <w:ilvl w:val="0"/>
                <w:numId w:val="45"/>
              </w:numPr>
              <w:rPr>
                <w:rFonts w:cs="Arial"/>
                <w:bCs/>
                <w:color w:val="000000"/>
                <w:sz w:val="20"/>
                <w:szCs w:val="20"/>
              </w:rPr>
            </w:pPr>
            <w:r w:rsidRPr="00221560">
              <w:rPr>
                <w:rFonts w:cs="Arial"/>
                <w:bCs/>
                <w:color w:val="000000"/>
                <w:sz w:val="20"/>
                <w:szCs w:val="20"/>
              </w:rPr>
              <w:t xml:space="preserve">Document structural and access barriers to TB (gender, human rights, financial, stigma); </w:t>
            </w:r>
          </w:p>
          <w:p w14:paraId="35B029DB" w14:textId="77777777" w:rsidR="00221560" w:rsidRDefault="00221560" w:rsidP="00221560">
            <w:pPr>
              <w:pStyle w:val="ListParagraph"/>
              <w:numPr>
                <w:ilvl w:val="0"/>
                <w:numId w:val="45"/>
              </w:numPr>
              <w:rPr>
                <w:rFonts w:cs="Arial"/>
                <w:bCs/>
                <w:color w:val="000000"/>
                <w:sz w:val="20"/>
                <w:szCs w:val="20"/>
              </w:rPr>
            </w:pPr>
            <w:r w:rsidRPr="00221560">
              <w:rPr>
                <w:rFonts w:cs="Arial"/>
                <w:bCs/>
                <w:color w:val="000000"/>
                <w:sz w:val="20"/>
                <w:szCs w:val="20"/>
              </w:rPr>
              <w:t xml:space="preserve">Involve NGOs in removing barriers and increase access and linkage to care for key populations; </w:t>
            </w:r>
          </w:p>
          <w:p w14:paraId="67C4C50B" w14:textId="77777777" w:rsidR="00221560" w:rsidRDefault="00221560" w:rsidP="00221560">
            <w:pPr>
              <w:pStyle w:val="ListParagraph"/>
              <w:numPr>
                <w:ilvl w:val="0"/>
                <w:numId w:val="45"/>
              </w:numPr>
              <w:rPr>
                <w:rFonts w:cs="Arial"/>
                <w:bCs/>
                <w:color w:val="000000"/>
                <w:sz w:val="20"/>
                <w:szCs w:val="20"/>
              </w:rPr>
            </w:pPr>
            <w:r w:rsidRPr="00221560">
              <w:rPr>
                <w:rFonts w:cs="Arial"/>
                <w:bCs/>
                <w:color w:val="000000"/>
                <w:sz w:val="20"/>
                <w:szCs w:val="20"/>
              </w:rPr>
              <w:t xml:space="preserve">human rights literacy; </w:t>
            </w:r>
          </w:p>
          <w:p w14:paraId="0619F4E1" w14:textId="77777777" w:rsidR="00221560" w:rsidRDefault="00221560" w:rsidP="00221560">
            <w:pPr>
              <w:pStyle w:val="ListParagraph"/>
              <w:numPr>
                <w:ilvl w:val="0"/>
                <w:numId w:val="45"/>
              </w:numPr>
              <w:rPr>
                <w:rFonts w:cs="Arial"/>
                <w:bCs/>
                <w:color w:val="000000"/>
                <w:sz w:val="20"/>
                <w:szCs w:val="20"/>
              </w:rPr>
            </w:pPr>
            <w:r w:rsidRPr="00221560">
              <w:rPr>
                <w:rFonts w:cs="Arial"/>
                <w:bCs/>
                <w:color w:val="000000"/>
                <w:sz w:val="20"/>
                <w:szCs w:val="20"/>
              </w:rPr>
              <w:t>community-based monitoring for TB;</w:t>
            </w:r>
          </w:p>
          <w:p w14:paraId="5096DEBB" w14:textId="77777777" w:rsidR="00221560" w:rsidRPr="0042750D" w:rsidRDefault="00221560" w:rsidP="00221560">
            <w:pPr>
              <w:pStyle w:val="ListParagraph"/>
              <w:numPr>
                <w:ilvl w:val="0"/>
                <w:numId w:val="45"/>
              </w:numPr>
              <w:rPr>
                <w:rFonts w:cs="Arial"/>
                <w:bCs/>
                <w:sz w:val="20"/>
                <w:szCs w:val="20"/>
              </w:rPr>
            </w:pPr>
            <w:r w:rsidRPr="0042750D">
              <w:rPr>
                <w:rFonts w:cs="Arial"/>
                <w:bCs/>
                <w:sz w:val="20"/>
                <w:szCs w:val="20"/>
              </w:rPr>
              <w:t xml:space="preserve">TB stigma index, legal aid, </w:t>
            </w:r>
          </w:p>
          <w:p w14:paraId="7D6F90A2" w14:textId="77777777" w:rsidR="00221560" w:rsidRPr="0042750D" w:rsidRDefault="00221560" w:rsidP="00221560">
            <w:pPr>
              <w:pStyle w:val="ListParagraph"/>
              <w:numPr>
                <w:ilvl w:val="0"/>
                <w:numId w:val="45"/>
              </w:numPr>
              <w:rPr>
                <w:rFonts w:cs="Arial"/>
                <w:bCs/>
                <w:sz w:val="20"/>
                <w:szCs w:val="20"/>
              </w:rPr>
            </w:pPr>
            <w:r w:rsidRPr="0042750D">
              <w:rPr>
                <w:rFonts w:cs="Arial"/>
                <w:bCs/>
                <w:sz w:val="20"/>
                <w:szCs w:val="20"/>
              </w:rPr>
              <w:t>paralegal network,</w:t>
            </w:r>
          </w:p>
          <w:p w14:paraId="226D65AB" w14:textId="77777777" w:rsidR="00221560" w:rsidRPr="0042750D" w:rsidRDefault="00221560" w:rsidP="00221560">
            <w:pPr>
              <w:pStyle w:val="ListParagraph"/>
              <w:numPr>
                <w:ilvl w:val="0"/>
                <w:numId w:val="45"/>
              </w:numPr>
              <w:rPr>
                <w:rFonts w:cs="Arial"/>
                <w:bCs/>
                <w:sz w:val="20"/>
                <w:szCs w:val="20"/>
              </w:rPr>
            </w:pPr>
            <w:r w:rsidRPr="0042750D">
              <w:rPr>
                <w:rFonts w:cs="Arial"/>
                <w:bCs/>
                <w:sz w:val="20"/>
                <w:szCs w:val="20"/>
              </w:rPr>
              <w:t>legal aid and strategic litigation</w:t>
            </w:r>
          </w:p>
          <w:p w14:paraId="14E54854" w14:textId="33BE3113" w:rsidR="00221560" w:rsidRPr="00221560" w:rsidRDefault="00221560" w:rsidP="00221560">
            <w:pPr>
              <w:rPr>
                <w:rFonts w:cs="Arial"/>
                <w:bCs/>
                <w:color w:val="000000"/>
                <w:sz w:val="20"/>
                <w:szCs w:val="20"/>
              </w:rPr>
            </w:pPr>
            <w:r w:rsidRPr="00221560">
              <w:rPr>
                <w:rFonts w:cs="Arial"/>
                <w:b/>
                <w:bCs/>
                <w:color w:val="000000"/>
                <w:sz w:val="20"/>
                <w:szCs w:val="20"/>
              </w:rPr>
              <w:t xml:space="preserve">Reducing human rights-related barriers to HIV services: </w:t>
            </w:r>
          </w:p>
          <w:p w14:paraId="478BB951" w14:textId="0B7857FC" w:rsidR="00221560" w:rsidRPr="00221560" w:rsidRDefault="00221560" w:rsidP="00221560">
            <w:pPr>
              <w:pStyle w:val="ListParagraph"/>
              <w:numPr>
                <w:ilvl w:val="0"/>
                <w:numId w:val="46"/>
              </w:numPr>
              <w:spacing w:after="0" w:line="240" w:lineRule="auto"/>
              <w:rPr>
                <w:rFonts w:cs="Arial"/>
                <w:color w:val="000000"/>
                <w:sz w:val="20"/>
                <w:szCs w:val="20"/>
              </w:rPr>
            </w:pPr>
            <w:r w:rsidRPr="00221560">
              <w:rPr>
                <w:rFonts w:cs="Arial"/>
                <w:b/>
                <w:color w:val="000000"/>
                <w:sz w:val="20"/>
                <w:szCs w:val="20"/>
              </w:rPr>
              <w:t>Reduce stigma related to HIV and KP</w:t>
            </w:r>
            <w:r w:rsidRPr="00221560">
              <w:rPr>
                <w:rFonts w:cs="Arial"/>
                <w:color w:val="000000"/>
                <w:sz w:val="20"/>
                <w:szCs w:val="20"/>
              </w:rPr>
              <w:t>:  Information campaign for different audience, printed IEC, Modular program on overcoming self-stigma</w:t>
            </w:r>
          </w:p>
          <w:p w14:paraId="72CD26D3" w14:textId="77777777" w:rsidR="00221560" w:rsidRPr="00221560" w:rsidRDefault="00221560" w:rsidP="00221560">
            <w:pPr>
              <w:pStyle w:val="ListParagraph"/>
              <w:numPr>
                <w:ilvl w:val="0"/>
                <w:numId w:val="44"/>
              </w:numPr>
              <w:spacing w:after="0" w:line="240" w:lineRule="auto"/>
              <w:rPr>
                <w:rFonts w:cs="Arial"/>
                <w:color w:val="000000"/>
                <w:sz w:val="20"/>
                <w:szCs w:val="20"/>
              </w:rPr>
            </w:pPr>
            <w:r w:rsidRPr="00221560">
              <w:rPr>
                <w:rFonts w:cs="Arial"/>
                <w:color w:val="000000"/>
                <w:sz w:val="20"/>
                <w:szCs w:val="20"/>
              </w:rPr>
              <w:t xml:space="preserve">Barriers: Remove legal barriers (70% recommendations from HIV LEA), </w:t>
            </w:r>
          </w:p>
          <w:p w14:paraId="2A7BEE0F" w14:textId="70C28DF7" w:rsidR="00221560" w:rsidRPr="00221560" w:rsidRDefault="00221560" w:rsidP="00221560">
            <w:pPr>
              <w:pStyle w:val="ListParagraph"/>
              <w:numPr>
                <w:ilvl w:val="0"/>
                <w:numId w:val="44"/>
              </w:numPr>
              <w:spacing w:after="0" w:line="240" w:lineRule="auto"/>
              <w:rPr>
                <w:rFonts w:cs="Arial"/>
                <w:color w:val="000000"/>
                <w:sz w:val="20"/>
                <w:szCs w:val="20"/>
              </w:rPr>
            </w:pPr>
            <w:r w:rsidRPr="00221560">
              <w:rPr>
                <w:rFonts w:cs="Arial"/>
                <w:color w:val="000000"/>
                <w:sz w:val="20"/>
                <w:szCs w:val="20"/>
              </w:rPr>
              <w:t>Discrimination data collection via Soft RID</w:t>
            </w:r>
          </w:p>
          <w:p w14:paraId="1585365B" w14:textId="6F687237" w:rsidR="00221560" w:rsidRPr="00221560" w:rsidRDefault="00221560" w:rsidP="00221560">
            <w:pPr>
              <w:pStyle w:val="ListParagraph"/>
              <w:numPr>
                <w:ilvl w:val="0"/>
                <w:numId w:val="44"/>
              </w:numPr>
              <w:spacing w:after="0" w:line="240" w:lineRule="auto"/>
              <w:rPr>
                <w:rFonts w:cs="Arial"/>
                <w:color w:val="000000"/>
                <w:sz w:val="20"/>
                <w:szCs w:val="20"/>
              </w:rPr>
            </w:pPr>
            <w:r w:rsidRPr="00221560">
              <w:rPr>
                <w:rFonts w:cs="Arial"/>
                <w:color w:val="000000"/>
                <w:sz w:val="20"/>
                <w:szCs w:val="20"/>
              </w:rPr>
              <w:t>Paralegals and PromoLex training</w:t>
            </w:r>
          </w:p>
        </w:tc>
      </w:tr>
      <w:tr w:rsidR="0040643D" w:rsidRPr="00BF4BEE" w14:paraId="0C1520FD" w14:textId="77777777" w:rsidTr="00500903">
        <w:trPr>
          <w:trHeight w:val="440"/>
        </w:trPr>
        <w:tc>
          <w:tcPr>
            <w:tcW w:w="2448" w:type="dxa"/>
            <w:shd w:val="clear" w:color="auto" w:fill="F2F2F2"/>
            <w:vAlign w:val="center"/>
          </w:tcPr>
          <w:p w14:paraId="662DEEF4" w14:textId="77777777" w:rsidR="0040643D" w:rsidRPr="00BF4BEE" w:rsidRDefault="0040643D" w:rsidP="00500903">
            <w:pPr>
              <w:spacing w:after="0"/>
            </w:pPr>
            <w:r w:rsidRPr="00BF4BEE">
              <w:lastRenderedPageBreak/>
              <w:t>Priority populations</w:t>
            </w:r>
          </w:p>
        </w:tc>
        <w:tc>
          <w:tcPr>
            <w:tcW w:w="7902" w:type="dxa"/>
          </w:tcPr>
          <w:p w14:paraId="03E4A69D" w14:textId="77777777" w:rsidR="00F10A21" w:rsidRPr="00000135" w:rsidRDefault="00F10A21" w:rsidP="00326A6B">
            <w:pPr>
              <w:pStyle w:val="ListParagraph"/>
              <w:numPr>
                <w:ilvl w:val="0"/>
                <w:numId w:val="77"/>
              </w:numPr>
              <w:spacing w:after="0"/>
              <w:rPr>
                <w:rFonts w:cstheme="minorHAnsi"/>
                <w:sz w:val="20"/>
                <w:szCs w:val="20"/>
              </w:rPr>
            </w:pPr>
            <w:r w:rsidRPr="00000135">
              <w:rPr>
                <w:rFonts w:cstheme="minorHAnsi"/>
                <w:sz w:val="20"/>
                <w:szCs w:val="20"/>
              </w:rPr>
              <w:t xml:space="preserve">People living with HIV  </w:t>
            </w:r>
          </w:p>
          <w:p w14:paraId="75D89446" w14:textId="77777777" w:rsidR="00F10A21" w:rsidRPr="00000135" w:rsidRDefault="00F10A21" w:rsidP="00326A6B">
            <w:pPr>
              <w:pStyle w:val="ListParagraph"/>
              <w:numPr>
                <w:ilvl w:val="0"/>
                <w:numId w:val="77"/>
              </w:numPr>
              <w:spacing w:after="0"/>
              <w:rPr>
                <w:rFonts w:cstheme="minorHAnsi"/>
                <w:sz w:val="20"/>
                <w:szCs w:val="20"/>
              </w:rPr>
            </w:pPr>
            <w:r w:rsidRPr="00000135">
              <w:rPr>
                <w:rFonts w:cstheme="minorHAnsi"/>
                <w:sz w:val="20"/>
                <w:szCs w:val="20"/>
              </w:rPr>
              <w:t xml:space="preserve">Homeless people  </w:t>
            </w:r>
          </w:p>
          <w:p w14:paraId="10BD26F6" w14:textId="77777777" w:rsidR="00F10A21" w:rsidRPr="00000135" w:rsidRDefault="00F10A21" w:rsidP="00326A6B">
            <w:pPr>
              <w:pStyle w:val="ListParagraph"/>
              <w:numPr>
                <w:ilvl w:val="0"/>
                <w:numId w:val="77"/>
              </w:numPr>
              <w:spacing w:after="0"/>
              <w:rPr>
                <w:rFonts w:cstheme="minorHAnsi"/>
                <w:sz w:val="20"/>
                <w:szCs w:val="20"/>
              </w:rPr>
            </w:pPr>
            <w:r w:rsidRPr="00000135">
              <w:rPr>
                <w:rFonts w:cstheme="minorHAnsi"/>
                <w:sz w:val="20"/>
                <w:szCs w:val="20"/>
              </w:rPr>
              <w:t xml:space="preserve">Prisoners and people in detention </w:t>
            </w:r>
          </w:p>
          <w:p w14:paraId="438C63A3" w14:textId="77777777" w:rsidR="00F10A21" w:rsidRPr="00000135" w:rsidRDefault="00F10A21" w:rsidP="00326A6B">
            <w:pPr>
              <w:pStyle w:val="ListParagraph"/>
              <w:numPr>
                <w:ilvl w:val="0"/>
                <w:numId w:val="77"/>
              </w:numPr>
              <w:spacing w:after="0"/>
              <w:rPr>
                <w:rFonts w:cstheme="minorHAnsi"/>
                <w:sz w:val="20"/>
                <w:szCs w:val="20"/>
              </w:rPr>
            </w:pPr>
            <w:r w:rsidRPr="00000135">
              <w:rPr>
                <w:rFonts w:cstheme="minorHAnsi"/>
                <w:sz w:val="20"/>
                <w:szCs w:val="20"/>
              </w:rPr>
              <w:t xml:space="preserve">People with Alcohol Dependency  </w:t>
            </w:r>
          </w:p>
          <w:p w14:paraId="7BD74DDC" w14:textId="77777777" w:rsidR="00F10A21" w:rsidRPr="00000135" w:rsidRDefault="00F10A21" w:rsidP="00326A6B">
            <w:pPr>
              <w:pStyle w:val="ListParagraph"/>
              <w:numPr>
                <w:ilvl w:val="0"/>
                <w:numId w:val="77"/>
              </w:numPr>
              <w:spacing w:after="0"/>
              <w:rPr>
                <w:rFonts w:cstheme="minorHAnsi"/>
                <w:sz w:val="20"/>
                <w:szCs w:val="20"/>
              </w:rPr>
            </w:pPr>
            <w:r w:rsidRPr="00000135">
              <w:rPr>
                <w:rFonts w:cstheme="minorHAnsi"/>
                <w:sz w:val="20"/>
                <w:szCs w:val="20"/>
              </w:rPr>
              <w:t xml:space="preserve">People who inject drugs  </w:t>
            </w:r>
          </w:p>
          <w:p w14:paraId="0DD2F579" w14:textId="77777777" w:rsidR="00F10A21" w:rsidRPr="00000135" w:rsidRDefault="00F10A21" w:rsidP="00326A6B">
            <w:pPr>
              <w:pStyle w:val="ListParagraph"/>
              <w:numPr>
                <w:ilvl w:val="0"/>
                <w:numId w:val="77"/>
              </w:numPr>
              <w:spacing w:after="0"/>
              <w:rPr>
                <w:rFonts w:cstheme="minorHAnsi"/>
                <w:sz w:val="20"/>
                <w:szCs w:val="20"/>
              </w:rPr>
            </w:pPr>
            <w:r w:rsidRPr="00000135">
              <w:rPr>
                <w:rFonts w:cstheme="minorHAnsi"/>
                <w:sz w:val="20"/>
                <w:szCs w:val="20"/>
              </w:rPr>
              <w:t xml:space="preserve">Migrants </w:t>
            </w:r>
          </w:p>
          <w:p w14:paraId="711FE2DE" w14:textId="77777777" w:rsidR="00F10A21" w:rsidRPr="00000135" w:rsidRDefault="00F10A21" w:rsidP="00326A6B">
            <w:pPr>
              <w:pStyle w:val="ListParagraph"/>
              <w:numPr>
                <w:ilvl w:val="0"/>
                <w:numId w:val="77"/>
              </w:numPr>
              <w:spacing w:after="0"/>
              <w:rPr>
                <w:rFonts w:cstheme="minorHAnsi"/>
                <w:sz w:val="20"/>
                <w:szCs w:val="20"/>
              </w:rPr>
            </w:pPr>
            <w:r w:rsidRPr="00000135">
              <w:rPr>
                <w:rFonts w:cstheme="minorHAnsi"/>
                <w:sz w:val="20"/>
                <w:szCs w:val="20"/>
              </w:rPr>
              <w:t xml:space="preserve">People with other co-morbidities, including diabetes  </w:t>
            </w:r>
          </w:p>
          <w:p w14:paraId="6F4F5C87" w14:textId="77777777" w:rsidR="00F10A21" w:rsidRPr="00000135" w:rsidRDefault="00F10A21" w:rsidP="00326A6B">
            <w:pPr>
              <w:pStyle w:val="ListParagraph"/>
              <w:numPr>
                <w:ilvl w:val="0"/>
                <w:numId w:val="77"/>
              </w:numPr>
              <w:spacing w:after="0"/>
              <w:rPr>
                <w:rFonts w:cstheme="minorHAnsi"/>
                <w:sz w:val="20"/>
                <w:szCs w:val="20"/>
              </w:rPr>
            </w:pPr>
            <w:r w:rsidRPr="00000135">
              <w:rPr>
                <w:rFonts w:cstheme="minorHAnsi"/>
                <w:sz w:val="20"/>
                <w:szCs w:val="20"/>
              </w:rPr>
              <w:t xml:space="preserve">People with Mental Disabilities  </w:t>
            </w:r>
          </w:p>
          <w:p w14:paraId="529D86E0" w14:textId="77777777" w:rsidR="00F10A21" w:rsidRPr="00000135" w:rsidRDefault="00F10A21" w:rsidP="00326A6B">
            <w:pPr>
              <w:pStyle w:val="ListParagraph"/>
              <w:numPr>
                <w:ilvl w:val="0"/>
                <w:numId w:val="77"/>
              </w:numPr>
              <w:spacing w:after="0"/>
              <w:rPr>
                <w:rFonts w:cstheme="minorHAnsi"/>
                <w:sz w:val="20"/>
                <w:szCs w:val="20"/>
              </w:rPr>
            </w:pPr>
            <w:r w:rsidRPr="00000135">
              <w:rPr>
                <w:rFonts w:cstheme="minorHAnsi"/>
                <w:sz w:val="20"/>
                <w:szCs w:val="20"/>
              </w:rPr>
              <w:t>Children of people with TB</w:t>
            </w:r>
          </w:p>
          <w:p w14:paraId="0B350533" w14:textId="004C2582" w:rsidR="0040643D" w:rsidRPr="00000135" w:rsidRDefault="00F10A21" w:rsidP="00326A6B">
            <w:pPr>
              <w:pStyle w:val="ListParagraph"/>
              <w:numPr>
                <w:ilvl w:val="0"/>
                <w:numId w:val="77"/>
              </w:numPr>
              <w:spacing w:after="0"/>
              <w:rPr>
                <w:rFonts w:ascii="Calibri" w:hAnsi="Calibri" w:cs="Times New Roman"/>
              </w:rPr>
            </w:pPr>
            <w:r w:rsidRPr="00000135">
              <w:rPr>
                <w:rFonts w:cstheme="minorHAnsi"/>
                <w:sz w:val="20"/>
                <w:szCs w:val="20"/>
              </w:rPr>
              <w:t>Roma population</w:t>
            </w:r>
          </w:p>
        </w:tc>
      </w:tr>
      <w:tr w:rsidR="0040643D" w:rsidRPr="00BF4BEE" w14:paraId="118D4AED" w14:textId="77777777" w:rsidTr="00500903">
        <w:trPr>
          <w:trHeight w:val="440"/>
        </w:trPr>
        <w:tc>
          <w:tcPr>
            <w:tcW w:w="2448" w:type="dxa"/>
            <w:shd w:val="clear" w:color="auto" w:fill="F2F2F2"/>
            <w:vAlign w:val="center"/>
          </w:tcPr>
          <w:p w14:paraId="219F4AE0" w14:textId="77777777" w:rsidR="0040643D" w:rsidRPr="00633BBC" w:rsidRDefault="0040643D" w:rsidP="00500903">
            <w:pPr>
              <w:spacing w:after="0"/>
            </w:pPr>
            <w:r>
              <w:t>Barriers and i</w:t>
            </w:r>
            <w:r w:rsidRPr="009A1DC8">
              <w:t>nequities</w:t>
            </w:r>
          </w:p>
        </w:tc>
        <w:tc>
          <w:tcPr>
            <w:tcW w:w="7902" w:type="dxa"/>
          </w:tcPr>
          <w:p w14:paraId="355549F9" w14:textId="204646FB" w:rsidR="004734A5" w:rsidRDefault="00000135" w:rsidP="00143F79">
            <w:pPr>
              <w:spacing w:after="0"/>
              <w:jc w:val="both"/>
              <w:rPr>
                <w:rFonts w:ascii="Arial" w:hAnsi="Arial" w:cs="Arial"/>
                <w:b/>
                <w:sz w:val="20"/>
                <w:szCs w:val="20"/>
              </w:rPr>
            </w:pPr>
            <w:r>
              <w:rPr>
                <w:rFonts w:ascii="Arial" w:hAnsi="Arial" w:cs="Arial"/>
                <w:b/>
                <w:sz w:val="20"/>
                <w:szCs w:val="20"/>
              </w:rPr>
              <w:t>For TB</w:t>
            </w:r>
          </w:p>
          <w:p w14:paraId="4C473D2E" w14:textId="184F375A" w:rsidR="00000135" w:rsidRPr="00000135" w:rsidRDefault="00F10A21" w:rsidP="00326A6B">
            <w:pPr>
              <w:pStyle w:val="ListParagraph"/>
              <w:numPr>
                <w:ilvl w:val="0"/>
                <w:numId w:val="78"/>
              </w:numPr>
              <w:spacing w:after="0"/>
              <w:jc w:val="both"/>
              <w:rPr>
                <w:rFonts w:cstheme="minorHAnsi"/>
                <w:sz w:val="20"/>
                <w:szCs w:val="20"/>
              </w:rPr>
            </w:pPr>
            <w:r w:rsidRPr="00000135">
              <w:rPr>
                <w:rFonts w:cstheme="minorHAnsi"/>
                <w:sz w:val="20"/>
                <w:szCs w:val="20"/>
              </w:rPr>
              <w:t xml:space="preserve">Stigma and discrimination from family members and </w:t>
            </w:r>
            <w:r w:rsidR="00000135">
              <w:rPr>
                <w:rFonts w:cstheme="minorHAnsi"/>
                <w:sz w:val="20"/>
                <w:szCs w:val="20"/>
              </w:rPr>
              <w:t>community</w:t>
            </w:r>
          </w:p>
          <w:p w14:paraId="7A938162" w14:textId="77777777" w:rsidR="00000135" w:rsidRPr="00000135" w:rsidRDefault="00F10A21" w:rsidP="00326A6B">
            <w:pPr>
              <w:pStyle w:val="ListParagraph"/>
              <w:numPr>
                <w:ilvl w:val="0"/>
                <w:numId w:val="78"/>
              </w:numPr>
              <w:spacing w:after="0"/>
              <w:jc w:val="both"/>
              <w:rPr>
                <w:rFonts w:cstheme="minorHAnsi"/>
                <w:sz w:val="20"/>
                <w:szCs w:val="20"/>
              </w:rPr>
            </w:pPr>
            <w:r w:rsidRPr="00000135">
              <w:rPr>
                <w:rFonts w:cstheme="minorHAnsi"/>
                <w:sz w:val="20"/>
                <w:szCs w:val="20"/>
              </w:rPr>
              <w:t xml:space="preserve">Community stigma, including stigma from health-care workers and other support services </w:t>
            </w:r>
          </w:p>
          <w:p w14:paraId="005BD484" w14:textId="77777777" w:rsidR="00000135" w:rsidRPr="00000135" w:rsidRDefault="00F10A21" w:rsidP="00326A6B">
            <w:pPr>
              <w:pStyle w:val="ListParagraph"/>
              <w:numPr>
                <w:ilvl w:val="0"/>
                <w:numId w:val="78"/>
              </w:numPr>
              <w:spacing w:after="0"/>
              <w:jc w:val="both"/>
              <w:rPr>
                <w:rFonts w:cstheme="minorHAnsi"/>
                <w:sz w:val="20"/>
                <w:szCs w:val="20"/>
              </w:rPr>
            </w:pPr>
            <w:r w:rsidRPr="00000135">
              <w:rPr>
                <w:rFonts w:cstheme="minorHAnsi"/>
                <w:sz w:val="20"/>
                <w:szCs w:val="20"/>
              </w:rPr>
              <w:t xml:space="preserve">Confidentiality issues, </w:t>
            </w:r>
          </w:p>
          <w:p w14:paraId="47028EB8" w14:textId="77777777" w:rsidR="00000135" w:rsidRPr="00000135" w:rsidRDefault="00F10A21" w:rsidP="00326A6B">
            <w:pPr>
              <w:pStyle w:val="ListParagraph"/>
              <w:numPr>
                <w:ilvl w:val="0"/>
                <w:numId w:val="78"/>
              </w:numPr>
              <w:spacing w:after="0"/>
              <w:jc w:val="both"/>
              <w:rPr>
                <w:rFonts w:cstheme="minorHAnsi"/>
                <w:sz w:val="20"/>
                <w:szCs w:val="20"/>
              </w:rPr>
            </w:pPr>
            <w:r w:rsidRPr="00000135">
              <w:rPr>
                <w:rFonts w:cstheme="minorHAnsi"/>
                <w:sz w:val="20"/>
                <w:szCs w:val="20"/>
              </w:rPr>
              <w:t xml:space="preserve">Right to movement </w:t>
            </w:r>
          </w:p>
          <w:p w14:paraId="102D22A1" w14:textId="3E9FE775" w:rsidR="00000135" w:rsidRPr="00000135" w:rsidRDefault="00000135" w:rsidP="00326A6B">
            <w:pPr>
              <w:pStyle w:val="ListParagraph"/>
              <w:numPr>
                <w:ilvl w:val="0"/>
                <w:numId w:val="78"/>
              </w:numPr>
              <w:spacing w:after="0"/>
              <w:jc w:val="both"/>
              <w:rPr>
                <w:rFonts w:cstheme="minorHAnsi"/>
                <w:sz w:val="20"/>
                <w:szCs w:val="20"/>
              </w:rPr>
            </w:pPr>
            <w:r w:rsidRPr="00000135">
              <w:rPr>
                <w:rFonts w:cstheme="minorHAnsi"/>
                <w:sz w:val="20"/>
                <w:szCs w:val="20"/>
              </w:rPr>
              <w:t xml:space="preserve">Existing guarantees for job security are often not respected </w:t>
            </w:r>
          </w:p>
          <w:p w14:paraId="1A290881" w14:textId="04ECF1A8" w:rsidR="00F10A21" w:rsidRPr="00000135" w:rsidRDefault="00F10A21" w:rsidP="00326A6B">
            <w:pPr>
              <w:pStyle w:val="ListParagraph"/>
              <w:numPr>
                <w:ilvl w:val="0"/>
                <w:numId w:val="78"/>
              </w:numPr>
              <w:spacing w:after="0"/>
              <w:jc w:val="both"/>
              <w:rPr>
                <w:rFonts w:cstheme="minorHAnsi"/>
                <w:sz w:val="20"/>
                <w:szCs w:val="20"/>
              </w:rPr>
            </w:pPr>
            <w:r w:rsidRPr="00000135">
              <w:rPr>
                <w:rFonts w:cstheme="minorHAnsi"/>
                <w:sz w:val="20"/>
                <w:szCs w:val="20"/>
              </w:rPr>
              <w:t xml:space="preserve">Restrictive state policies and practices regarding sex work </w:t>
            </w:r>
          </w:p>
          <w:p w14:paraId="10FF6B6A" w14:textId="7C6B3B65" w:rsidR="00000135" w:rsidRPr="0042750D" w:rsidRDefault="00000135" w:rsidP="00000135">
            <w:pPr>
              <w:spacing w:after="0"/>
              <w:jc w:val="both"/>
              <w:rPr>
                <w:rFonts w:cstheme="minorHAnsi"/>
                <w:b/>
                <w:sz w:val="20"/>
                <w:szCs w:val="20"/>
              </w:rPr>
            </w:pPr>
            <w:r w:rsidRPr="0042750D">
              <w:rPr>
                <w:rFonts w:cstheme="minorHAnsi"/>
                <w:b/>
                <w:sz w:val="20"/>
                <w:szCs w:val="20"/>
              </w:rPr>
              <w:t>For HIV</w:t>
            </w:r>
          </w:p>
          <w:p w14:paraId="2610B975" w14:textId="77777777" w:rsidR="00000135" w:rsidRPr="00000135" w:rsidRDefault="00000135" w:rsidP="00326A6B">
            <w:pPr>
              <w:pStyle w:val="ListParagraph"/>
              <w:numPr>
                <w:ilvl w:val="0"/>
                <w:numId w:val="78"/>
              </w:numPr>
              <w:spacing w:after="0"/>
              <w:jc w:val="both"/>
              <w:rPr>
                <w:rFonts w:cstheme="minorHAnsi"/>
                <w:sz w:val="20"/>
                <w:szCs w:val="20"/>
              </w:rPr>
            </w:pPr>
            <w:r w:rsidRPr="00000135">
              <w:rPr>
                <w:rFonts w:cstheme="minorHAnsi"/>
                <w:sz w:val="20"/>
                <w:szCs w:val="20"/>
              </w:rPr>
              <w:t>Stigma and discrimination</w:t>
            </w:r>
          </w:p>
          <w:p w14:paraId="16286F0B" w14:textId="77777777" w:rsidR="00000135" w:rsidRPr="00000135" w:rsidRDefault="00000135" w:rsidP="00326A6B">
            <w:pPr>
              <w:pStyle w:val="ListParagraph"/>
              <w:numPr>
                <w:ilvl w:val="0"/>
                <w:numId w:val="78"/>
              </w:numPr>
              <w:spacing w:after="0"/>
              <w:jc w:val="both"/>
              <w:rPr>
                <w:rFonts w:cstheme="minorHAnsi"/>
                <w:sz w:val="20"/>
                <w:szCs w:val="20"/>
              </w:rPr>
            </w:pPr>
            <w:r w:rsidRPr="00000135">
              <w:rPr>
                <w:rFonts w:cstheme="minorHAnsi"/>
                <w:sz w:val="20"/>
                <w:szCs w:val="20"/>
              </w:rPr>
              <w:t xml:space="preserve">High levels of intolerance towards KPs. </w:t>
            </w:r>
          </w:p>
          <w:p w14:paraId="6CDBE54B" w14:textId="5791224F" w:rsidR="00000135" w:rsidRPr="00000135" w:rsidRDefault="00000135" w:rsidP="00326A6B">
            <w:pPr>
              <w:pStyle w:val="ListParagraph"/>
              <w:numPr>
                <w:ilvl w:val="0"/>
                <w:numId w:val="78"/>
              </w:numPr>
              <w:spacing w:after="0"/>
              <w:jc w:val="both"/>
              <w:rPr>
                <w:rFonts w:cstheme="minorHAnsi"/>
                <w:sz w:val="20"/>
                <w:szCs w:val="20"/>
              </w:rPr>
            </w:pPr>
            <w:r w:rsidRPr="00000135">
              <w:rPr>
                <w:rFonts w:cstheme="minorHAnsi"/>
                <w:sz w:val="20"/>
                <w:szCs w:val="20"/>
              </w:rPr>
              <w:t>Human rights</w:t>
            </w:r>
          </w:p>
          <w:p w14:paraId="7708395B" w14:textId="46950945" w:rsidR="000A0A56" w:rsidRPr="00BF4BEE" w:rsidRDefault="00000135" w:rsidP="00326A6B">
            <w:pPr>
              <w:pStyle w:val="ListParagraph"/>
              <w:numPr>
                <w:ilvl w:val="0"/>
                <w:numId w:val="78"/>
              </w:numPr>
              <w:spacing w:after="0"/>
              <w:jc w:val="both"/>
              <w:rPr>
                <w:rFonts w:ascii="Calibri" w:hAnsi="Calibri" w:cs="Times New Roman"/>
              </w:rPr>
            </w:pPr>
            <w:r w:rsidRPr="00000135">
              <w:rPr>
                <w:rFonts w:cstheme="minorHAnsi"/>
                <w:sz w:val="20"/>
                <w:szCs w:val="20"/>
              </w:rPr>
              <w:t>Criminalization of drug possession, sex work and HIV transmission</w:t>
            </w:r>
          </w:p>
        </w:tc>
      </w:tr>
      <w:tr w:rsidR="004A6A64" w:rsidRPr="00BF4BEE" w14:paraId="2153F2B6" w14:textId="77777777" w:rsidTr="00500903">
        <w:trPr>
          <w:trHeight w:val="440"/>
        </w:trPr>
        <w:tc>
          <w:tcPr>
            <w:tcW w:w="2448" w:type="dxa"/>
            <w:shd w:val="clear" w:color="auto" w:fill="F2F2F2"/>
            <w:vAlign w:val="center"/>
          </w:tcPr>
          <w:p w14:paraId="74802B1B" w14:textId="77777777" w:rsidR="004A6A64" w:rsidRPr="00BF4BEE" w:rsidRDefault="004A6A64" w:rsidP="004A6A64">
            <w:pPr>
              <w:spacing w:after="0"/>
            </w:pPr>
            <w:r w:rsidRPr="00BF4BEE">
              <w:t>Rationale</w:t>
            </w:r>
          </w:p>
        </w:tc>
        <w:tc>
          <w:tcPr>
            <w:tcW w:w="7902" w:type="dxa"/>
          </w:tcPr>
          <w:p w14:paraId="754AAB68" w14:textId="5D69F137" w:rsidR="00253CE0" w:rsidRPr="0042750D" w:rsidRDefault="00253CE0" w:rsidP="00326A6B">
            <w:pPr>
              <w:pStyle w:val="ListParagraph"/>
              <w:numPr>
                <w:ilvl w:val="0"/>
                <w:numId w:val="79"/>
              </w:numPr>
              <w:autoSpaceDE w:val="0"/>
              <w:autoSpaceDN w:val="0"/>
              <w:adjustRightInd w:val="0"/>
              <w:spacing w:after="0" w:line="240" w:lineRule="auto"/>
              <w:jc w:val="both"/>
              <w:rPr>
                <w:rFonts w:asciiTheme="majorHAnsi" w:hAnsiTheme="majorHAnsi" w:cstheme="majorHAnsi"/>
                <w:color w:val="000000"/>
                <w:sz w:val="20"/>
                <w:szCs w:val="20"/>
              </w:rPr>
            </w:pPr>
            <w:r w:rsidRPr="0042750D">
              <w:rPr>
                <w:rFonts w:asciiTheme="majorHAnsi" w:hAnsiTheme="majorHAnsi" w:cstheme="majorHAnsi"/>
                <w:color w:val="000000"/>
                <w:sz w:val="20"/>
                <w:szCs w:val="20"/>
              </w:rPr>
              <w:t>In the Republic of Moldova prevention programs in key populations (1st priority of the National AIDS Program 2016-2020), representing about 30% of the budget, are being implemented by nongovernmental organizations representing the community of those people. All their activities are regulated by standards and guidelines approved by the Ministry of Health, Labor and Social Protection. Starting with 2017 harm reduction projects have partially been funded from domestic funds, namely from the Prophylaxis Fund of the National Health Insurance Company. In 2019 2 such projects have been contracted to NGOs, amounting at circa 1.5 million MDL to cover about 2000 persons. This is a relevant achievement towards ensuring the sustainability of harm reduction programs, after over five years of advocacy; those efforts should be further continued and strengthened. The activities related to HIV care and support include as well community-lead interventions to ensure the PLWH quality of life, as well as ART adherence, which influences the third 90 of the ART cascade.</w:t>
            </w:r>
          </w:p>
          <w:p w14:paraId="4C9E99A2" w14:textId="77777777" w:rsidR="00253CE0" w:rsidRDefault="00253CE0" w:rsidP="00253CE0">
            <w:pPr>
              <w:spacing w:after="0"/>
              <w:rPr>
                <w:rFonts w:asciiTheme="majorHAnsi" w:hAnsiTheme="majorHAnsi" w:cstheme="majorHAnsi"/>
                <w:color w:val="000000"/>
                <w:sz w:val="20"/>
                <w:szCs w:val="20"/>
              </w:rPr>
            </w:pPr>
          </w:p>
          <w:p w14:paraId="005F5E9A" w14:textId="0467A955" w:rsidR="00000135" w:rsidRPr="0042750D" w:rsidRDefault="00253CE0" w:rsidP="00326A6B">
            <w:pPr>
              <w:pStyle w:val="ListParagraph"/>
              <w:numPr>
                <w:ilvl w:val="0"/>
                <w:numId w:val="79"/>
              </w:numPr>
              <w:spacing w:after="0" w:line="240" w:lineRule="auto"/>
              <w:jc w:val="both"/>
              <w:rPr>
                <w:rFonts w:asciiTheme="majorHAnsi" w:hAnsiTheme="majorHAnsi" w:cstheme="majorHAnsi"/>
                <w:color w:val="000000"/>
                <w:sz w:val="20"/>
                <w:szCs w:val="20"/>
              </w:rPr>
            </w:pPr>
            <w:r w:rsidRPr="0042750D">
              <w:rPr>
                <w:rFonts w:asciiTheme="majorHAnsi" w:hAnsiTheme="majorHAnsi" w:cstheme="majorHAnsi"/>
                <w:color w:val="000000"/>
                <w:sz w:val="20"/>
                <w:szCs w:val="20"/>
              </w:rPr>
              <w:lastRenderedPageBreak/>
              <w:t>Human rights and stigma and discrimination researches realized recently reflect on the societal attitudes that inform: right to health is considered the most actual and important right that requires enhanced attention from Moldovan society</w:t>
            </w:r>
            <w:r>
              <w:rPr>
                <w:rStyle w:val="FootnoteReference"/>
                <w:rFonts w:asciiTheme="majorHAnsi" w:hAnsiTheme="majorHAnsi" w:cstheme="majorHAnsi"/>
                <w:color w:val="000000"/>
                <w:sz w:val="20"/>
                <w:szCs w:val="20"/>
              </w:rPr>
              <w:footnoteReference w:id="65"/>
            </w:r>
            <w:r w:rsidRPr="0042750D">
              <w:rPr>
                <w:rFonts w:asciiTheme="majorHAnsi" w:hAnsiTheme="majorHAnsi" w:cstheme="majorHAnsi"/>
                <w:color w:val="000000"/>
                <w:sz w:val="20"/>
                <w:szCs w:val="20"/>
              </w:rPr>
              <w:t>, including by people infected and affected by TB and HIV, while about 90% of population would not accept living in the same society with the members of key populations or PLWH</w:t>
            </w:r>
            <w:r>
              <w:rPr>
                <w:rStyle w:val="FootnoteReference"/>
                <w:rFonts w:asciiTheme="majorHAnsi" w:hAnsiTheme="majorHAnsi" w:cstheme="majorHAnsi"/>
                <w:color w:val="000000"/>
                <w:sz w:val="20"/>
                <w:szCs w:val="20"/>
              </w:rPr>
              <w:footnoteReference w:id="66"/>
            </w:r>
            <w:r w:rsidRPr="0042750D">
              <w:rPr>
                <w:rFonts w:asciiTheme="majorHAnsi" w:hAnsiTheme="majorHAnsi" w:cstheme="majorHAnsi"/>
                <w:color w:val="000000"/>
                <w:sz w:val="20"/>
                <w:szCs w:val="20"/>
              </w:rPr>
              <w:t xml:space="preserve">. LEA (Legal Environment Assessment) performed under the guidance of UNDP Moldova in 2018 informs about a multitude of normative acts that have to be adjusted to ensure a protective environment for the respect of full range of rights for those most affected by TB and HIV. LEA informs about serious barriers legal and normative acts perpetuate and contribute to reduce the access of people and addressability to health services. </w:t>
            </w:r>
          </w:p>
          <w:p w14:paraId="17D7D103" w14:textId="77777777" w:rsidR="00000135" w:rsidRDefault="00000135" w:rsidP="00CC7D39">
            <w:pPr>
              <w:spacing w:after="0" w:line="240" w:lineRule="auto"/>
              <w:jc w:val="both"/>
              <w:rPr>
                <w:rFonts w:asciiTheme="majorHAnsi" w:hAnsiTheme="majorHAnsi" w:cstheme="majorHAnsi"/>
                <w:color w:val="000000"/>
                <w:sz w:val="20"/>
                <w:szCs w:val="20"/>
              </w:rPr>
            </w:pPr>
          </w:p>
          <w:p w14:paraId="638E00E2" w14:textId="77777777" w:rsidR="00000135" w:rsidRPr="0042750D" w:rsidRDefault="00000135" w:rsidP="00326A6B">
            <w:pPr>
              <w:pStyle w:val="ListParagraph"/>
              <w:numPr>
                <w:ilvl w:val="0"/>
                <w:numId w:val="79"/>
              </w:numPr>
              <w:spacing w:after="0" w:line="240" w:lineRule="auto"/>
              <w:jc w:val="both"/>
              <w:rPr>
                <w:rFonts w:asciiTheme="majorHAnsi" w:hAnsiTheme="majorHAnsi" w:cstheme="majorHAnsi"/>
                <w:color w:val="000000"/>
                <w:sz w:val="20"/>
                <w:szCs w:val="20"/>
              </w:rPr>
            </w:pPr>
            <w:r w:rsidRPr="0042750D">
              <w:rPr>
                <w:rFonts w:asciiTheme="majorHAnsi" w:hAnsiTheme="majorHAnsi" w:cstheme="majorHAnsi"/>
                <w:color w:val="000000"/>
                <w:sz w:val="20"/>
                <w:szCs w:val="20"/>
              </w:rPr>
              <w:t>I</w:t>
            </w:r>
            <w:r w:rsidR="00253CE0" w:rsidRPr="0042750D">
              <w:rPr>
                <w:rFonts w:asciiTheme="majorHAnsi" w:hAnsiTheme="majorHAnsi" w:cstheme="majorHAnsi"/>
                <w:color w:val="000000"/>
                <w:sz w:val="20"/>
                <w:szCs w:val="20"/>
              </w:rPr>
              <w:t xml:space="preserve">nterventions in the </w:t>
            </w:r>
            <w:r w:rsidRPr="0042750D">
              <w:rPr>
                <w:rFonts w:asciiTheme="majorHAnsi" w:hAnsiTheme="majorHAnsi" w:cstheme="majorHAnsi"/>
                <w:color w:val="000000"/>
                <w:sz w:val="20"/>
                <w:szCs w:val="20"/>
              </w:rPr>
              <w:t xml:space="preserve">funding request will </w:t>
            </w:r>
            <w:r w:rsidR="00253CE0" w:rsidRPr="0042750D">
              <w:rPr>
                <w:rFonts w:asciiTheme="majorHAnsi" w:hAnsiTheme="majorHAnsi" w:cstheme="majorHAnsi"/>
                <w:color w:val="000000"/>
                <w:sz w:val="20"/>
                <w:szCs w:val="20"/>
              </w:rPr>
              <w:t xml:space="preserve">address about 70 recommendations of LEA research related to reducing stigma and discrimination in general population through communication campaigns, in working settings with the focus on health system with capacity building on rights’ awareness and alphabetization and at the individual level, to fight self-stigma. Interventions to adjust and align the normative framework to international and human-rights based standards are also envisaged. In order for those legal norms to be approved, it is proposed to have advocacy related measures, as well as follow up community monitoring. </w:t>
            </w:r>
          </w:p>
          <w:p w14:paraId="0FC69EA4" w14:textId="77777777" w:rsidR="00000135" w:rsidRDefault="00000135" w:rsidP="00CC7D39">
            <w:pPr>
              <w:spacing w:after="0" w:line="240" w:lineRule="auto"/>
              <w:jc w:val="both"/>
              <w:rPr>
                <w:rFonts w:asciiTheme="majorHAnsi" w:hAnsiTheme="majorHAnsi" w:cstheme="majorHAnsi"/>
                <w:color w:val="000000"/>
                <w:sz w:val="20"/>
                <w:szCs w:val="20"/>
              </w:rPr>
            </w:pPr>
          </w:p>
          <w:p w14:paraId="7B78C892" w14:textId="6C2CDA7B" w:rsidR="00253CE0" w:rsidRPr="0042750D" w:rsidRDefault="00253CE0" w:rsidP="00326A6B">
            <w:pPr>
              <w:pStyle w:val="ListParagraph"/>
              <w:numPr>
                <w:ilvl w:val="0"/>
                <w:numId w:val="79"/>
              </w:numPr>
              <w:spacing w:after="0" w:line="240" w:lineRule="auto"/>
              <w:jc w:val="both"/>
              <w:rPr>
                <w:rFonts w:ascii="Times New Roman" w:hAnsi="Times New Roman" w:cs="Times New Roman"/>
                <w:sz w:val="24"/>
                <w:szCs w:val="24"/>
              </w:rPr>
            </w:pPr>
            <w:r w:rsidRPr="0042750D">
              <w:rPr>
                <w:rFonts w:asciiTheme="majorHAnsi" w:hAnsiTheme="majorHAnsi" w:cstheme="majorHAnsi"/>
                <w:color w:val="000000"/>
                <w:sz w:val="20"/>
                <w:szCs w:val="20"/>
              </w:rPr>
              <w:t>Community monitoring is aimed at closely looking at the results produced by programmatic interventions, use of resources, including in procurement, human rights and the implementation of national HIV and TB operational plans and policies. It will be ensured through the e-community monitoring platform and capacity strengthening of civil society and communitarian organizations, organizational development and empowerment of both individuals and organizations to ensure the voices are heard.</w:t>
            </w:r>
            <w:r w:rsidRPr="0042750D">
              <w:rPr>
                <w:rFonts w:ascii="Calibri" w:hAnsi="Calibri" w:cs="Calibri"/>
                <w:color w:val="000000"/>
                <w:sz w:val="23"/>
                <w:szCs w:val="23"/>
              </w:rPr>
              <w:t xml:space="preserve">  </w:t>
            </w:r>
          </w:p>
          <w:p w14:paraId="08A60BA2" w14:textId="77777777" w:rsidR="00F10A21" w:rsidRDefault="00F10A21" w:rsidP="004A6A64">
            <w:pPr>
              <w:spacing w:after="0"/>
              <w:jc w:val="both"/>
              <w:rPr>
                <w:rFonts w:ascii="Calibri" w:hAnsi="Calibri" w:cs="Calibri"/>
                <w:color w:val="000000"/>
                <w:sz w:val="23"/>
                <w:szCs w:val="23"/>
              </w:rPr>
            </w:pPr>
          </w:p>
          <w:p w14:paraId="6F6F110A" w14:textId="43314ECB" w:rsidR="00F10A21" w:rsidRPr="0042750D" w:rsidRDefault="00F10A21" w:rsidP="00326A6B">
            <w:pPr>
              <w:pStyle w:val="ListParagraph"/>
              <w:numPr>
                <w:ilvl w:val="0"/>
                <w:numId w:val="79"/>
              </w:numPr>
              <w:spacing w:after="0"/>
              <w:jc w:val="both"/>
              <w:rPr>
                <w:rFonts w:cstheme="minorHAnsi"/>
                <w:sz w:val="20"/>
                <w:szCs w:val="20"/>
              </w:rPr>
            </w:pPr>
            <w:r w:rsidRPr="0042750D">
              <w:rPr>
                <w:rFonts w:cstheme="minorHAnsi"/>
                <w:sz w:val="20"/>
                <w:szCs w:val="20"/>
              </w:rPr>
              <w:t xml:space="preserve">One of the key recommendation in the “Moldova tuberculosis evaluation” (2020) is to identify and address the rights, legal, and gender barriers to health outcomes for individuals and key affected populations, this aspect being evaluated as very poor in TB control in Moldova. In this regard, is proposed to conduct a CRG assessment in further involve the CSOs in </w:t>
            </w:r>
            <w:r w:rsidR="0042750D">
              <w:rPr>
                <w:rFonts w:cstheme="minorHAnsi"/>
                <w:sz w:val="20"/>
                <w:szCs w:val="20"/>
              </w:rPr>
              <w:t xml:space="preserve">interventions to remove </w:t>
            </w:r>
            <w:r w:rsidRPr="0042750D">
              <w:rPr>
                <w:rFonts w:cstheme="minorHAnsi"/>
                <w:sz w:val="20"/>
                <w:szCs w:val="20"/>
              </w:rPr>
              <w:t xml:space="preserve">barriers and increase access and linkage to care for key populations. </w:t>
            </w:r>
          </w:p>
          <w:p w14:paraId="0C23F271" w14:textId="77777777" w:rsidR="0042750D" w:rsidRDefault="0042750D" w:rsidP="0042750D">
            <w:pPr>
              <w:spacing w:after="0"/>
              <w:jc w:val="both"/>
              <w:rPr>
                <w:rFonts w:cstheme="minorHAnsi"/>
                <w:sz w:val="20"/>
                <w:szCs w:val="20"/>
              </w:rPr>
            </w:pPr>
          </w:p>
          <w:p w14:paraId="12ED9888" w14:textId="193E0D06" w:rsidR="00F10A21" w:rsidRPr="0042750D" w:rsidRDefault="0042750D" w:rsidP="00326A6B">
            <w:pPr>
              <w:pStyle w:val="ListParagraph"/>
              <w:numPr>
                <w:ilvl w:val="0"/>
                <w:numId w:val="79"/>
              </w:numPr>
              <w:spacing w:after="0"/>
              <w:jc w:val="both"/>
              <w:rPr>
                <w:rFonts w:cstheme="minorHAnsi"/>
                <w:sz w:val="20"/>
                <w:szCs w:val="20"/>
              </w:rPr>
            </w:pPr>
            <w:r>
              <w:rPr>
                <w:rFonts w:cstheme="minorHAnsi"/>
                <w:sz w:val="20"/>
                <w:szCs w:val="20"/>
              </w:rPr>
              <w:t>D</w:t>
            </w:r>
            <w:r w:rsidR="00F10A21" w:rsidRPr="0042750D">
              <w:rPr>
                <w:rFonts w:cstheme="minorHAnsi"/>
                <w:sz w:val="20"/>
                <w:szCs w:val="20"/>
              </w:rPr>
              <w:t xml:space="preserve">ata show there is clearly a need for active case finding activities in KP, and investigating less people will result in less TB patients detected with potentially continued transmission in communities. Activities to ensure sustainable financing of CSOs working with KP are proposed to increase </w:t>
            </w:r>
            <w:r>
              <w:rPr>
                <w:rFonts w:cstheme="minorHAnsi"/>
                <w:sz w:val="20"/>
                <w:szCs w:val="20"/>
              </w:rPr>
              <w:t>the access of KP to TB care.</w:t>
            </w:r>
          </w:p>
          <w:p w14:paraId="4A678EAE" w14:textId="77777777" w:rsidR="0042750D" w:rsidRDefault="0042750D" w:rsidP="0042750D">
            <w:pPr>
              <w:spacing w:after="0"/>
              <w:jc w:val="both"/>
              <w:rPr>
                <w:rFonts w:cstheme="minorHAnsi"/>
                <w:sz w:val="20"/>
                <w:szCs w:val="20"/>
              </w:rPr>
            </w:pPr>
          </w:p>
          <w:p w14:paraId="40016276" w14:textId="5FABF271" w:rsidR="00F10A21" w:rsidRPr="0042750D" w:rsidRDefault="0042750D" w:rsidP="00326A6B">
            <w:pPr>
              <w:pStyle w:val="ListParagraph"/>
              <w:numPr>
                <w:ilvl w:val="0"/>
                <w:numId w:val="79"/>
              </w:numPr>
              <w:spacing w:after="0"/>
              <w:jc w:val="both"/>
              <w:rPr>
                <w:rFonts w:cstheme="minorHAnsi"/>
                <w:sz w:val="20"/>
                <w:szCs w:val="20"/>
              </w:rPr>
            </w:pPr>
            <w:r>
              <w:rPr>
                <w:rFonts w:cstheme="minorHAnsi"/>
                <w:sz w:val="20"/>
                <w:szCs w:val="20"/>
              </w:rPr>
              <w:t>TB</w:t>
            </w:r>
            <w:r w:rsidR="00F10A21" w:rsidRPr="0042750D">
              <w:rPr>
                <w:rFonts w:cstheme="minorHAnsi"/>
                <w:sz w:val="20"/>
                <w:szCs w:val="20"/>
              </w:rPr>
              <w:t xml:space="preserve"> NGOs </w:t>
            </w:r>
            <w:r>
              <w:rPr>
                <w:rFonts w:cstheme="minorHAnsi"/>
                <w:sz w:val="20"/>
                <w:szCs w:val="20"/>
              </w:rPr>
              <w:t>mainly received service provision grants</w:t>
            </w:r>
            <w:r w:rsidR="00F10A21" w:rsidRPr="0042750D">
              <w:rPr>
                <w:rFonts w:cstheme="minorHAnsi"/>
                <w:sz w:val="20"/>
                <w:szCs w:val="20"/>
              </w:rPr>
              <w:t>, but</w:t>
            </w:r>
            <w:r>
              <w:rPr>
                <w:rFonts w:cstheme="minorHAnsi"/>
                <w:sz w:val="20"/>
                <w:szCs w:val="20"/>
              </w:rPr>
              <w:t xml:space="preserve"> </w:t>
            </w:r>
            <w:r w:rsidR="00F10A21" w:rsidRPr="0042750D">
              <w:rPr>
                <w:rFonts w:cstheme="minorHAnsi"/>
                <w:sz w:val="20"/>
                <w:szCs w:val="20"/>
              </w:rPr>
              <w:t>little</w:t>
            </w:r>
            <w:r>
              <w:rPr>
                <w:rFonts w:cstheme="minorHAnsi"/>
                <w:sz w:val="20"/>
                <w:szCs w:val="20"/>
              </w:rPr>
              <w:t xml:space="preserve"> </w:t>
            </w:r>
            <w:r w:rsidR="00F10A21" w:rsidRPr="0042750D">
              <w:rPr>
                <w:rFonts w:cstheme="minorHAnsi"/>
                <w:sz w:val="20"/>
                <w:szCs w:val="20"/>
              </w:rPr>
              <w:t xml:space="preserve">funding </w:t>
            </w:r>
            <w:r>
              <w:rPr>
                <w:rFonts w:cstheme="minorHAnsi"/>
                <w:sz w:val="20"/>
                <w:szCs w:val="20"/>
              </w:rPr>
              <w:t xml:space="preserve">for CSS or HRG work. </w:t>
            </w:r>
            <w:r w:rsidR="00F10A21" w:rsidRPr="0042750D">
              <w:rPr>
                <w:rFonts w:cstheme="minorHAnsi"/>
                <w:sz w:val="20"/>
                <w:szCs w:val="20"/>
              </w:rPr>
              <w:t xml:space="preserve">In order to document the barriers by involving those most affected, a community based monitoring digital tool should be </w:t>
            </w:r>
            <w:r>
              <w:rPr>
                <w:rFonts w:cstheme="minorHAnsi"/>
                <w:sz w:val="20"/>
                <w:szCs w:val="20"/>
              </w:rPr>
              <w:t xml:space="preserve">rolled-out at the country level. Also more focus on organizational development is needed. </w:t>
            </w:r>
          </w:p>
          <w:p w14:paraId="5D773118" w14:textId="77777777" w:rsidR="0042750D" w:rsidRDefault="0042750D" w:rsidP="0042750D">
            <w:pPr>
              <w:spacing w:after="0"/>
              <w:jc w:val="both"/>
              <w:rPr>
                <w:rFonts w:cstheme="minorHAnsi"/>
                <w:sz w:val="20"/>
                <w:szCs w:val="20"/>
              </w:rPr>
            </w:pPr>
          </w:p>
          <w:p w14:paraId="102B2688" w14:textId="0F55184D" w:rsidR="00F10A21" w:rsidRPr="0042750D" w:rsidRDefault="00F10A21" w:rsidP="00326A6B">
            <w:pPr>
              <w:pStyle w:val="ListParagraph"/>
              <w:numPr>
                <w:ilvl w:val="0"/>
                <w:numId w:val="79"/>
              </w:numPr>
              <w:spacing w:after="0"/>
              <w:jc w:val="both"/>
              <w:rPr>
                <w:rFonts w:cstheme="minorHAnsi"/>
                <w:sz w:val="20"/>
                <w:szCs w:val="20"/>
              </w:rPr>
            </w:pPr>
            <w:r w:rsidRPr="0042750D">
              <w:rPr>
                <w:rFonts w:cstheme="minorHAnsi"/>
                <w:sz w:val="20"/>
                <w:szCs w:val="20"/>
              </w:rPr>
              <w:t>The referral system for legal support to people with TB is deficient. Stigma and discrimination is n</w:t>
            </w:r>
            <w:r w:rsidR="0042750D" w:rsidRPr="0042750D">
              <w:rPr>
                <w:rFonts w:cstheme="minorHAnsi"/>
                <w:sz w:val="20"/>
                <w:szCs w:val="20"/>
              </w:rPr>
              <w:t>otes</w:t>
            </w:r>
            <w:r w:rsidRPr="0042750D">
              <w:rPr>
                <w:rFonts w:cstheme="minorHAnsi"/>
                <w:sz w:val="20"/>
                <w:szCs w:val="20"/>
              </w:rPr>
              <w:t xml:space="preserve"> throughout the treatment period, but also in the period after the end of the treatment and re-employment in society and / or in the field of work. Barriers documented through the data generated by the community monitoring application will be handled by a network of legal support specialists that will help the people with TB to overcome the human rights related barriers (stigma, discrimination, confidentialit</w:t>
            </w:r>
            <w:r w:rsidR="0042750D">
              <w:rPr>
                <w:rFonts w:cstheme="minorHAnsi"/>
                <w:sz w:val="20"/>
                <w:szCs w:val="20"/>
              </w:rPr>
              <w:t>y, guarantees for job security).</w:t>
            </w:r>
          </w:p>
          <w:p w14:paraId="74028FCF" w14:textId="5A91FAD1" w:rsidR="00F10A21" w:rsidRPr="0042750D" w:rsidRDefault="0042750D" w:rsidP="005B648A">
            <w:pPr>
              <w:pStyle w:val="ListParagraph"/>
              <w:numPr>
                <w:ilvl w:val="0"/>
                <w:numId w:val="79"/>
              </w:numPr>
              <w:spacing w:after="0"/>
              <w:jc w:val="both"/>
              <w:rPr>
                <w:rFonts w:ascii="Calibri" w:hAnsi="Calibri" w:cs="Times New Roman"/>
              </w:rPr>
            </w:pPr>
            <w:r>
              <w:rPr>
                <w:rFonts w:cstheme="minorHAnsi"/>
                <w:sz w:val="20"/>
                <w:szCs w:val="20"/>
              </w:rPr>
              <w:t>I</w:t>
            </w:r>
            <w:r w:rsidR="00F10A21" w:rsidRPr="00CC7D39">
              <w:rPr>
                <w:rFonts w:cstheme="minorHAnsi"/>
                <w:sz w:val="20"/>
                <w:szCs w:val="20"/>
              </w:rPr>
              <w:t>solation</w:t>
            </w:r>
            <w:r w:rsidR="005B648A">
              <w:rPr>
                <w:rFonts w:cstheme="minorHAnsi"/>
                <w:sz w:val="20"/>
                <w:szCs w:val="20"/>
              </w:rPr>
              <w:t xml:space="preserve"> of children from their parents or</w:t>
            </w:r>
            <w:r w:rsidR="00F10A21" w:rsidRPr="00CC7D39">
              <w:rPr>
                <w:rFonts w:cstheme="minorHAnsi"/>
                <w:sz w:val="20"/>
                <w:szCs w:val="20"/>
              </w:rPr>
              <w:t xml:space="preserve"> care givers by transporting them to “recovery centers” because of the socioeconomic situation and/or TB infection at home is still practiced in Moldova. The practice of institutionalization of </w:t>
            </w:r>
            <w:r w:rsidR="00F10A21" w:rsidRPr="00CC7D39">
              <w:rPr>
                <w:rFonts w:cstheme="minorHAnsi"/>
                <w:sz w:val="20"/>
                <w:szCs w:val="20"/>
              </w:rPr>
              <w:lastRenderedPageBreak/>
              <w:t>children is outdated and there is a range of issues with it, starting from unnecessary isolation, violation of human rights and unwise use of public money. An assessment of the quality of care provided and the living conditions of children in these centres should be carried out with the involvement of CSOs. The role of the CSOs is crucial in ensuring the rights of the children.</w:t>
            </w:r>
          </w:p>
        </w:tc>
      </w:tr>
      <w:tr w:rsidR="004A6A64" w:rsidRPr="00BF4BEE" w14:paraId="1B652818" w14:textId="77777777" w:rsidTr="00500903">
        <w:trPr>
          <w:trHeight w:val="431"/>
        </w:trPr>
        <w:tc>
          <w:tcPr>
            <w:tcW w:w="2448" w:type="dxa"/>
            <w:shd w:val="clear" w:color="auto" w:fill="F2F2F2"/>
            <w:vAlign w:val="center"/>
          </w:tcPr>
          <w:p w14:paraId="2C92E2FF" w14:textId="77777777" w:rsidR="004A6A64" w:rsidRPr="00BF4BEE" w:rsidRDefault="004A6A64" w:rsidP="004A6A64">
            <w:pPr>
              <w:spacing w:after="0"/>
            </w:pPr>
            <w:r w:rsidRPr="00BF4BEE">
              <w:lastRenderedPageBreak/>
              <w:t>Expected Outcome</w:t>
            </w:r>
          </w:p>
        </w:tc>
        <w:tc>
          <w:tcPr>
            <w:tcW w:w="7902" w:type="dxa"/>
          </w:tcPr>
          <w:p w14:paraId="242FA253" w14:textId="77777777" w:rsidR="00F10A21" w:rsidRPr="0042750D" w:rsidRDefault="00F10A21" w:rsidP="00326A6B">
            <w:pPr>
              <w:pStyle w:val="ListParagraph"/>
              <w:numPr>
                <w:ilvl w:val="0"/>
                <w:numId w:val="80"/>
              </w:numPr>
              <w:spacing w:after="0" w:line="240" w:lineRule="auto"/>
              <w:rPr>
                <w:rFonts w:cstheme="minorHAnsi"/>
                <w:sz w:val="20"/>
                <w:szCs w:val="20"/>
              </w:rPr>
            </w:pPr>
            <w:r w:rsidRPr="0042750D">
              <w:rPr>
                <w:rFonts w:cstheme="minorHAnsi"/>
                <w:sz w:val="20"/>
                <w:szCs w:val="20"/>
              </w:rPr>
              <w:t>Removal of the identified barriers in the CRG assessment and through the data generated by the community monitoring app, for increased access to care for key populations;</w:t>
            </w:r>
          </w:p>
          <w:p w14:paraId="527317B4" w14:textId="77777777" w:rsidR="00F10A21" w:rsidRPr="0042750D" w:rsidRDefault="00F10A21" w:rsidP="00326A6B">
            <w:pPr>
              <w:pStyle w:val="ListParagraph"/>
              <w:numPr>
                <w:ilvl w:val="0"/>
                <w:numId w:val="80"/>
              </w:numPr>
              <w:spacing w:after="0" w:line="240" w:lineRule="auto"/>
              <w:rPr>
                <w:rFonts w:cstheme="minorHAnsi"/>
                <w:sz w:val="20"/>
                <w:szCs w:val="20"/>
              </w:rPr>
            </w:pPr>
            <w:r w:rsidRPr="0042750D">
              <w:rPr>
                <w:rFonts w:cstheme="minorHAnsi"/>
                <w:sz w:val="20"/>
                <w:szCs w:val="20"/>
              </w:rPr>
              <w:t xml:space="preserve">Guaranteed right of choosing the modality of treatment for people with TB by scaling-up the video-observe treatment at country level.  </w:t>
            </w:r>
          </w:p>
          <w:p w14:paraId="24612E28" w14:textId="77777777" w:rsidR="00F10A21" w:rsidRPr="0042750D" w:rsidRDefault="00F10A21" w:rsidP="00326A6B">
            <w:pPr>
              <w:pStyle w:val="ListParagraph"/>
              <w:numPr>
                <w:ilvl w:val="0"/>
                <w:numId w:val="80"/>
              </w:numPr>
              <w:spacing w:after="0" w:line="240" w:lineRule="auto"/>
              <w:rPr>
                <w:rFonts w:cstheme="minorHAnsi"/>
                <w:sz w:val="20"/>
                <w:szCs w:val="20"/>
              </w:rPr>
            </w:pPr>
            <w:r w:rsidRPr="0042750D">
              <w:rPr>
                <w:rFonts w:cstheme="minorHAnsi"/>
                <w:sz w:val="20"/>
                <w:szCs w:val="20"/>
              </w:rPr>
              <w:t>Reduced stigma and discrimination level through improving people knowledge about TB during awareness campaigns and through promotion of the community based monitoring app use among KP, where the module with information on TB is included.</w:t>
            </w:r>
          </w:p>
          <w:p w14:paraId="15EA0D13" w14:textId="77777777" w:rsidR="0042750D" w:rsidRPr="0042750D" w:rsidRDefault="00F10A21" w:rsidP="00326A6B">
            <w:pPr>
              <w:pStyle w:val="ListParagraph"/>
              <w:numPr>
                <w:ilvl w:val="0"/>
                <w:numId w:val="80"/>
              </w:numPr>
              <w:spacing w:after="0" w:line="240" w:lineRule="auto"/>
              <w:rPr>
                <w:rFonts w:cstheme="minorHAnsi"/>
                <w:sz w:val="20"/>
                <w:szCs w:val="20"/>
              </w:rPr>
            </w:pPr>
            <w:r w:rsidRPr="0042750D">
              <w:rPr>
                <w:rFonts w:cstheme="minorHAnsi"/>
                <w:sz w:val="20"/>
                <w:szCs w:val="20"/>
              </w:rPr>
              <w:t xml:space="preserve">Increased treatment success rate among KP (including Roma population), due to early TB detected cases and support for treatment adherence provided by CSOs and also due to increased level of knowledge on TB by using the community based monitoring digital solution. </w:t>
            </w:r>
          </w:p>
          <w:p w14:paraId="5C01FE4E" w14:textId="27E53FD2" w:rsidR="00F10A21" w:rsidRPr="0042750D" w:rsidRDefault="0042750D" w:rsidP="00326A6B">
            <w:pPr>
              <w:pStyle w:val="ListParagraph"/>
              <w:numPr>
                <w:ilvl w:val="0"/>
                <w:numId w:val="80"/>
              </w:numPr>
              <w:spacing w:after="0" w:line="240" w:lineRule="auto"/>
              <w:rPr>
                <w:rFonts w:cstheme="minorHAnsi"/>
                <w:sz w:val="20"/>
                <w:szCs w:val="20"/>
              </w:rPr>
            </w:pPr>
            <w:r w:rsidRPr="0042750D">
              <w:rPr>
                <w:rFonts w:cstheme="minorHAnsi"/>
                <w:sz w:val="20"/>
                <w:szCs w:val="20"/>
              </w:rPr>
              <w:t>I</w:t>
            </w:r>
            <w:r w:rsidR="00F10A21" w:rsidRPr="0042750D">
              <w:rPr>
                <w:rFonts w:cstheme="minorHAnsi"/>
                <w:sz w:val="20"/>
                <w:szCs w:val="20"/>
              </w:rPr>
              <w:t xml:space="preserve">mproved case management of children affected by TB through deinstitutionalization and involvement of the community / social services / LPA in their support. </w:t>
            </w:r>
          </w:p>
          <w:p w14:paraId="1A1B10EE" w14:textId="5385EA8D" w:rsidR="004A6A64" w:rsidRPr="0042750D" w:rsidRDefault="00F10A21" w:rsidP="00326A6B">
            <w:pPr>
              <w:pStyle w:val="ListParagraph"/>
              <w:numPr>
                <w:ilvl w:val="0"/>
                <w:numId w:val="80"/>
              </w:numPr>
              <w:spacing w:after="0"/>
              <w:rPr>
                <w:rFonts w:ascii="Calibri" w:hAnsi="Calibri" w:cs="Times New Roman"/>
              </w:rPr>
            </w:pPr>
            <w:r w:rsidRPr="0042750D">
              <w:rPr>
                <w:rFonts w:cstheme="minorHAnsi"/>
                <w:sz w:val="20"/>
                <w:szCs w:val="20"/>
              </w:rPr>
              <w:t>Improved literacy of TB affected population on human rights</w:t>
            </w:r>
          </w:p>
        </w:tc>
      </w:tr>
      <w:tr w:rsidR="004A6A64" w:rsidRPr="00BF4BEE" w14:paraId="388C454D" w14:textId="77777777" w:rsidTr="00500903">
        <w:trPr>
          <w:trHeight w:val="431"/>
        </w:trPr>
        <w:tc>
          <w:tcPr>
            <w:tcW w:w="2448" w:type="dxa"/>
            <w:shd w:val="clear" w:color="auto" w:fill="F2F2F2"/>
            <w:vAlign w:val="center"/>
          </w:tcPr>
          <w:p w14:paraId="0789B09D" w14:textId="651B2E40" w:rsidR="004A6A64" w:rsidRPr="00BF4BEE" w:rsidRDefault="004A6A64" w:rsidP="004A6A64">
            <w:pPr>
              <w:spacing w:after="0"/>
            </w:pPr>
            <w:r>
              <w:t>Expected Investment</w:t>
            </w:r>
          </w:p>
        </w:tc>
        <w:tc>
          <w:tcPr>
            <w:tcW w:w="7902" w:type="dxa"/>
          </w:tcPr>
          <w:p w14:paraId="508C7D4C" w14:textId="77777777" w:rsidR="004A6A64" w:rsidRDefault="00A82FB8" w:rsidP="004A6A64">
            <w:pPr>
              <w:spacing w:after="0"/>
              <w:rPr>
                <w:rFonts w:ascii="Calibri" w:hAnsi="Calibri" w:cs="Times New Roman"/>
              </w:rPr>
            </w:pPr>
            <w:r w:rsidRPr="005B648A">
              <w:rPr>
                <w:rFonts w:ascii="Calibri" w:hAnsi="Calibri" w:cs="Times New Roman"/>
                <w:highlight w:val="yellow"/>
              </w:rPr>
              <w:t>EUR 479,159</w:t>
            </w:r>
          </w:p>
          <w:p w14:paraId="48492138" w14:textId="377B0E4D" w:rsidR="00D26A7A" w:rsidRPr="00BF4BEE" w:rsidRDefault="00D26A7A" w:rsidP="004A6A64">
            <w:pPr>
              <w:spacing w:after="0"/>
              <w:rPr>
                <w:rFonts w:ascii="Calibri" w:hAnsi="Calibri" w:cs="Times New Roman"/>
              </w:rPr>
            </w:pPr>
            <w:r w:rsidRPr="005B648A">
              <w:rPr>
                <w:rFonts w:ascii="Calibri" w:hAnsi="Calibri" w:cs="Times New Roman"/>
                <w:highlight w:val="yellow"/>
              </w:rPr>
              <w:t>PAAR</w:t>
            </w:r>
          </w:p>
        </w:tc>
      </w:tr>
    </w:tbl>
    <w:p w14:paraId="12BFEBF3" w14:textId="77777777" w:rsidR="0040643D" w:rsidRPr="008C21CF" w:rsidRDefault="0040643D" w:rsidP="0040643D">
      <w:pPr>
        <w:spacing w:after="0"/>
        <w:rPr>
          <w:i/>
          <w:sz w:val="16"/>
          <w:szCs w:val="16"/>
        </w:rPr>
      </w:pPr>
    </w:p>
    <w:p w14:paraId="67CB8AD6" w14:textId="77777777" w:rsidR="0040643D" w:rsidRPr="008C21CF" w:rsidRDefault="0040643D" w:rsidP="0040643D">
      <w:pPr>
        <w:spacing w:after="0"/>
        <w:rPr>
          <w:i/>
          <w:sz w:val="16"/>
          <w:szCs w:val="16"/>
        </w:rPr>
      </w:pPr>
    </w:p>
    <w:p w14:paraId="19D9996B" w14:textId="224046AB" w:rsidR="008C36D5" w:rsidRDefault="008C36D5">
      <w:pPr>
        <w:spacing w:after="160" w:line="0" w:lineRule="auto"/>
        <w:rPr>
          <w:rFonts w:asciiTheme="majorHAnsi" w:hAnsiTheme="majorHAnsi" w:cstheme="majorHAnsi"/>
        </w:rPr>
      </w:pPr>
    </w:p>
    <w:p w14:paraId="6B219CAE" w14:textId="44E689D0" w:rsidR="005A1EDA" w:rsidRPr="00112420" w:rsidRDefault="005A1EDA" w:rsidP="00F42E40">
      <w:pPr>
        <w:pStyle w:val="ListParagraph"/>
        <w:numPr>
          <w:ilvl w:val="0"/>
          <w:numId w:val="23"/>
        </w:numPr>
        <w:spacing w:after="0" w:line="240" w:lineRule="auto"/>
        <w:ind w:left="270" w:hanging="270"/>
        <w:jc w:val="both"/>
        <w:rPr>
          <w:rFonts w:asciiTheme="majorHAnsi" w:hAnsiTheme="majorHAnsi" w:cstheme="majorHAnsi"/>
          <w:bCs/>
          <w:iCs/>
        </w:rPr>
      </w:pPr>
      <w:r w:rsidRPr="008C21CF">
        <w:rPr>
          <w:rFonts w:asciiTheme="majorHAnsi" w:hAnsiTheme="majorHAnsi" w:cstheme="majorHAnsi"/>
        </w:rPr>
        <w:t xml:space="preserve">Does any aspect of this funding request </w:t>
      </w:r>
      <w:r w:rsidR="00561767">
        <w:rPr>
          <w:rFonts w:asciiTheme="majorHAnsi" w:hAnsiTheme="majorHAnsi" w:cstheme="majorHAnsi"/>
        </w:rPr>
        <w:t>use</w:t>
      </w:r>
      <w:r w:rsidR="00561767" w:rsidRPr="008C21CF">
        <w:rPr>
          <w:rFonts w:asciiTheme="majorHAnsi" w:hAnsiTheme="majorHAnsi" w:cstheme="majorHAnsi"/>
        </w:rPr>
        <w:t xml:space="preserve"> </w:t>
      </w:r>
      <w:r w:rsidRPr="008C21CF">
        <w:rPr>
          <w:rFonts w:asciiTheme="majorHAnsi" w:hAnsiTheme="majorHAnsi" w:cstheme="majorHAnsi"/>
        </w:rPr>
        <w:t xml:space="preserve">a </w:t>
      </w:r>
      <w:r w:rsidR="00F112AD" w:rsidRPr="0096146C">
        <w:rPr>
          <w:rFonts w:asciiTheme="majorHAnsi" w:hAnsiTheme="majorHAnsi" w:cstheme="majorHAnsi"/>
          <w:b/>
        </w:rPr>
        <w:t>P</w:t>
      </w:r>
      <w:r w:rsidRPr="0096146C">
        <w:rPr>
          <w:rFonts w:asciiTheme="majorHAnsi" w:hAnsiTheme="majorHAnsi" w:cstheme="majorHAnsi"/>
          <w:b/>
        </w:rPr>
        <w:t>ayment</w:t>
      </w:r>
      <w:r w:rsidR="00F112AD" w:rsidRPr="0096146C">
        <w:rPr>
          <w:rFonts w:asciiTheme="majorHAnsi" w:hAnsiTheme="majorHAnsi" w:cstheme="majorHAnsi"/>
          <w:b/>
        </w:rPr>
        <w:t xml:space="preserve"> </w:t>
      </w:r>
      <w:r w:rsidRPr="0096146C">
        <w:rPr>
          <w:rFonts w:asciiTheme="majorHAnsi" w:hAnsiTheme="majorHAnsi" w:cstheme="majorHAnsi"/>
          <w:b/>
        </w:rPr>
        <w:t>for</w:t>
      </w:r>
      <w:r w:rsidR="00F112AD" w:rsidRPr="0096146C">
        <w:rPr>
          <w:rFonts w:asciiTheme="majorHAnsi" w:hAnsiTheme="majorHAnsi" w:cstheme="majorHAnsi"/>
          <w:b/>
        </w:rPr>
        <w:t xml:space="preserve"> R</w:t>
      </w:r>
      <w:r w:rsidRPr="0096146C">
        <w:rPr>
          <w:rFonts w:asciiTheme="majorHAnsi" w:hAnsiTheme="majorHAnsi" w:cstheme="majorHAnsi"/>
          <w:b/>
        </w:rPr>
        <w:t>esults</w:t>
      </w:r>
      <w:r w:rsidRPr="008C21CF">
        <w:rPr>
          <w:rFonts w:asciiTheme="majorHAnsi" w:hAnsiTheme="majorHAnsi" w:cstheme="majorHAnsi"/>
        </w:rPr>
        <w:t xml:space="preserve"> </w:t>
      </w:r>
      <w:r w:rsidR="00F401B6">
        <w:rPr>
          <w:rFonts w:asciiTheme="majorHAnsi" w:hAnsiTheme="majorHAnsi" w:cstheme="majorHAnsi"/>
        </w:rPr>
        <w:t>modality</w:t>
      </w:r>
      <w:r w:rsidRPr="008C21CF">
        <w:rPr>
          <w:rFonts w:asciiTheme="majorHAnsi" w:hAnsiTheme="majorHAnsi" w:cstheme="majorHAnsi"/>
        </w:rPr>
        <w:t xml:space="preserve">? </w:t>
      </w:r>
    </w:p>
    <w:p w14:paraId="5B41D531" w14:textId="77777777" w:rsidR="00112420" w:rsidRPr="0098143C" w:rsidRDefault="00112420" w:rsidP="00112420">
      <w:pPr>
        <w:pStyle w:val="ListParagraph"/>
        <w:spacing w:after="0" w:line="240" w:lineRule="auto"/>
        <w:ind w:left="270"/>
        <w:jc w:val="both"/>
        <w:rPr>
          <w:rFonts w:asciiTheme="majorHAnsi" w:hAnsiTheme="majorHAnsi" w:cstheme="majorHAnsi"/>
          <w:bCs/>
          <w:iCs/>
        </w:rPr>
      </w:pPr>
    </w:p>
    <w:p w14:paraId="0384A4D1" w14:textId="75ED1DBF" w:rsidR="005A1EDA" w:rsidRPr="008C21CF" w:rsidRDefault="00C71542" w:rsidP="0098143C">
      <w:pPr>
        <w:pStyle w:val="ListParagraph"/>
        <w:spacing w:after="0" w:line="240" w:lineRule="auto"/>
        <w:ind w:left="90" w:firstLine="540"/>
        <w:jc w:val="both"/>
        <w:rPr>
          <w:rFonts w:asciiTheme="majorHAnsi" w:hAnsiTheme="majorHAnsi" w:cstheme="majorHAnsi"/>
          <w:bCs/>
          <w:iCs/>
        </w:rPr>
      </w:pPr>
      <w:sdt>
        <w:sdtPr>
          <w:rPr>
            <w:rFonts w:asciiTheme="majorHAnsi" w:eastAsia="MS Gothic" w:hAnsiTheme="majorHAnsi" w:cstheme="majorHAnsi"/>
            <w:bCs/>
            <w:iCs/>
          </w:rPr>
          <w:id w:val="1477947221"/>
          <w14:checkbox>
            <w14:checked w14:val="1"/>
            <w14:checkedState w14:val="2612" w14:font="MS Gothic"/>
            <w14:uncheckedState w14:val="2610" w14:font="MS Gothic"/>
          </w14:checkbox>
        </w:sdtPr>
        <w:sdtContent>
          <w:r w:rsidR="0040643D">
            <w:rPr>
              <w:rFonts w:ascii="MS Gothic" w:eastAsia="MS Gothic" w:hAnsi="MS Gothic" w:cstheme="majorHAnsi" w:hint="eastAsia"/>
              <w:bCs/>
              <w:iCs/>
            </w:rPr>
            <w:t>☒</w:t>
          </w:r>
        </w:sdtContent>
      </w:sdt>
      <w:r w:rsidR="005A1EDA" w:rsidRPr="008C21CF">
        <w:rPr>
          <w:rFonts w:asciiTheme="majorHAnsi" w:hAnsiTheme="majorHAnsi" w:cstheme="majorHAnsi"/>
          <w:bCs/>
          <w:iCs/>
        </w:rPr>
        <w:t xml:space="preserve"> Yes         </w:t>
      </w:r>
      <w:sdt>
        <w:sdtPr>
          <w:rPr>
            <w:rFonts w:asciiTheme="majorHAnsi" w:hAnsiTheme="majorHAnsi" w:cstheme="majorHAnsi"/>
            <w:bCs/>
            <w:iCs/>
          </w:rPr>
          <w:id w:val="-1054162004"/>
          <w14:checkbox>
            <w14:checked w14:val="0"/>
            <w14:checkedState w14:val="2612" w14:font="MS Gothic"/>
            <w14:uncheckedState w14:val="2610" w14:font="MS Gothic"/>
          </w14:checkbox>
        </w:sdtPr>
        <w:sdtContent>
          <w:r w:rsidR="005A1EDA" w:rsidRPr="00BF4BEE">
            <w:rPr>
              <w:rFonts w:ascii="Segoe UI Symbol" w:hAnsi="Segoe UI Symbol" w:cs="Segoe UI Symbol"/>
              <w:bCs/>
              <w:iCs/>
            </w:rPr>
            <w:t>☐</w:t>
          </w:r>
        </w:sdtContent>
      </w:sdt>
      <w:r w:rsidR="005A1EDA" w:rsidRPr="008C21CF">
        <w:rPr>
          <w:rFonts w:asciiTheme="majorHAnsi" w:hAnsiTheme="majorHAnsi" w:cstheme="majorHAnsi"/>
          <w:bCs/>
          <w:iCs/>
        </w:rPr>
        <w:t xml:space="preserve"> No</w:t>
      </w:r>
    </w:p>
    <w:p w14:paraId="2D7E53B2" w14:textId="77777777" w:rsidR="001D57CE" w:rsidRDefault="001D57CE" w:rsidP="008C21CF">
      <w:pPr>
        <w:spacing w:after="0" w:line="240" w:lineRule="auto"/>
        <w:jc w:val="both"/>
        <w:rPr>
          <w:rFonts w:asciiTheme="majorHAnsi" w:hAnsiTheme="majorHAnsi" w:cstheme="majorHAnsi"/>
          <w:b/>
        </w:rPr>
      </w:pPr>
    </w:p>
    <w:p w14:paraId="12B3A518" w14:textId="5BD1D3F0" w:rsidR="005A1EDA" w:rsidRPr="008C21CF" w:rsidRDefault="005A1EDA" w:rsidP="005B21F7">
      <w:pPr>
        <w:spacing w:after="0" w:line="240" w:lineRule="auto"/>
        <w:ind w:left="270"/>
        <w:jc w:val="both"/>
        <w:rPr>
          <w:rFonts w:asciiTheme="majorHAnsi" w:hAnsiTheme="majorHAnsi" w:cstheme="majorHAnsi"/>
          <w:bCs/>
          <w:iCs/>
        </w:rPr>
      </w:pPr>
      <w:r w:rsidRPr="00B2724B">
        <w:rPr>
          <w:rFonts w:asciiTheme="majorHAnsi" w:hAnsiTheme="majorHAnsi" w:cstheme="majorHAnsi"/>
        </w:rPr>
        <w:t>If</w:t>
      </w:r>
      <w:r w:rsidRPr="008C21CF">
        <w:rPr>
          <w:rFonts w:asciiTheme="majorHAnsi" w:hAnsiTheme="majorHAnsi" w:cstheme="majorHAnsi"/>
          <w:b/>
        </w:rPr>
        <w:t xml:space="preserve"> yes</w:t>
      </w:r>
      <w:r w:rsidRPr="008C21CF">
        <w:rPr>
          <w:rFonts w:asciiTheme="majorHAnsi" w:hAnsiTheme="majorHAnsi" w:cstheme="majorHAnsi"/>
        </w:rPr>
        <w:t>, in the table below</w:t>
      </w:r>
      <w:r w:rsidR="00F112AD">
        <w:rPr>
          <w:rFonts w:asciiTheme="majorHAnsi" w:hAnsiTheme="majorHAnsi" w:cstheme="majorHAnsi"/>
        </w:rPr>
        <w:t>, indicate</w:t>
      </w:r>
      <w:r w:rsidRPr="008C21CF">
        <w:rPr>
          <w:rFonts w:asciiTheme="majorHAnsi" w:hAnsiTheme="majorHAnsi" w:cstheme="majorHAnsi"/>
        </w:rPr>
        <w:t xml:space="preserve"> the relevant performance indicators</w:t>
      </w:r>
      <w:r w:rsidR="008A3F1D">
        <w:rPr>
          <w:rFonts w:asciiTheme="majorHAnsi" w:hAnsiTheme="majorHAnsi" w:cstheme="majorHAnsi"/>
        </w:rPr>
        <w:t xml:space="preserve"> and </w:t>
      </w:r>
      <w:r w:rsidRPr="008C21CF">
        <w:rPr>
          <w:rFonts w:asciiTheme="majorHAnsi" w:hAnsiTheme="majorHAnsi" w:cstheme="majorHAnsi"/>
        </w:rPr>
        <w:t>rationale for the choice of</w:t>
      </w:r>
      <w:r w:rsidR="00B2724B">
        <w:rPr>
          <w:rFonts w:asciiTheme="majorHAnsi" w:hAnsiTheme="majorHAnsi" w:cstheme="majorHAnsi"/>
        </w:rPr>
        <w:t xml:space="preserve"> </w:t>
      </w:r>
      <w:r w:rsidRPr="008C21CF">
        <w:rPr>
          <w:rFonts w:asciiTheme="majorHAnsi" w:hAnsiTheme="majorHAnsi" w:cstheme="majorHAnsi"/>
        </w:rPr>
        <w:t xml:space="preserve">performance indicators </w:t>
      </w:r>
      <w:r w:rsidR="00FE5CDB">
        <w:rPr>
          <w:rFonts w:asciiTheme="majorHAnsi" w:hAnsiTheme="majorHAnsi" w:cstheme="majorHAnsi"/>
        </w:rPr>
        <w:t>and/or milestones</w:t>
      </w:r>
      <w:r w:rsidRPr="008C21CF">
        <w:rPr>
          <w:rFonts w:asciiTheme="majorHAnsi" w:hAnsiTheme="majorHAnsi" w:cstheme="majorHAnsi"/>
        </w:rPr>
        <w:t>.</w:t>
      </w:r>
    </w:p>
    <w:p w14:paraId="10D141EB" w14:textId="77777777" w:rsidR="005A1EDA" w:rsidRPr="008C21CF" w:rsidRDefault="005A1EDA" w:rsidP="005A1EDA">
      <w:pPr>
        <w:pStyle w:val="ListParagraph"/>
        <w:spacing w:after="0" w:line="240" w:lineRule="auto"/>
        <w:ind w:left="0"/>
        <w:jc w:val="both"/>
        <w:rPr>
          <w:rFonts w:asciiTheme="majorHAnsi" w:hAnsiTheme="majorHAnsi" w:cstheme="majorHAnsi"/>
          <w:bCs/>
          <w:iCs/>
        </w:rPr>
      </w:pPr>
    </w:p>
    <w:tbl>
      <w:tblPr>
        <w:tblW w:w="10379" w:type="dxa"/>
        <w:tblInd w:w="-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2615"/>
        <w:gridCol w:w="1121"/>
        <w:gridCol w:w="850"/>
        <w:gridCol w:w="803"/>
        <w:gridCol w:w="850"/>
        <w:gridCol w:w="1170"/>
        <w:gridCol w:w="2970"/>
      </w:tblGrid>
      <w:tr w:rsidR="005A1EDA" w:rsidRPr="00BF4BEE" w14:paraId="1B9B62C4" w14:textId="77777777" w:rsidTr="00A757CB">
        <w:trPr>
          <w:trHeight w:val="323"/>
        </w:trPr>
        <w:tc>
          <w:tcPr>
            <w:tcW w:w="2615" w:type="dxa"/>
            <w:vMerge w:val="restart"/>
            <w:tcBorders>
              <w:top w:val="single" w:sz="4" w:space="0" w:color="808080" w:themeColor="background1" w:themeShade="80"/>
              <w:left w:val="single" w:sz="4" w:space="0" w:color="808080" w:themeColor="background1" w:themeShade="80"/>
            </w:tcBorders>
            <w:shd w:val="clear" w:color="auto" w:fill="D9D9D9" w:themeFill="background1" w:themeFillShade="D9"/>
            <w:vAlign w:val="center"/>
          </w:tcPr>
          <w:p w14:paraId="46DA90B0" w14:textId="77777777" w:rsidR="005A1EDA" w:rsidRPr="008C21CF" w:rsidRDefault="005A1EDA" w:rsidP="009B1BDA">
            <w:pPr>
              <w:spacing w:after="0"/>
              <w:jc w:val="center"/>
              <w:rPr>
                <w:rFonts w:asciiTheme="majorHAnsi" w:hAnsiTheme="majorHAnsi" w:cstheme="majorHAnsi"/>
                <w:b/>
              </w:rPr>
            </w:pPr>
            <w:r w:rsidRPr="008C21CF">
              <w:rPr>
                <w:rFonts w:asciiTheme="majorHAnsi" w:hAnsiTheme="majorHAnsi" w:cstheme="majorHAnsi"/>
                <w:b/>
              </w:rPr>
              <w:t>Performance indicator or milestone</w:t>
            </w:r>
          </w:p>
        </w:tc>
        <w:tc>
          <w:tcPr>
            <w:tcW w:w="3624" w:type="dxa"/>
            <w:gridSpan w:val="4"/>
            <w:tcBorders>
              <w:top w:val="single" w:sz="4" w:space="0" w:color="808080" w:themeColor="background1" w:themeShade="80"/>
            </w:tcBorders>
            <w:shd w:val="clear" w:color="auto" w:fill="D9D9D9" w:themeFill="background1" w:themeFillShade="D9"/>
            <w:vAlign w:val="center"/>
          </w:tcPr>
          <w:p w14:paraId="49ED923E" w14:textId="77777777" w:rsidR="005A1EDA" w:rsidRPr="008C21CF" w:rsidRDefault="005A1EDA" w:rsidP="009B1BDA">
            <w:pPr>
              <w:spacing w:after="0"/>
              <w:jc w:val="center"/>
              <w:rPr>
                <w:rFonts w:asciiTheme="majorHAnsi" w:hAnsiTheme="majorHAnsi" w:cstheme="majorHAnsi"/>
                <w:b/>
                <w:iCs/>
              </w:rPr>
            </w:pPr>
            <w:r w:rsidRPr="008C21CF">
              <w:rPr>
                <w:rFonts w:asciiTheme="majorHAnsi" w:hAnsiTheme="majorHAnsi" w:cstheme="majorHAnsi"/>
                <w:b/>
                <w:iCs/>
              </w:rPr>
              <w:t>Target</w:t>
            </w:r>
          </w:p>
        </w:tc>
        <w:tc>
          <w:tcPr>
            <w:tcW w:w="4140" w:type="dxa"/>
            <w:gridSpan w:val="2"/>
            <w:vMerge w:val="restart"/>
            <w:tcBorders>
              <w:top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A103A5A" w14:textId="77777777" w:rsidR="005A1EDA" w:rsidRPr="008C21CF" w:rsidRDefault="005A1EDA" w:rsidP="009B1BDA">
            <w:pPr>
              <w:spacing w:after="0"/>
              <w:jc w:val="center"/>
              <w:rPr>
                <w:rFonts w:asciiTheme="majorHAnsi" w:hAnsiTheme="majorHAnsi" w:cstheme="majorHAnsi"/>
                <w:b/>
                <w:iCs/>
              </w:rPr>
            </w:pPr>
            <w:r w:rsidRPr="008C21CF">
              <w:rPr>
                <w:rFonts w:asciiTheme="majorHAnsi" w:hAnsiTheme="majorHAnsi" w:cstheme="majorHAnsi"/>
                <w:b/>
                <w:iCs/>
              </w:rPr>
              <w:t>Rationale for the indicator/milestone selection for Global Fund funding</w:t>
            </w:r>
          </w:p>
        </w:tc>
      </w:tr>
      <w:tr w:rsidR="005A1EDA" w:rsidRPr="00BF4BEE" w14:paraId="34BB0491" w14:textId="77777777" w:rsidTr="00A757CB">
        <w:trPr>
          <w:trHeight w:val="322"/>
        </w:trPr>
        <w:tc>
          <w:tcPr>
            <w:tcW w:w="2615" w:type="dxa"/>
            <w:vMerge/>
            <w:tcBorders>
              <w:left w:val="single" w:sz="4" w:space="0" w:color="808080" w:themeColor="background1" w:themeShade="80"/>
            </w:tcBorders>
            <w:shd w:val="clear" w:color="auto" w:fill="D9D9D9" w:themeFill="background1" w:themeFillShade="D9"/>
            <w:vAlign w:val="center"/>
          </w:tcPr>
          <w:p w14:paraId="3328CB67" w14:textId="77777777" w:rsidR="005A1EDA" w:rsidRPr="004619FD" w:rsidRDefault="005A1EDA" w:rsidP="009B1BDA">
            <w:pPr>
              <w:spacing w:after="0"/>
              <w:jc w:val="center"/>
              <w:rPr>
                <w:rFonts w:asciiTheme="majorHAnsi" w:hAnsiTheme="majorHAnsi" w:cstheme="majorHAnsi"/>
              </w:rPr>
            </w:pPr>
          </w:p>
        </w:tc>
        <w:tc>
          <w:tcPr>
            <w:tcW w:w="1121" w:type="dxa"/>
            <w:shd w:val="clear" w:color="auto" w:fill="D9D9D9" w:themeFill="background1" w:themeFillShade="D9"/>
            <w:vAlign w:val="center"/>
          </w:tcPr>
          <w:p w14:paraId="3F0FEBDC" w14:textId="77777777" w:rsidR="005A1EDA" w:rsidRPr="008C21CF" w:rsidRDefault="005A1EDA" w:rsidP="009B1BDA">
            <w:pPr>
              <w:spacing w:before="120" w:after="0"/>
              <w:jc w:val="center"/>
              <w:rPr>
                <w:rFonts w:asciiTheme="majorHAnsi" w:hAnsiTheme="majorHAnsi" w:cstheme="majorHAnsi"/>
                <w:b/>
                <w:iCs/>
              </w:rPr>
            </w:pPr>
            <w:r w:rsidRPr="008C21CF">
              <w:rPr>
                <w:rFonts w:asciiTheme="majorHAnsi" w:hAnsiTheme="majorHAnsi" w:cstheme="majorHAnsi"/>
                <w:b/>
                <w:iCs/>
              </w:rPr>
              <w:t>Baseline</w:t>
            </w:r>
          </w:p>
        </w:tc>
        <w:tc>
          <w:tcPr>
            <w:tcW w:w="850" w:type="dxa"/>
            <w:shd w:val="clear" w:color="auto" w:fill="D9D9D9" w:themeFill="background1" w:themeFillShade="D9"/>
            <w:vAlign w:val="center"/>
          </w:tcPr>
          <w:p w14:paraId="60D82EA9" w14:textId="77777777" w:rsidR="005A1EDA" w:rsidRPr="008C21CF" w:rsidRDefault="005A1EDA" w:rsidP="009B1BDA">
            <w:pPr>
              <w:spacing w:before="120" w:after="0"/>
              <w:jc w:val="center"/>
              <w:rPr>
                <w:rFonts w:asciiTheme="majorHAnsi" w:hAnsiTheme="majorHAnsi" w:cstheme="majorHAnsi"/>
                <w:b/>
                <w:iCs/>
              </w:rPr>
            </w:pPr>
            <w:r w:rsidRPr="008C21CF">
              <w:rPr>
                <w:rFonts w:asciiTheme="majorHAnsi" w:hAnsiTheme="majorHAnsi" w:cstheme="majorHAnsi"/>
                <w:b/>
                <w:iCs/>
              </w:rPr>
              <w:t>Y1</w:t>
            </w:r>
          </w:p>
        </w:tc>
        <w:tc>
          <w:tcPr>
            <w:tcW w:w="803" w:type="dxa"/>
            <w:shd w:val="clear" w:color="auto" w:fill="D9D9D9" w:themeFill="background1" w:themeFillShade="D9"/>
            <w:vAlign w:val="center"/>
          </w:tcPr>
          <w:p w14:paraId="6082FE22" w14:textId="77777777" w:rsidR="005A1EDA" w:rsidRPr="008C21CF" w:rsidRDefault="005A1EDA" w:rsidP="009B1BDA">
            <w:pPr>
              <w:spacing w:before="120" w:after="0"/>
              <w:jc w:val="center"/>
              <w:rPr>
                <w:rFonts w:asciiTheme="majorHAnsi" w:hAnsiTheme="majorHAnsi" w:cstheme="majorHAnsi"/>
                <w:b/>
                <w:iCs/>
              </w:rPr>
            </w:pPr>
            <w:r w:rsidRPr="008C21CF">
              <w:rPr>
                <w:rFonts w:asciiTheme="majorHAnsi" w:hAnsiTheme="majorHAnsi" w:cstheme="majorHAnsi"/>
                <w:b/>
                <w:iCs/>
              </w:rPr>
              <w:t>Y2</w:t>
            </w:r>
          </w:p>
        </w:tc>
        <w:tc>
          <w:tcPr>
            <w:tcW w:w="850" w:type="dxa"/>
            <w:shd w:val="clear" w:color="auto" w:fill="D9D9D9" w:themeFill="background1" w:themeFillShade="D9"/>
            <w:vAlign w:val="center"/>
          </w:tcPr>
          <w:p w14:paraId="1C5C380B" w14:textId="77777777" w:rsidR="005A1EDA" w:rsidRPr="008C21CF" w:rsidRDefault="005A1EDA" w:rsidP="009B1BDA">
            <w:pPr>
              <w:spacing w:before="120" w:after="0"/>
              <w:jc w:val="center"/>
              <w:rPr>
                <w:rFonts w:asciiTheme="majorHAnsi" w:hAnsiTheme="majorHAnsi" w:cstheme="majorHAnsi"/>
                <w:b/>
                <w:iCs/>
              </w:rPr>
            </w:pPr>
            <w:r w:rsidRPr="008C21CF">
              <w:rPr>
                <w:rFonts w:asciiTheme="majorHAnsi" w:hAnsiTheme="majorHAnsi" w:cstheme="majorHAnsi"/>
                <w:b/>
                <w:iCs/>
              </w:rPr>
              <w:t>Y3</w:t>
            </w:r>
          </w:p>
        </w:tc>
        <w:tc>
          <w:tcPr>
            <w:tcW w:w="4140" w:type="dxa"/>
            <w:gridSpan w:val="2"/>
            <w:vMerge/>
            <w:tcBorders>
              <w:right w:val="single" w:sz="4" w:space="0" w:color="808080" w:themeColor="background1" w:themeShade="80"/>
            </w:tcBorders>
            <w:shd w:val="clear" w:color="auto" w:fill="D9D9D9" w:themeFill="background1" w:themeFillShade="D9"/>
            <w:vAlign w:val="center"/>
          </w:tcPr>
          <w:p w14:paraId="18DEC1BC" w14:textId="77777777" w:rsidR="005A1EDA" w:rsidRPr="004619FD" w:rsidRDefault="005A1EDA" w:rsidP="009B1BDA">
            <w:pPr>
              <w:spacing w:before="120" w:after="0"/>
              <w:jc w:val="center"/>
              <w:rPr>
                <w:rFonts w:asciiTheme="majorHAnsi" w:hAnsiTheme="majorHAnsi" w:cstheme="majorHAnsi"/>
                <w:iCs/>
              </w:rPr>
            </w:pPr>
          </w:p>
        </w:tc>
      </w:tr>
      <w:tr w:rsidR="005A1EDA" w:rsidRPr="00BF4BEE" w14:paraId="78A643B9" w14:textId="77777777" w:rsidTr="00A757CB">
        <w:trPr>
          <w:trHeight w:val="522"/>
        </w:trPr>
        <w:tc>
          <w:tcPr>
            <w:tcW w:w="2615" w:type="dxa"/>
            <w:tcBorders>
              <w:left w:val="single" w:sz="4" w:space="0" w:color="808080" w:themeColor="background1" w:themeShade="80"/>
            </w:tcBorders>
            <w:vAlign w:val="center"/>
          </w:tcPr>
          <w:p w14:paraId="05AAFC28" w14:textId="1ACEA226" w:rsidR="005A1EDA" w:rsidRPr="0040643D" w:rsidRDefault="0040643D" w:rsidP="009B1BDA">
            <w:pPr>
              <w:pStyle w:val="ListParagraph"/>
              <w:tabs>
                <w:tab w:val="left" w:pos="63"/>
              </w:tabs>
              <w:spacing w:after="0"/>
              <w:ind w:left="63" w:right="-54"/>
              <w:rPr>
                <w:rFonts w:asciiTheme="majorHAnsi" w:hAnsiTheme="majorHAnsi" w:cstheme="majorHAnsi"/>
                <w:b/>
                <w:bCs/>
                <w:iCs/>
                <w:highlight w:val="yellow"/>
              </w:rPr>
            </w:pPr>
            <w:r w:rsidRPr="0040643D">
              <w:rPr>
                <w:rFonts w:asciiTheme="majorHAnsi" w:hAnsiTheme="majorHAnsi" w:cstheme="majorHAnsi"/>
                <w:b/>
                <w:bCs/>
                <w:iCs/>
                <w:highlight w:val="yellow"/>
              </w:rPr>
              <w:t>HIV case detection CSO provider</w:t>
            </w:r>
          </w:p>
        </w:tc>
        <w:tc>
          <w:tcPr>
            <w:tcW w:w="1121" w:type="dxa"/>
            <w:shd w:val="clear" w:color="auto" w:fill="FFFFFF" w:themeFill="text2" w:themeFillTint="33"/>
            <w:vAlign w:val="center"/>
          </w:tcPr>
          <w:p w14:paraId="0B9836F8" w14:textId="77777777" w:rsidR="005A1EDA" w:rsidRPr="008C21CF" w:rsidRDefault="005A1EDA" w:rsidP="009B1BDA">
            <w:pPr>
              <w:pStyle w:val="ListParagraph"/>
              <w:tabs>
                <w:tab w:val="left" w:pos="360"/>
              </w:tabs>
              <w:spacing w:after="0"/>
              <w:ind w:left="0" w:right="-54"/>
              <w:jc w:val="center"/>
              <w:rPr>
                <w:rFonts w:asciiTheme="majorHAnsi" w:hAnsiTheme="majorHAnsi" w:cstheme="majorHAnsi"/>
                <w:b/>
                <w:bCs/>
                <w:iCs/>
              </w:rPr>
            </w:pPr>
          </w:p>
        </w:tc>
        <w:tc>
          <w:tcPr>
            <w:tcW w:w="850" w:type="dxa"/>
            <w:shd w:val="clear" w:color="auto" w:fill="FFFFFF" w:themeFill="text2" w:themeFillTint="33"/>
            <w:vAlign w:val="center"/>
          </w:tcPr>
          <w:p w14:paraId="6981708E" w14:textId="77777777" w:rsidR="005A1EDA" w:rsidRPr="008C21CF" w:rsidRDefault="005A1EDA" w:rsidP="009B1BDA">
            <w:pPr>
              <w:pStyle w:val="ListParagraph"/>
              <w:tabs>
                <w:tab w:val="left" w:pos="360"/>
              </w:tabs>
              <w:spacing w:after="0"/>
              <w:ind w:left="0" w:right="-54"/>
              <w:jc w:val="center"/>
              <w:rPr>
                <w:rFonts w:asciiTheme="majorHAnsi" w:hAnsiTheme="majorHAnsi" w:cstheme="majorHAnsi"/>
                <w:b/>
                <w:bCs/>
                <w:iCs/>
              </w:rPr>
            </w:pPr>
          </w:p>
        </w:tc>
        <w:tc>
          <w:tcPr>
            <w:tcW w:w="803" w:type="dxa"/>
            <w:shd w:val="clear" w:color="auto" w:fill="FFFFFF" w:themeFill="text2" w:themeFillTint="33"/>
            <w:vAlign w:val="center"/>
          </w:tcPr>
          <w:p w14:paraId="25C7D4B9" w14:textId="77777777" w:rsidR="005A1EDA" w:rsidRPr="008C21CF" w:rsidRDefault="005A1EDA" w:rsidP="009B1BDA">
            <w:pPr>
              <w:pStyle w:val="ListParagraph"/>
              <w:tabs>
                <w:tab w:val="left" w:pos="360"/>
              </w:tabs>
              <w:spacing w:after="0"/>
              <w:ind w:left="0" w:right="-54"/>
              <w:jc w:val="center"/>
              <w:rPr>
                <w:rFonts w:asciiTheme="majorHAnsi" w:hAnsiTheme="majorHAnsi" w:cstheme="majorHAnsi"/>
                <w:b/>
                <w:bCs/>
                <w:iCs/>
              </w:rPr>
            </w:pPr>
          </w:p>
        </w:tc>
        <w:tc>
          <w:tcPr>
            <w:tcW w:w="850" w:type="dxa"/>
            <w:shd w:val="clear" w:color="auto" w:fill="FFFFFF" w:themeFill="text2" w:themeFillTint="33"/>
            <w:vAlign w:val="center"/>
          </w:tcPr>
          <w:p w14:paraId="7E388E93" w14:textId="77777777" w:rsidR="005A1EDA" w:rsidRPr="008C21CF" w:rsidRDefault="005A1EDA" w:rsidP="009B1BDA">
            <w:pPr>
              <w:pStyle w:val="ListParagraph"/>
              <w:tabs>
                <w:tab w:val="left" w:pos="360"/>
              </w:tabs>
              <w:spacing w:after="0"/>
              <w:ind w:left="0" w:right="-54"/>
              <w:jc w:val="center"/>
              <w:rPr>
                <w:rFonts w:asciiTheme="majorHAnsi" w:hAnsiTheme="majorHAnsi" w:cstheme="majorHAnsi"/>
                <w:b/>
                <w:bCs/>
                <w:iCs/>
              </w:rPr>
            </w:pPr>
          </w:p>
        </w:tc>
        <w:tc>
          <w:tcPr>
            <w:tcW w:w="4140" w:type="dxa"/>
            <w:gridSpan w:val="2"/>
            <w:tcBorders>
              <w:right w:val="single" w:sz="4" w:space="0" w:color="808080" w:themeColor="background1" w:themeShade="80"/>
            </w:tcBorders>
            <w:vAlign w:val="center"/>
          </w:tcPr>
          <w:p w14:paraId="5AC2A7A5" w14:textId="77777777" w:rsidR="005A1EDA" w:rsidRPr="008C21CF" w:rsidRDefault="005A1EDA" w:rsidP="009B1BDA">
            <w:pPr>
              <w:spacing w:after="0"/>
              <w:rPr>
                <w:rFonts w:asciiTheme="majorHAnsi" w:hAnsiTheme="majorHAnsi" w:cstheme="majorHAnsi"/>
                <w:b/>
                <w:bCs/>
                <w:iCs/>
              </w:rPr>
            </w:pPr>
          </w:p>
        </w:tc>
      </w:tr>
      <w:tr w:rsidR="005A1EDA" w:rsidRPr="00BF4BEE" w14:paraId="59964124" w14:textId="77777777" w:rsidTr="00A757CB">
        <w:trPr>
          <w:trHeight w:val="559"/>
        </w:trPr>
        <w:tc>
          <w:tcPr>
            <w:tcW w:w="2615" w:type="dxa"/>
            <w:tcBorders>
              <w:left w:val="single" w:sz="4" w:space="0" w:color="808080" w:themeColor="background1" w:themeShade="80"/>
            </w:tcBorders>
            <w:vAlign w:val="center"/>
          </w:tcPr>
          <w:p w14:paraId="1D8107CC" w14:textId="656BADF0" w:rsidR="005A1EDA" w:rsidRPr="0040643D" w:rsidRDefault="0040643D" w:rsidP="0040643D">
            <w:pPr>
              <w:pStyle w:val="ListParagraph"/>
              <w:tabs>
                <w:tab w:val="left" w:pos="63"/>
              </w:tabs>
              <w:spacing w:after="0"/>
              <w:ind w:left="63"/>
              <w:rPr>
                <w:rFonts w:asciiTheme="majorHAnsi" w:hAnsiTheme="majorHAnsi" w:cstheme="majorHAnsi"/>
                <w:b/>
                <w:bCs/>
                <w:iCs/>
                <w:highlight w:val="yellow"/>
              </w:rPr>
            </w:pPr>
            <w:r w:rsidRPr="0040643D">
              <w:rPr>
                <w:rFonts w:asciiTheme="majorHAnsi" w:hAnsiTheme="majorHAnsi" w:cstheme="majorHAnsi"/>
                <w:b/>
                <w:bCs/>
                <w:iCs/>
                <w:highlight w:val="yellow"/>
              </w:rPr>
              <w:t>HIV case detection health staff</w:t>
            </w:r>
          </w:p>
        </w:tc>
        <w:tc>
          <w:tcPr>
            <w:tcW w:w="1121" w:type="dxa"/>
            <w:shd w:val="clear" w:color="auto" w:fill="FFFFFF" w:themeFill="text2" w:themeFillTint="33"/>
            <w:vAlign w:val="center"/>
          </w:tcPr>
          <w:p w14:paraId="7A14CCB0" w14:textId="77777777" w:rsidR="005A1EDA" w:rsidRPr="008C21CF" w:rsidRDefault="005A1EDA" w:rsidP="009B1BDA">
            <w:pPr>
              <w:pStyle w:val="ListParagraph"/>
              <w:tabs>
                <w:tab w:val="left" w:pos="360"/>
              </w:tabs>
              <w:spacing w:after="0"/>
              <w:ind w:left="0" w:right="-54"/>
              <w:jc w:val="center"/>
              <w:rPr>
                <w:rFonts w:asciiTheme="majorHAnsi" w:hAnsiTheme="majorHAnsi" w:cstheme="majorHAnsi"/>
                <w:b/>
                <w:bCs/>
                <w:iCs/>
              </w:rPr>
            </w:pPr>
          </w:p>
        </w:tc>
        <w:tc>
          <w:tcPr>
            <w:tcW w:w="850" w:type="dxa"/>
            <w:shd w:val="clear" w:color="auto" w:fill="FFFFFF" w:themeFill="text2" w:themeFillTint="33"/>
            <w:vAlign w:val="center"/>
          </w:tcPr>
          <w:p w14:paraId="0AFD62E4" w14:textId="77777777" w:rsidR="005A1EDA" w:rsidRPr="008C21CF" w:rsidRDefault="005A1EDA" w:rsidP="009B1BDA">
            <w:pPr>
              <w:pStyle w:val="ListParagraph"/>
              <w:tabs>
                <w:tab w:val="left" w:pos="360"/>
              </w:tabs>
              <w:spacing w:after="0"/>
              <w:ind w:left="0" w:right="-54"/>
              <w:jc w:val="center"/>
              <w:rPr>
                <w:rFonts w:asciiTheme="majorHAnsi" w:hAnsiTheme="majorHAnsi" w:cstheme="majorHAnsi"/>
                <w:b/>
                <w:bCs/>
                <w:iCs/>
              </w:rPr>
            </w:pPr>
          </w:p>
        </w:tc>
        <w:tc>
          <w:tcPr>
            <w:tcW w:w="803" w:type="dxa"/>
            <w:shd w:val="clear" w:color="auto" w:fill="FFFFFF" w:themeFill="text2" w:themeFillTint="33"/>
            <w:vAlign w:val="center"/>
          </w:tcPr>
          <w:p w14:paraId="35C78E7C" w14:textId="77777777" w:rsidR="005A1EDA" w:rsidRPr="008C21CF" w:rsidRDefault="005A1EDA" w:rsidP="009B1BDA">
            <w:pPr>
              <w:pStyle w:val="ListParagraph"/>
              <w:tabs>
                <w:tab w:val="left" w:pos="360"/>
              </w:tabs>
              <w:spacing w:after="0"/>
              <w:ind w:left="0" w:right="-54"/>
              <w:jc w:val="center"/>
              <w:rPr>
                <w:rFonts w:asciiTheme="majorHAnsi" w:hAnsiTheme="majorHAnsi" w:cstheme="majorHAnsi"/>
                <w:b/>
                <w:bCs/>
                <w:iCs/>
              </w:rPr>
            </w:pPr>
          </w:p>
        </w:tc>
        <w:tc>
          <w:tcPr>
            <w:tcW w:w="850" w:type="dxa"/>
            <w:shd w:val="clear" w:color="auto" w:fill="FFFFFF" w:themeFill="text2" w:themeFillTint="33"/>
            <w:vAlign w:val="center"/>
          </w:tcPr>
          <w:p w14:paraId="43B1F3BA" w14:textId="77777777" w:rsidR="005A1EDA" w:rsidRPr="008C21CF" w:rsidRDefault="005A1EDA" w:rsidP="009B1BDA">
            <w:pPr>
              <w:pStyle w:val="ListParagraph"/>
              <w:tabs>
                <w:tab w:val="left" w:pos="360"/>
              </w:tabs>
              <w:spacing w:after="0"/>
              <w:ind w:left="0" w:right="-54"/>
              <w:jc w:val="center"/>
              <w:rPr>
                <w:rFonts w:asciiTheme="majorHAnsi" w:hAnsiTheme="majorHAnsi" w:cstheme="majorHAnsi"/>
                <w:b/>
                <w:bCs/>
                <w:iCs/>
              </w:rPr>
            </w:pPr>
          </w:p>
        </w:tc>
        <w:tc>
          <w:tcPr>
            <w:tcW w:w="4140" w:type="dxa"/>
            <w:gridSpan w:val="2"/>
            <w:tcBorders>
              <w:right w:val="single" w:sz="4" w:space="0" w:color="808080" w:themeColor="background1" w:themeShade="80"/>
            </w:tcBorders>
            <w:vAlign w:val="center"/>
          </w:tcPr>
          <w:p w14:paraId="1CE007C1" w14:textId="77777777" w:rsidR="005A1EDA" w:rsidRPr="008C21CF" w:rsidRDefault="005A1EDA" w:rsidP="009B1BDA">
            <w:pPr>
              <w:spacing w:after="0"/>
              <w:ind w:right="-54"/>
              <w:rPr>
                <w:rFonts w:asciiTheme="majorHAnsi" w:hAnsiTheme="majorHAnsi" w:cstheme="majorHAnsi"/>
                <w:b/>
                <w:bCs/>
                <w:iCs/>
              </w:rPr>
            </w:pPr>
          </w:p>
        </w:tc>
      </w:tr>
      <w:tr w:rsidR="005A1EDA" w:rsidRPr="00BF4BEE" w14:paraId="4528FF7A" w14:textId="77777777" w:rsidTr="00A757CB">
        <w:trPr>
          <w:trHeight w:val="553"/>
        </w:trPr>
        <w:tc>
          <w:tcPr>
            <w:tcW w:w="2615" w:type="dxa"/>
            <w:tcBorders>
              <w:left w:val="single" w:sz="4" w:space="0" w:color="808080" w:themeColor="background1" w:themeShade="80"/>
            </w:tcBorders>
            <w:vAlign w:val="center"/>
          </w:tcPr>
          <w:p w14:paraId="744DED99" w14:textId="77777777" w:rsidR="005A1EDA" w:rsidRPr="008C21CF" w:rsidRDefault="005A1EDA" w:rsidP="009B1BDA">
            <w:pPr>
              <w:pStyle w:val="ListParagraph"/>
              <w:tabs>
                <w:tab w:val="left" w:pos="63"/>
              </w:tabs>
              <w:spacing w:after="0"/>
              <w:ind w:left="63"/>
              <w:rPr>
                <w:rFonts w:asciiTheme="majorHAnsi" w:hAnsiTheme="majorHAnsi" w:cstheme="majorHAnsi"/>
                <w:b/>
                <w:bCs/>
                <w:i/>
                <w:iCs/>
              </w:rPr>
            </w:pPr>
            <w:r w:rsidRPr="008C21CF">
              <w:rPr>
                <w:rFonts w:asciiTheme="majorHAnsi" w:hAnsiTheme="majorHAnsi" w:cstheme="majorHAnsi"/>
              </w:rPr>
              <w:t>Add rows if necessary</w:t>
            </w:r>
          </w:p>
        </w:tc>
        <w:tc>
          <w:tcPr>
            <w:tcW w:w="1121" w:type="dxa"/>
            <w:shd w:val="clear" w:color="auto" w:fill="FFFFFF" w:themeFill="text2" w:themeFillTint="33"/>
            <w:vAlign w:val="center"/>
          </w:tcPr>
          <w:p w14:paraId="6CA0F985" w14:textId="77777777" w:rsidR="005A1EDA" w:rsidRPr="008C21CF" w:rsidRDefault="005A1EDA" w:rsidP="009B1BDA">
            <w:pPr>
              <w:pStyle w:val="ListParagraph"/>
              <w:tabs>
                <w:tab w:val="left" w:pos="360"/>
              </w:tabs>
              <w:spacing w:after="0"/>
              <w:ind w:left="0" w:right="-54"/>
              <w:jc w:val="center"/>
              <w:rPr>
                <w:rFonts w:asciiTheme="majorHAnsi" w:hAnsiTheme="majorHAnsi" w:cstheme="majorHAnsi"/>
                <w:b/>
                <w:bCs/>
                <w:iCs/>
              </w:rPr>
            </w:pPr>
          </w:p>
        </w:tc>
        <w:tc>
          <w:tcPr>
            <w:tcW w:w="850" w:type="dxa"/>
            <w:shd w:val="clear" w:color="auto" w:fill="FFFFFF" w:themeFill="text2" w:themeFillTint="33"/>
            <w:vAlign w:val="center"/>
          </w:tcPr>
          <w:p w14:paraId="769155BB" w14:textId="77777777" w:rsidR="005A1EDA" w:rsidRPr="008C21CF" w:rsidRDefault="005A1EDA" w:rsidP="009B1BDA">
            <w:pPr>
              <w:pStyle w:val="ListParagraph"/>
              <w:tabs>
                <w:tab w:val="left" w:pos="360"/>
              </w:tabs>
              <w:spacing w:after="0"/>
              <w:ind w:left="0" w:right="-54"/>
              <w:jc w:val="center"/>
              <w:rPr>
                <w:rFonts w:asciiTheme="majorHAnsi" w:hAnsiTheme="majorHAnsi" w:cstheme="majorHAnsi"/>
                <w:b/>
                <w:bCs/>
                <w:iCs/>
              </w:rPr>
            </w:pPr>
          </w:p>
        </w:tc>
        <w:tc>
          <w:tcPr>
            <w:tcW w:w="803" w:type="dxa"/>
            <w:shd w:val="clear" w:color="auto" w:fill="FFFFFF" w:themeFill="text2" w:themeFillTint="33"/>
            <w:vAlign w:val="center"/>
          </w:tcPr>
          <w:p w14:paraId="4092CEDC" w14:textId="77777777" w:rsidR="005A1EDA" w:rsidRPr="008C21CF" w:rsidRDefault="005A1EDA" w:rsidP="009B1BDA">
            <w:pPr>
              <w:pStyle w:val="ListParagraph"/>
              <w:tabs>
                <w:tab w:val="left" w:pos="360"/>
              </w:tabs>
              <w:spacing w:after="0"/>
              <w:ind w:left="0" w:right="-54"/>
              <w:jc w:val="center"/>
              <w:rPr>
                <w:rFonts w:asciiTheme="majorHAnsi" w:hAnsiTheme="majorHAnsi" w:cstheme="majorHAnsi"/>
                <w:b/>
                <w:bCs/>
                <w:iCs/>
              </w:rPr>
            </w:pPr>
          </w:p>
        </w:tc>
        <w:tc>
          <w:tcPr>
            <w:tcW w:w="850" w:type="dxa"/>
            <w:shd w:val="clear" w:color="auto" w:fill="FFFFFF" w:themeFill="text2" w:themeFillTint="33"/>
            <w:vAlign w:val="center"/>
          </w:tcPr>
          <w:p w14:paraId="5B16A55D" w14:textId="77777777" w:rsidR="005A1EDA" w:rsidRPr="008C21CF" w:rsidRDefault="005A1EDA" w:rsidP="009B1BDA">
            <w:pPr>
              <w:pStyle w:val="ListParagraph"/>
              <w:tabs>
                <w:tab w:val="left" w:pos="360"/>
              </w:tabs>
              <w:spacing w:after="0"/>
              <w:ind w:left="0" w:right="-54"/>
              <w:jc w:val="center"/>
              <w:rPr>
                <w:rFonts w:asciiTheme="majorHAnsi" w:hAnsiTheme="majorHAnsi" w:cstheme="majorHAnsi"/>
                <w:b/>
                <w:bCs/>
                <w:iCs/>
              </w:rPr>
            </w:pPr>
          </w:p>
        </w:tc>
        <w:tc>
          <w:tcPr>
            <w:tcW w:w="4140" w:type="dxa"/>
            <w:gridSpan w:val="2"/>
            <w:tcBorders>
              <w:right w:val="single" w:sz="4" w:space="0" w:color="808080" w:themeColor="background1" w:themeShade="80"/>
            </w:tcBorders>
            <w:vAlign w:val="center"/>
          </w:tcPr>
          <w:p w14:paraId="0ED2B9A7" w14:textId="77777777" w:rsidR="005A1EDA" w:rsidRPr="008C21CF" w:rsidRDefault="005A1EDA" w:rsidP="009B1BDA">
            <w:pPr>
              <w:spacing w:after="0"/>
              <w:ind w:right="-54"/>
              <w:rPr>
                <w:rFonts w:asciiTheme="majorHAnsi" w:hAnsiTheme="majorHAnsi" w:cstheme="majorHAnsi"/>
                <w:b/>
                <w:bCs/>
                <w:iCs/>
              </w:rPr>
            </w:pPr>
          </w:p>
        </w:tc>
      </w:tr>
      <w:tr w:rsidR="004F034A" w:rsidRPr="00BF4BEE" w14:paraId="297F4E88" w14:textId="77777777" w:rsidTr="00A757CB">
        <w:trPr>
          <w:trHeight w:val="395"/>
        </w:trPr>
        <w:tc>
          <w:tcPr>
            <w:tcW w:w="7409" w:type="dxa"/>
            <w:gridSpan w:val="6"/>
            <w:tcBorders>
              <w:left w:val="single" w:sz="4" w:space="0" w:color="808080" w:themeColor="background1" w:themeShade="80"/>
            </w:tcBorders>
            <w:shd w:val="clear" w:color="auto" w:fill="D9D9D9" w:themeFill="background1" w:themeFillShade="D9"/>
            <w:vAlign w:val="center"/>
          </w:tcPr>
          <w:p w14:paraId="640546A3" w14:textId="2C789C62" w:rsidR="004F034A" w:rsidRPr="008C21CF" w:rsidRDefault="004F034A" w:rsidP="009A1DC8">
            <w:pPr>
              <w:pStyle w:val="ListParagraph"/>
              <w:spacing w:after="0" w:line="240" w:lineRule="auto"/>
              <w:ind w:left="360" w:hanging="350"/>
              <w:rPr>
                <w:rFonts w:asciiTheme="majorHAnsi" w:hAnsiTheme="majorHAnsi" w:cstheme="majorHAnsi"/>
                <w:b/>
                <w:bCs/>
                <w:iCs/>
              </w:rPr>
            </w:pPr>
            <w:r w:rsidRPr="009A1DC8">
              <w:rPr>
                <w:rFonts w:cs="Arial"/>
                <w:b/>
              </w:rPr>
              <w:t>Total amount requested from the Global Fund</w:t>
            </w:r>
          </w:p>
        </w:tc>
        <w:tc>
          <w:tcPr>
            <w:tcW w:w="2970" w:type="dxa"/>
            <w:tcBorders>
              <w:right w:val="single" w:sz="4" w:space="0" w:color="808080" w:themeColor="background1" w:themeShade="80"/>
            </w:tcBorders>
            <w:vAlign w:val="center"/>
          </w:tcPr>
          <w:p w14:paraId="3973C5FD" w14:textId="77777777" w:rsidR="004F034A" w:rsidRPr="008C21CF" w:rsidRDefault="004F034A" w:rsidP="009B1BDA">
            <w:pPr>
              <w:spacing w:after="0"/>
              <w:ind w:right="-54"/>
              <w:rPr>
                <w:rFonts w:asciiTheme="majorHAnsi" w:hAnsiTheme="majorHAnsi" w:cstheme="majorHAnsi"/>
                <w:b/>
                <w:bCs/>
                <w:iCs/>
              </w:rPr>
            </w:pPr>
          </w:p>
        </w:tc>
      </w:tr>
    </w:tbl>
    <w:p w14:paraId="3173D754" w14:textId="2D376A89" w:rsidR="00CA674F" w:rsidRDefault="00CA674F" w:rsidP="00CA674F">
      <w:pPr>
        <w:pStyle w:val="ListParagraph"/>
        <w:ind w:left="360"/>
        <w:rPr>
          <w:rFonts w:cs="Arial"/>
          <w:bCs/>
        </w:rPr>
      </w:pPr>
    </w:p>
    <w:p w14:paraId="6A044E20" w14:textId="1C41342D" w:rsidR="00C921BC" w:rsidRPr="0059650E" w:rsidRDefault="009835CB" w:rsidP="00C921BC">
      <w:pPr>
        <w:autoSpaceDE w:val="0"/>
        <w:autoSpaceDN w:val="0"/>
        <w:spacing w:after="0" w:line="240" w:lineRule="auto"/>
      </w:pPr>
      <w:r>
        <w:t xml:space="preserve">Specify how the </w:t>
      </w:r>
      <w:r w:rsidRPr="00151A3B">
        <w:t>accuracy and reliability of the reported results</w:t>
      </w:r>
      <w:r>
        <w:t xml:space="preserve"> will be ensured</w:t>
      </w:r>
      <w:r w:rsidRPr="00151A3B">
        <w:t>.</w:t>
      </w:r>
    </w:p>
    <w:p w14:paraId="42362067" w14:textId="77777777" w:rsidR="00C921BC" w:rsidRDefault="00C921BC" w:rsidP="00C921BC">
      <w:pPr>
        <w:spacing w:after="0" w:line="260" w:lineRule="atLeast"/>
        <w:rPr>
          <w:rFonts w:eastAsia="Calibri"/>
        </w:rPr>
      </w:pPr>
    </w:p>
    <w:tbl>
      <w:tblPr>
        <w:tblStyle w:val="TableGrid"/>
        <w:tblW w:w="0" w:type="auto"/>
        <w:tblLook w:val="04A0" w:firstRow="1" w:lastRow="0" w:firstColumn="1" w:lastColumn="0" w:noHBand="0" w:noVBand="1"/>
      </w:tblPr>
      <w:tblGrid>
        <w:gridCol w:w="10456"/>
      </w:tblGrid>
      <w:tr w:rsidR="00C921BC" w:rsidRPr="005305D5" w14:paraId="7CB23CD6" w14:textId="77777777" w:rsidTr="0015208B">
        <w:tc>
          <w:tcPr>
            <w:tcW w:w="10790" w:type="dxa"/>
          </w:tcPr>
          <w:p w14:paraId="31BB5E27" w14:textId="77777777" w:rsidR="00C71542" w:rsidRPr="00372CE4" w:rsidRDefault="00C71542" w:rsidP="00C71542">
            <w:pPr>
              <w:spacing w:after="0"/>
              <w:jc w:val="both"/>
              <w:rPr>
                <w:color w:val="FF0000"/>
              </w:rPr>
            </w:pPr>
            <w:r w:rsidRPr="00372CE4">
              <w:rPr>
                <w:color w:val="FF0000"/>
              </w:rPr>
              <w:t xml:space="preserve">During the 2018-2020 grant, the PR has been applying a reliable mechanism, i.e. a nation-wide Monitoring Software, which helps the National HIV Control Program to track down all services and beneficiaries supported through GF and NHIC funding in HIV control. Thus, the results reported by implementers, are verified by the NAP against potential duplications, number of services provided, location of service provision, and consumables distributed, and are validated in accordance with agreed validation criteria. Consecutively, the quarter or semiannual disbursements of funding to service providers are carried out by the PR, based on the NAP validated data. </w:t>
            </w:r>
          </w:p>
          <w:p w14:paraId="7C17C68C" w14:textId="77777777" w:rsidR="00C71542" w:rsidRPr="00372CE4" w:rsidRDefault="00C71542" w:rsidP="00C71542">
            <w:pPr>
              <w:spacing w:after="0"/>
              <w:jc w:val="both"/>
              <w:rPr>
                <w:color w:val="FF0000"/>
              </w:rPr>
            </w:pPr>
          </w:p>
          <w:p w14:paraId="3728D488" w14:textId="77777777" w:rsidR="00C71542" w:rsidRPr="00372CE4" w:rsidRDefault="00C71542" w:rsidP="00C71542">
            <w:pPr>
              <w:spacing w:after="0"/>
              <w:jc w:val="both"/>
              <w:rPr>
                <w:color w:val="FF0000"/>
              </w:rPr>
            </w:pPr>
            <w:r w:rsidRPr="00372CE4">
              <w:rPr>
                <w:color w:val="FF0000"/>
              </w:rPr>
              <w:t xml:space="preserve">This mechanism has proved to be very effective in counteracting duplications, misuse of distribution materials for beneficiaries, as well as tracking in real time delivery of services and their location. </w:t>
            </w:r>
          </w:p>
          <w:p w14:paraId="346E3FFF" w14:textId="77777777" w:rsidR="00C71542" w:rsidRPr="00372CE4" w:rsidRDefault="00C71542" w:rsidP="00C71542">
            <w:pPr>
              <w:spacing w:after="0"/>
              <w:jc w:val="both"/>
              <w:rPr>
                <w:color w:val="FF0000"/>
              </w:rPr>
            </w:pPr>
          </w:p>
          <w:p w14:paraId="7B40C467" w14:textId="0499E445" w:rsidR="00C921BC" w:rsidRPr="005305D5" w:rsidRDefault="00C71542" w:rsidP="00C71542">
            <w:pPr>
              <w:spacing w:after="0"/>
            </w:pPr>
            <w:r w:rsidRPr="00372CE4">
              <w:rPr>
                <w:color w:val="FF0000"/>
              </w:rPr>
              <w:t xml:space="preserve">The PR and the coordinating teams of the national programs shall further apply and sustain this approach during the 2021-2023 grant. </w:t>
            </w:r>
          </w:p>
          <w:p w14:paraId="7EBB90E2" w14:textId="77777777" w:rsidR="00C921BC" w:rsidRPr="005305D5" w:rsidRDefault="00C921BC" w:rsidP="0015208B">
            <w:pPr>
              <w:spacing w:after="0"/>
            </w:pPr>
          </w:p>
        </w:tc>
      </w:tr>
    </w:tbl>
    <w:p w14:paraId="4A19BE4B" w14:textId="77777777" w:rsidR="00A82FB8" w:rsidRPr="00C921BC" w:rsidRDefault="00A82FB8" w:rsidP="00C921BC">
      <w:pPr>
        <w:rPr>
          <w:rFonts w:cs="Arial"/>
          <w:bCs/>
        </w:rPr>
      </w:pPr>
    </w:p>
    <w:p w14:paraId="20EC314E" w14:textId="77777777" w:rsidR="000E0ACF" w:rsidRPr="008C21CF" w:rsidRDefault="000E0ACF" w:rsidP="00F42E40">
      <w:pPr>
        <w:pStyle w:val="ListParagraph"/>
        <w:numPr>
          <w:ilvl w:val="0"/>
          <w:numId w:val="23"/>
        </w:numPr>
        <w:ind w:left="360"/>
        <w:jc w:val="both"/>
        <w:rPr>
          <w:rFonts w:asciiTheme="majorHAnsi" w:hAnsiTheme="majorHAnsi" w:cstheme="majorHAnsi"/>
        </w:rPr>
      </w:pPr>
      <w:r w:rsidRPr="00A57DC5">
        <w:rPr>
          <w:rFonts w:cs="Arial"/>
          <w:b/>
        </w:rPr>
        <w:t xml:space="preserve">Opportunities for integration: </w:t>
      </w:r>
      <w:r>
        <w:rPr>
          <w:rFonts w:asciiTheme="majorHAnsi" w:hAnsiTheme="majorHAnsi" w:cstheme="majorHAnsi"/>
        </w:rPr>
        <w:t>E</w:t>
      </w:r>
      <w:r w:rsidRPr="008C21CF">
        <w:rPr>
          <w:rFonts w:asciiTheme="majorHAnsi" w:hAnsiTheme="majorHAnsi" w:cstheme="majorHAnsi"/>
        </w:rPr>
        <w:t xml:space="preserve">xplain how the proposed investments take into consideration: </w:t>
      </w:r>
    </w:p>
    <w:p w14:paraId="202C3D7A" w14:textId="0C29F30B" w:rsidR="000E0ACF" w:rsidRPr="008C21CF" w:rsidRDefault="00F112AD" w:rsidP="00F42E40">
      <w:pPr>
        <w:pStyle w:val="ListParagraph"/>
        <w:numPr>
          <w:ilvl w:val="0"/>
          <w:numId w:val="24"/>
        </w:numPr>
        <w:spacing w:after="0"/>
        <w:jc w:val="both"/>
        <w:rPr>
          <w:rFonts w:asciiTheme="majorHAnsi" w:hAnsiTheme="majorHAnsi" w:cstheme="majorHAnsi"/>
        </w:rPr>
      </w:pPr>
      <w:r>
        <w:rPr>
          <w:rFonts w:asciiTheme="majorHAnsi" w:hAnsiTheme="majorHAnsi" w:cstheme="majorHAnsi"/>
        </w:rPr>
        <w:t>N</w:t>
      </w:r>
      <w:r w:rsidR="000E0ACF" w:rsidRPr="008C21CF">
        <w:rPr>
          <w:rFonts w:asciiTheme="majorHAnsi" w:hAnsiTheme="majorHAnsi" w:cstheme="majorHAnsi"/>
        </w:rPr>
        <w:t>eeds across</w:t>
      </w:r>
      <w:r w:rsidR="000E0ACF">
        <w:rPr>
          <w:rFonts w:asciiTheme="majorHAnsi" w:hAnsiTheme="majorHAnsi" w:cstheme="majorHAnsi"/>
        </w:rPr>
        <w:t xml:space="preserve"> the three</w:t>
      </w:r>
      <w:r w:rsidR="000E0ACF" w:rsidRPr="008C21CF">
        <w:rPr>
          <w:rFonts w:asciiTheme="majorHAnsi" w:hAnsiTheme="majorHAnsi" w:cstheme="majorHAnsi"/>
        </w:rPr>
        <w:t xml:space="preserve"> diseases and other</w:t>
      </w:r>
      <w:r w:rsidR="000E0ACF">
        <w:rPr>
          <w:rFonts w:asciiTheme="majorHAnsi" w:hAnsiTheme="majorHAnsi" w:cstheme="majorHAnsi"/>
        </w:rPr>
        <w:t xml:space="preserve"> related</w:t>
      </w:r>
      <w:r w:rsidR="000E0ACF" w:rsidRPr="008C21CF">
        <w:rPr>
          <w:rFonts w:asciiTheme="majorHAnsi" w:hAnsiTheme="majorHAnsi" w:cstheme="majorHAnsi"/>
        </w:rPr>
        <w:t xml:space="preserve"> health programs</w:t>
      </w:r>
      <w:r w:rsidR="000E0ACF">
        <w:rPr>
          <w:rFonts w:asciiTheme="majorHAnsi" w:hAnsiTheme="majorHAnsi" w:cstheme="majorHAnsi"/>
        </w:rPr>
        <w:t xml:space="preserve">; </w:t>
      </w:r>
    </w:p>
    <w:p w14:paraId="5C3F3760" w14:textId="405DA9C3" w:rsidR="000E0ACF" w:rsidRPr="008C21CF" w:rsidRDefault="00F112AD" w:rsidP="00F42E40">
      <w:pPr>
        <w:pStyle w:val="NormalWeb"/>
        <w:numPr>
          <w:ilvl w:val="0"/>
          <w:numId w:val="24"/>
        </w:numPr>
        <w:spacing w:after="0" w:line="240" w:lineRule="auto"/>
        <w:jc w:val="both"/>
        <w:rPr>
          <w:rFonts w:asciiTheme="majorHAnsi" w:hAnsiTheme="majorHAnsi" w:cstheme="majorHAnsi"/>
          <w:sz w:val="22"/>
          <w:szCs w:val="22"/>
        </w:rPr>
      </w:pPr>
      <w:r>
        <w:rPr>
          <w:rFonts w:asciiTheme="majorHAnsi" w:hAnsiTheme="majorHAnsi" w:cstheme="majorHAnsi"/>
          <w:sz w:val="22"/>
          <w:szCs w:val="22"/>
        </w:rPr>
        <w:t>L</w:t>
      </w:r>
      <w:r w:rsidR="000E0ACF" w:rsidRPr="008C21CF">
        <w:rPr>
          <w:rFonts w:asciiTheme="majorHAnsi" w:hAnsiTheme="majorHAnsi" w:cstheme="majorHAnsi"/>
          <w:sz w:val="22"/>
          <w:szCs w:val="22"/>
        </w:rPr>
        <w:t>inks with the broader health systems to impro</w:t>
      </w:r>
      <w:r w:rsidR="000E0ACF">
        <w:rPr>
          <w:rFonts w:asciiTheme="majorHAnsi" w:hAnsiTheme="majorHAnsi" w:cstheme="majorHAnsi"/>
          <w:sz w:val="22"/>
          <w:szCs w:val="22"/>
        </w:rPr>
        <w:t>ve disease outcomes, efficiency</w:t>
      </w:r>
      <w:r w:rsidR="000E0ACF" w:rsidRPr="008C21CF">
        <w:rPr>
          <w:rFonts w:asciiTheme="majorHAnsi" w:hAnsiTheme="majorHAnsi" w:cstheme="majorHAnsi"/>
          <w:sz w:val="22"/>
          <w:szCs w:val="22"/>
        </w:rPr>
        <w:t xml:space="preserve"> and program sustainability.</w:t>
      </w:r>
    </w:p>
    <w:p w14:paraId="003C57B6" w14:textId="77777777" w:rsidR="000E0ACF" w:rsidRPr="00B271DB" w:rsidRDefault="000E0ACF" w:rsidP="000E0ACF">
      <w:pPr>
        <w:pStyle w:val="ListParagraph"/>
        <w:spacing w:after="0" w:line="240" w:lineRule="auto"/>
        <w:ind w:left="0"/>
        <w:rPr>
          <w:rFonts w:cs="Arial"/>
          <w:szCs w:val="20"/>
        </w:rPr>
      </w:pPr>
    </w:p>
    <w:tbl>
      <w:tblPr>
        <w:tblStyle w:val="TableGrid"/>
        <w:tblW w:w="0" w:type="auto"/>
        <w:tblLook w:val="04A0" w:firstRow="1" w:lastRow="0" w:firstColumn="1" w:lastColumn="0" w:noHBand="0" w:noVBand="1"/>
      </w:tblPr>
      <w:tblGrid>
        <w:gridCol w:w="10456"/>
      </w:tblGrid>
      <w:tr w:rsidR="000E0ACF" w:rsidRPr="00B271DB" w14:paraId="63001F24" w14:textId="77777777" w:rsidTr="00F268A0">
        <w:tc>
          <w:tcPr>
            <w:tcW w:w="10790" w:type="dxa"/>
          </w:tcPr>
          <w:p w14:paraId="3BF826A3" w14:textId="19E55B56" w:rsidR="009B7CC7" w:rsidRPr="009B7CC7" w:rsidRDefault="009B7CC7" w:rsidP="004734A5">
            <w:pPr>
              <w:spacing w:after="0" w:line="240" w:lineRule="auto"/>
              <w:jc w:val="both"/>
              <w:rPr>
                <w:sz w:val="20"/>
              </w:rPr>
            </w:pPr>
            <w:r>
              <w:rPr>
                <w:sz w:val="20"/>
              </w:rPr>
              <w:t>The CCM has prioritized the opportunity of a joint TB/HIV request to make a strong emphasis on integration at all levels: governance and management, strategic purchasing of services, service delivery, and along the health system building blocks.</w:t>
            </w:r>
            <w:r w:rsidR="004734A5">
              <w:rPr>
                <w:sz w:val="20"/>
              </w:rPr>
              <w:t xml:space="preserve"> </w:t>
            </w:r>
            <w:r w:rsidRPr="009B7CC7">
              <w:rPr>
                <w:sz w:val="20"/>
              </w:rPr>
              <w:t xml:space="preserve">Acknowledging the intertwined nature of the TB HIV </w:t>
            </w:r>
            <w:r>
              <w:rPr>
                <w:sz w:val="20"/>
              </w:rPr>
              <w:t>STIs</w:t>
            </w:r>
            <w:r w:rsidRPr="009B7CC7">
              <w:rPr>
                <w:sz w:val="20"/>
              </w:rPr>
              <w:t xml:space="preserve"> and Hepatitis </w:t>
            </w:r>
            <w:r>
              <w:rPr>
                <w:sz w:val="20"/>
              </w:rPr>
              <w:t>and e</w:t>
            </w:r>
            <w:r w:rsidRPr="009B7CC7">
              <w:rPr>
                <w:sz w:val="20"/>
              </w:rPr>
              <w:t>pidemics in Moldova, the funding request creates premises for a progressive integration across TB, HIV and other related health programs through a series of approaches at different levels.</w:t>
            </w:r>
          </w:p>
          <w:p w14:paraId="3000D060" w14:textId="77777777" w:rsidR="004734A5" w:rsidRDefault="004734A5" w:rsidP="004734A5">
            <w:pPr>
              <w:spacing w:after="0" w:line="240" w:lineRule="auto"/>
              <w:rPr>
                <w:b/>
                <w:sz w:val="20"/>
              </w:rPr>
            </w:pPr>
          </w:p>
          <w:p w14:paraId="20CBB101" w14:textId="7585FB26" w:rsidR="009B7CC7" w:rsidRPr="009B7CC7" w:rsidRDefault="009B7CC7" w:rsidP="004734A5">
            <w:pPr>
              <w:spacing w:after="0" w:line="240" w:lineRule="auto"/>
              <w:rPr>
                <w:sz w:val="20"/>
              </w:rPr>
            </w:pPr>
            <w:r w:rsidRPr="009B7CC7">
              <w:rPr>
                <w:b/>
                <w:sz w:val="20"/>
              </w:rPr>
              <w:t xml:space="preserve">Health sector governance and planning: </w:t>
            </w:r>
            <w:r w:rsidRPr="009B7CC7">
              <w:rPr>
                <w:sz w:val="20"/>
              </w:rPr>
              <w:t>Currently, the TB and HIV programs coexist as two vertical disease-oriented programs with separate coordination units managed by different entities at the level of tertiary health care institution</w:t>
            </w:r>
            <w:r>
              <w:rPr>
                <w:sz w:val="20"/>
              </w:rPr>
              <w:t>s</w:t>
            </w:r>
            <w:r w:rsidRPr="009B7CC7">
              <w:rPr>
                <w:sz w:val="20"/>
              </w:rPr>
              <w:t xml:space="preserve"> for TB and HIV services respectively.</w:t>
            </w:r>
            <w:r>
              <w:rPr>
                <w:sz w:val="20"/>
              </w:rPr>
              <w:t xml:space="preserve"> A lot of progress has been made to improve collaboration and coordination between the two coordination units. However, the nature of two silo-ed structures housed by tertiary hospitals affects</w:t>
            </w:r>
            <w:r w:rsidRPr="009B7CC7">
              <w:rPr>
                <w:sz w:val="20"/>
              </w:rPr>
              <w:t xml:space="preserve"> integration at the operational level. However, there is a strong determination of the public health authorities to establish a single structure that will coordinate implementation of TB, HIV, and viral hepatitis programs</w:t>
            </w:r>
            <w:r>
              <w:rPr>
                <w:sz w:val="20"/>
              </w:rPr>
              <w:t xml:space="preserve"> and possibly consider a single entity for all national programs management</w:t>
            </w:r>
            <w:r w:rsidRPr="009B7CC7">
              <w:rPr>
                <w:sz w:val="20"/>
              </w:rPr>
              <w:t xml:space="preserve">. </w:t>
            </w:r>
            <w:r>
              <w:rPr>
                <w:sz w:val="20"/>
              </w:rPr>
              <w:t xml:space="preserve">During implementation plan a </w:t>
            </w:r>
            <w:r w:rsidRPr="009B7CC7">
              <w:rPr>
                <w:sz w:val="20"/>
              </w:rPr>
              <w:t>concept for</w:t>
            </w:r>
            <w:r>
              <w:rPr>
                <w:sz w:val="20"/>
              </w:rPr>
              <w:t xml:space="preserve"> an</w:t>
            </w:r>
            <w:r w:rsidRPr="009B7CC7">
              <w:rPr>
                <w:sz w:val="20"/>
              </w:rPr>
              <w:t xml:space="preserve"> integrated </w:t>
            </w:r>
            <w:r>
              <w:rPr>
                <w:sz w:val="20"/>
              </w:rPr>
              <w:t xml:space="preserve">national </w:t>
            </w:r>
            <w:r w:rsidRPr="009B7CC7">
              <w:rPr>
                <w:sz w:val="20"/>
              </w:rPr>
              <w:t>program management unit and a feasib</w:t>
            </w:r>
            <w:r>
              <w:rPr>
                <w:sz w:val="20"/>
              </w:rPr>
              <w:t xml:space="preserve">ility assessment will set the ground to move towards this goal. The funding request will support development and </w:t>
            </w:r>
            <w:r w:rsidRPr="009B7CC7">
              <w:rPr>
                <w:sz w:val="20"/>
              </w:rPr>
              <w:t>implementation</w:t>
            </w:r>
            <w:r>
              <w:rPr>
                <w:sz w:val="20"/>
              </w:rPr>
              <w:t xml:space="preserve"> of this</w:t>
            </w:r>
            <w:r w:rsidRPr="009B7CC7">
              <w:rPr>
                <w:sz w:val="20"/>
              </w:rPr>
              <w:t xml:space="preserve"> model with all supportive regulatory framework. Similar coordination at the local level will be ensured through development of the collaborative partnerships by involving CSOs and LPAs.</w:t>
            </w:r>
          </w:p>
          <w:p w14:paraId="5871C648" w14:textId="77777777" w:rsidR="009B7CC7" w:rsidRPr="009B7CC7" w:rsidRDefault="009B7CC7" w:rsidP="004734A5">
            <w:pPr>
              <w:spacing w:after="0" w:line="240" w:lineRule="auto"/>
              <w:rPr>
                <w:b/>
                <w:sz w:val="20"/>
              </w:rPr>
            </w:pPr>
          </w:p>
          <w:p w14:paraId="0CFB5A7B" w14:textId="76320A7C" w:rsidR="009B7CC7" w:rsidRPr="009B7CC7" w:rsidRDefault="009B7CC7" w:rsidP="004734A5">
            <w:pPr>
              <w:spacing w:after="0" w:line="240" w:lineRule="auto"/>
              <w:jc w:val="both"/>
              <w:rPr>
                <w:sz w:val="20"/>
              </w:rPr>
            </w:pPr>
            <w:r w:rsidRPr="009B7CC7">
              <w:rPr>
                <w:b/>
                <w:sz w:val="20"/>
              </w:rPr>
              <w:t xml:space="preserve">Health system-based service delivery models: </w:t>
            </w:r>
            <w:r w:rsidRPr="009B7CC7">
              <w:rPr>
                <w:sz w:val="20"/>
              </w:rPr>
              <w:t xml:space="preserve">Coordination of TB and HIV services through multidisciplinary approach has been streamlined under this funding request. </w:t>
            </w:r>
            <w:r w:rsidR="004734A5" w:rsidRPr="009B7CC7">
              <w:rPr>
                <w:sz w:val="20"/>
              </w:rPr>
              <w:t>Decentralization</w:t>
            </w:r>
            <w:r w:rsidRPr="009B7CC7">
              <w:rPr>
                <w:sz w:val="20"/>
              </w:rPr>
              <w:t xml:space="preserve"> of HIV services to ID specialist at the rayon level creates premises for integrated service delivery. A case-management approach will be used to address both medical and non-medical needs of the patients with TB and HIV through</w:t>
            </w:r>
            <w:r>
              <w:rPr>
                <w:sz w:val="20"/>
              </w:rPr>
              <w:t xml:space="preserve"> multidisciplinary teams at district specialist level.</w:t>
            </w:r>
            <w:r w:rsidRPr="009B7CC7">
              <w:rPr>
                <w:sz w:val="20"/>
              </w:rPr>
              <w:t xml:space="preserve"> TB treatment support centers operating at this level will serve as a </w:t>
            </w:r>
            <w:r>
              <w:rPr>
                <w:sz w:val="20"/>
              </w:rPr>
              <w:t xml:space="preserve">starting </w:t>
            </w:r>
            <w:r w:rsidRPr="009B7CC7">
              <w:rPr>
                <w:sz w:val="20"/>
              </w:rPr>
              <w:t>point for integration</w:t>
            </w:r>
            <w:r>
              <w:rPr>
                <w:sz w:val="20"/>
              </w:rPr>
              <w:t xml:space="preserve"> and establishing multidisciplinary approaches</w:t>
            </w:r>
            <w:r w:rsidRPr="009B7CC7">
              <w:rPr>
                <w:sz w:val="20"/>
              </w:rPr>
              <w:t>.</w:t>
            </w:r>
          </w:p>
          <w:p w14:paraId="6C143B2F" w14:textId="77777777" w:rsidR="009B7CC7" w:rsidRPr="009B7CC7" w:rsidRDefault="009B7CC7" w:rsidP="004734A5">
            <w:pPr>
              <w:spacing w:after="0" w:line="240" w:lineRule="auto"/>
              <w:rPr>
                <w:b/>
                <w:sz w:val="20"/>
              </w:rPr>
            </w:pPr>
          </w:p>
          <w:p w14:paraId="7DA175E8" w14:textId="6817F3DD" w:rsidR="009B7CC7" w:rsidRPr="009B7CC7" w:rsidRDefault="009B7CC7" w:rsidP="004734A5">
            <w:pPr>
              <w:spacing w:after="0" w:line="240" w:lineRule="auto"/>
              <w:jc w:val="both"/>
              <w:rPr>
                <w:sz w:val="20"/>
              </w:rPr>
            </w:pPr>
            <w:r w:rsidRPr="009B7CC7">
              <w:rPr>
                <w:b/>
                <w:sz w:val="20"/>
              </w:rPr>
              <w:t xml:space="preserve">Community-based service delivery models: </w:t>
            </w:r>
            <w:r w:rsidRPr="009B7CC7">
              <w:rPr>
                <w:sz w:val="20"/>
              </w:rPr>
              <w:t xml:space="preserve">Community system strengthening will promote “one stop” approach to allow integration of TB and HIV services at the community level. </w:t>
            </w:r>
            <w:r w:rsidR="00B54A6E">
              <w:rPr>
                <w:sz w:val="20"/>
              </w:rPr>
              <w:t xml:space="preserve">Based on service package development and costing, starting with year two there will be an option to integrate services for the same key populations. </w:t>
            </w:r>
            <w:r w:rsidRPr="009B7CC7">
              <w:rPr>
                <w:sz w:val="20"/>
              </w:rPr>
              <w:t>Social centers designed to channel resources for social support to PLHIV will be re-profiled, expanding the scope of the support services and beneficiaries’ eligibility to KPs and patients with both HIV and TB. Implementation of such integrated approach will be enabled by activities to define and cost the package of services for KPs currently ongoing.</w:t>
            </w:r>
          </w:p>
          <w:p w14:paraId="7E1C4DE7" w14:textId="77777777" w:rsidR="009B7CC7" w:rsidRPr="009B7CC7" w:rsidRDefault="009B7CC7" w:rsidP="004734A5">
            <w:pPr>
              <w:spacing w:after="0" w:line="240" w:lineRule="auto"/>
              <w:jc w:val="both"/>
              <w:rPr>
                <w:b/>
                <w:sz w:val="20"/>
              </w:rPr>
            </w:pPr>
          </w:p>
          <w:p w14:paraId="34CD70AD" w14:textId="77777777" w:rsidR="004734A5" w:rsidRDefault="009B7CC7" w:rsidP="004734A5">
            <w:pPr>
              <w:spacing w:after="0" w:line="240" w:lineRule="auto"/>
              <w:jc w:val="both"/>
              <w:rPr>
                <w:sz w:val="20"/>
              </w:rPr>
            </w:pPr>
            <w:r w:rsidRPr="009B7CC7">
              <w:rPr>
                <w:b/>
                <w:sz w:val="20"/>
              </w:rPr>
              <w:t xml:space="preserve">Health Finance: </w:t>
            </w:r>
            <w:r w:rsidRPr="009B7CC7">
              <w:rPr>
                <w:sz w:val="20"/>
              </w:rPr>
              <w:t>addressing costing for services package for both TB and HIV creates opportunities for greater TB/HIV integration at the provider level, but also between prevention and care continuum. The same principles to underpin design of the payment schemes and cost estimates for services for both TB and HIV will be applied.</w:t>
            </w:r>
          </w:p>
          <w:p w14:paraId="029EDB0B" w14:textId="07467399" w:rsidR="009B7CC7" w:rsidRPr="009B7CC7" w:rsidRDefault="009B7CC7" w:rsidP="004734A5">
            <w:pPr>
              <w:spacing w:after="0" w:line="240" w:lineRule="auto"/>
              <w:jc w:val="both"/>
              <w:rPr>
                <w:sz w:val="20"/>
              </w:rPr>
            </w:pPr>
            <w:r w:rsidRPr="009B7CC7">
              <w:rPr>
                <w:sz w:val="20"/>
              </w:rPr>
              <w:t xml:space="preserve"> </w:t>
            </w:r>
          </w:p>
          <w:p w14:paraId="3569AFC7" w14:textId="23F0BA80" w:rsidR="009B7CC7" w:rsidRPr="009B7CC7" w:rsidRDefault="009B7CC7" w:rsidP="004734A5">
            <w:pPr>
              <w:spacing w:after="0" w:line="240" w:lineRule="auto"/>
              <w:jc w:val="both"/>
              <w:rPr>
                <w:sz w:val="20"/>
              </w:rPr>
            </w:pPr>
            <w:r w:rsidRPr="009B7CC7">
              <w:rPr>
                <w:b/>
                <w:sz w:val="20"/>
              </w:rPr>
              <w:t xml:space="preserve">Structural and health systems barriers: </w:t>
            </w:r>
            <w:r w:rsidRPr="009B7CC7">
              <w:rPr>
                <w:sz w:val="20"/>
              </w:rPr>
              <w:t xml:space="preserve">The proposed investments of this funding request not only take into consideration the needs across TB and HIV, but also links with the broader health system. A number of activities that will address the gaps under the different health system blocks have the potential to improve enabling context for better TB/HIV integration. </w:t>
            </w:r>
          </w:p>
          <w:p w14:paraId="23F960A6" w14:textId="77777777" w:rsidR="009B7CC7" w:rsidRDefault="009B7CC7" w:rsidP="004734A5">
            <w:pPr>
              <w:spacing w:after="0" w:line="240" w:lineRule="auto"/>
              <w:rPr>
                <w:b/>
                <w:sz w:val="20"/>
              </w:rPr>
            </w:pPr>
          </w:p>
          <w:p w14:paraId="32892C53" w14:textId="64AB8AD1" w:rsidR="009B7CC7" w:rsidRPr="009B7CC7" w:rsidRDefault="009B7CC7" w:rsidP="004734A5">
            <w:pPr>
              <w:spacing w:after="0" w:line="240" w:lineRule="auto"/>
              <w:jc w:val="both"/>
              <w:rPr>
                <w:sz w:val="20"/>
              </w:rPr>
            </w:pPr>
            <w:r w:rsidRPr="009B7CC7">
              <w:rPr>
                <w:b/>
                <w:sz w:val="20"/>
              </w:rPr>
              <w:t xml:space="preserve">Health Management Information Systems: </w:t>
            </w:r>
            <w:r w:rsidRPr="009B7CC7">
              <w:rPr>
                <w:sz w:val="20"/>
              </w:rPr>
              <w:t xml:space="preserve">SIME HIV and SIME TB will be developed/upgraded ensuring compatible design, standard data collection and reporting tools, and procedures. Interoperability between the systems that allows to integrate data sources for TB and HIV will provide the information for policy planning and implementation of the collaborative TB/HIV activities addressing the needs of those most vulnerable.  </w:t>
            </w:r>
            <w:r>
              <w:rPr>
                <w:sz w:val="20"/>
              </w:rPr>
              <w:t xml:space="preserve">In addition to compatible design between these two HMIS, interoperability is needs with HMIS at primary care level and the HMIS now under scale-up for secondary care level.  </w:t>
            </w:r>
          </w:p>
          <w:p w14:paraId="44D1AC59" w14:textId="77777777" w:rsidR="004734A5" w:rsidRDefault="004734A5" w:rsidP="004734A5">
            <w:pPr>
              <w:spacing w:after="0" w:line="240" w:lineRule="auto"/>
              <w:rPr>
                <w:b/>
                <w:sz w:val="20"/>
              </w:rPr>
            </w:pPr>
          </w:p>
          <w:p w14:paraId="53764D7C" w14:textId="6A5E7594" w:rsidR="009B7CC7" w:rsidRPr="009B7CC7" w:rsidRDefault="009B7CC7" w:rsidP="004734A5">
            <w:pPr>
              <w:spacing w:after="0" w:line="240" w:lineRule="auto"/>
              <w:jc w:val="both"/>
              <w:rPr>
                <w:b/>
                <w:sz w:val="20"/>
              </w:rPr>
            </w:pPr>
            <w:r w:rsidRPr="009B7CC7">
              <w:rPr>
                <w:b/>
                <w:sz w:val="20"/>
              </w:rPr>
              <w:t>Health products management systems</w:t>
            </w:r>
            <w:r w:rsidRPr="009B7CC7">
              <w:rPr>
                <w:sz w:val="20"/>
              </w:rPr>
              <w:t xml:space="preserve">: procurement of the TB and HIV medicines </w:t>
            </w:r>
            <w:r>
              <w:rPr>
                <w:sz w:val="20"/>
              </w:rPr>
              <w:t xml:space="preserve">and other commodities is already operated </w:t>
            </w:r>
            <w:r w:rsidRPr="009B7CC7">
              <w:rPr>
                <w:sz w:val="20"/>
              </w:rPr>
              <w:t>by a single national entity</w:t>
            </w:r>
            <w:r>
              <w:rPr>
                <w:sz w:val="20"/>
              </w:rPr>
              <w:t>, the Center for Centralized Procurements in Health</w:t>
            </w:r>
            <w:r w:rsidRPr="009B7CC7">
              <w:rPr>
                <w:b/>
                <w:sz w:val="20"/>
              </w:rPr>
              <w:t xml:space="preserve">. </w:t>
            </w:r>
            <w:r w:rsidRPr="009B7CC7">
              <w:rPr>
                <w:sz w:val="20"/>
              </w:rPr>
              <w:t xml:space="preserve">Further work on strengthening pharmaceutical regulatory systems and improving procurement mechanisms, identified as structural barriers in the context of transition to domestic procurement, will strengthen overall the drug supply chain and improve outcomes across all diseases.  </w:t>
            </w:r>
            <w:r w:rsidRPr="009B7CC7">
              <w:rPr>
                <w:b/>
                <w:sz w:val="20"/>
              </w:rPr>
              <w:t xml:space="preserve">   </w:t>
            </w:r>
          </w:p>
          <w:p w14:paraId="09DA4B76" w14:textId="77777777" w:rsidR="004734A5" w:rsidRDefault="004734A5" w:rsidP="004734A5">
            <w:pPr>
              <w:pStyle w:val="NormalWeb"/>
              <w:spacing w:after="0" w:line="240" w:lineRule="auto"/>
              <w:jc w:val="both"/>
              <w:rPr>
                <w:rFonts w:asciiTheme="minorHAnsi" w:hAnsiTheme="minorHAnsi" w:cstheme="minorBidi"/>
                <w:b/>
                <w:sz w:val="20"/>
                <w:szCs w:val="22"/>
              </w:rPr>
            </w:pPr>
          </w:p>
          <w:p w14:paraId="51C65A9B" w14:textId="04F12C1F" w:rsidR="009B7CC7" w:rsidRDefault="009B7CC7" w:rsidP="004734A5">
            <w:pPr>
              <w:pStyle w:val="NormalWeb"/>
              <w:spacing w:after="0" w:line="240" w:lineRule="auto"/>
              <w:jc w:val="both"/>
              <w:rPr>
                <w:rFonts w:asciiTheme="minorHAnsi" w:hAnsiTheme="minorHAnsi" w:cstheme="minorBidi"/>
                <w:sz w:val="20"/>
                <w:szCs w:val="22"/>
              </w:rPr>
            </w:pPr>
            <w:r w:rsidRPr="009B7CC7">
              <w:rPr>
                <w:rFonts w:asciiTheme="minorHAnsi" w:hAnsiTheme="minorHAnsi" w:cstheme="minorBidi"/>
                <w:b/>
                <w:sz w:val="20"/>
                <w:szCs w:val="22"/>
              </w:rPr>
              <w:t xml:space="preserve">Laboratory systems: </w:t>
            </w:r>
            <w:r w:rsidRPr="009B7CC7">
              <w:rPr>
                <w:rFonts w:asciiTheme="minorHAnsi" w:hAnsiTheme="minorHAnsi" w:cstheme="minorBidi"/>
                <w:sz w:val="20"/>
                <w:szCs w:val="22"/>
              </w:rPr>
              <w:t xml:space="preserve">Sharing resources developed as part of the single disease program and respond to the needs in other collaborative programs will expand access to timely testing across different conditions. </w:t>
            </w:r>
            <w:r>
              <w:rPr>
                <w:rFonts w:asciiTheme="minorHAnsi" w:hAnsiTheme="minorHAnsi" w:cstheme="minorBidi"/>
                <w:sz w:val="20"/>
                <w:szCs w:val="22"/>
              </w:rPr>
              <w:t xml:space="preserve">There are </w:t>
            </w:r>
            <w:r w:rsidRPr="009B7CC7">
              <w:rPr>
                <w:rFonts w:asciiTheme="minorHAnsi" w:hAnsiTheme="minorHAnsi" w:cstheme="minorBidi"/>
                <w:sz w:val="20"/>
                <w:szCs w:val="22"/>
              </w:rPr>
              <w:t>57 Xpert machines available in the country</w:t>
            </w:r>
            <w:r>
              <w:rPr>
                <w:rFonts w:asciiTheme="minorHAnsi" w:hAnsiTheme="minorHAnsi" w:cstheme="minorBidi"/>
                <w:sz w:val="20"/>
                <w:szCs w:val="22"/>
              </w:rPr>
              <w:t xml:space="preserve"> in all districts, including in the prisons sector, Aids Laboratory and Transnistria. </w:t>
            </w:r>
            <w:r>
              <w:rPr>
                <w:rFonts w:asciiTheme="minorHAnsi" w:hAnsiTheme="minorHAnsi" w:cstheme="minorBidi"/>
                <w:sz w:val="20"/>
                <w:szCs w:val="22"/>
              </w:rPr>
              <w:lastRenderedPageBreak/>
              <w:t xml:space="preserve">These can be used </w:t>
            </w:r>
            <w:r w:rsidRPr="009B7CC7">
              <w:rPr>
                <w:rFonts w:asciiTheme="minorHAnsi" w:hAnsiTheme="minorHAnsi" w:cstheme="minorBidi"/>
                <w:sz w:val="20"/>
                <w:szCs w:val="22"/>
              </w:rPr>
              <w:t>as multi-disease diagnostic platforms to ensure early diagnosis of TB, early infant diagnosis and viral load in HIV.</w:t>
            </w:r>
            <w:r>
              <w:rPr>
                <w:rFonts w:asciiTheme="minorHAnsi" w:hAnsiTheme="minorHAnsi" w:cstheme="minorBidi"/>
                <w:sz w:val="20"/>
                <w:szCs w:val="22"/>
              </w:rPr>
              <w:t xml:space="preserve"> In times of Covid, the country has already requested </w:t>
            </w:r>
            <w:r w:rsidR="00A42DB1">
              <w:rPr>
                <w:rFonts w:asciiTheme="minorHAnsi" w:hAnsiTheme="minorHAnsi" w:cstheme="minorBidi"/>
                <w:sz w:val="20"/>
                <w:szCs w:val="22"/>
              </w:rPr>
              <w:t>buying</w:t>
            </w:r>
            <w:r>
              <w:rPr>
                <w:rFonts w:asciiTheme="minorHAnsi" w:hAnsiTheme="minorHAnsi" w:cstheme="minorBidi"/>
                <w:sz w:val="20"/>
                <w:szCs w:val="22"/>
              </w:rPr>
              <w:t xml:space="preserve"> Xpert cartridges for Covid from savings of the current grant which will allow for test availability throughout the country compared to highly centralized lab capacity now available in just a few public and private labs. </w:t>
            </w:r>
            <w:r w:rsidRPr="009B7CC7">
              <w:rPr>
                <w:rFonts w:asciiTheme="minorHAnsi" w:hAnsiTheme="minorHAnsi" w:cstheme="minorBidi"/>
                <w:sz w:val="20"/>
                <w:szCs w:val="22"/>
              </w:rPr>
              <w:t xml:space="preserve"> Another point of consolidation that will generate efficiencies is integration of the TB sample transportation system into the general national laboratory system.</w:t>
            </w:r>
          </w:p>
          <w:p w14:paraId="7161645E" w14:textId="0EAB0408" w:rsidR="009B7CC7" w:rsidRPr="009B7CC7" w:rsidRDefault="009B7CC7" w:rsidP="004734A5">
            <w:pPr>
              <w:pStyle w:val="NormalWeb"/>
              <w:spacing w:after="0" w:line="240" w:lineRule="auto"/>
              <w:jc w:val="both"/>
              <w:rPr>
                <w:rFonts w:asciiTheme="minorHAnsi" w:hAnsiTheme="minorHAnsi" w:cstheme="minorBidi"/>
                <w:b/>
                <w:sz w:val="20"/>
                <w:szCs w:val="22"/>
              </w:rPr>
            </w:pPr>
            <w:r w:rsidRPr="009B7CC7">
              <w:rPr>
                <w:rFonts w:asciiTheme="minorHAnsi" w:hAnsiTheme="minorHAnsi" w:cstheme="minorBidi"/>
                <w:sz w:val="20"/>
                <w:szCs w:val="22"/>
              </w:rPr>
              <w:t xml:space="preserve"> </w:t>
            </w:r>
          </w:p>
          <w:p w14:paraId="4420B58F" w14:textId="4616BE6E" w:rsidR="009B7CC7" w:rsidRDefault="009B7CC7" w:rsidP="004734A5">
            <w:pPr>
              <w:spacing w:after="0" w:line="240" w:lineRule="auto"/>
              <w:rPr>
                <w:rFonts w:cstheme="minorHAnsi"/>
                <w:color w:val="000000"/>
                <w:sz w:val="20"/>
                <w:lang w:val="en-GB"/>
              </w:rPr>
            </w:pPr>
            <w:r w:rsidRPr="009B7CC7">
              <w:rPr>
                <w:rFonts w:cstheme="minorHAnsi"/>
                <w:b/>
                <w:sz w:val="20"/>
              </w:rPr>
              <w:t xml:space="preserve">Links with the broader health systems: </w:t>
            </w:r>
            <w:r w:rsidRPr="009B7CC7">
              <w:rPr>
                <w:rFonts w:cstheme="minorHAnsi"/>
                <w:color w:val="000000"/>
                <w:sz w:val="20"/>
                <w:lang w:val="en-GB"/>
              </w:rPr>
              <w:t>The funding request has a major focus on strengthening sustainability, and in this context includes many interventions to strengthen community systems as well as health systems beyond the specific area of HIV and TB. These include:</w:t>
            </w:r>
          </w:p>
          <w:p w14:paraId="2C92A387" w14:textId="5AA27D43" w:rsidR="009B7CC7" w:rsidRDefault="009B7CC7" w:rsidP="004734A5">
            <w:pPr>
              <w:pStyle w:val="ListParagraph"/>
              <w:numPr>
                <w:ilvl w:val="0"/>
                <w:numId w:val="48"/>
              </w:numPr>
              <w:spacing w:after="0" w:line="240" w:lineRule="auto"/>
              <w:jc w:val="both"/>
              <w:rPr>
                <w:rFonts w:cstheme="minorHAnsi"/>
                <w:color w:val="000000"/>
                <w:sz w:val="20"/>
              </w:rPr>
            </w:pPr>
            <w:r w:rsidRPr="009B7CC7">
              <w:rPr>
                <w:rFonts w:cstheme="minorHAnsi"/>
                <w:color w:val="000000"/>
                <w:sz w:val="20"/>
              </w:rPr>
              <w:t xml:space="preserve">Removing human rights-related barriers to services for KPs – such as interventions to </w:t>
            </w:r>
            <w:r w:rsidRPr="009B7CC7">
              <w:rPr>
                <w:rFonts w:cstheme="minorHAnsi"/>
                <w:b/>
                <w:bCs/>
                <w:i/>
                <w:iCs/>
                <w:color w:val="000000"/>
                <w:sz w:val="20"/>
              </w:rPr>
              <w:t>reduce stigma and discrimination</w:t>
            </w:r>
            <w:r w:rsidRPr="009B7CC7">
              <w:rPr>
                <w:rFonts w:cstheme="minorHAnsi"/>
                <w:color w:val="000000"/>
                <w:sz w:val="20"/>
              </w:rPr>
              <w:t xml:space="preserve"> of KPs and PLHIV or providing legal support to KPs, PLHIV and undocumented migrants – will also benefit their access to TB and overall health-care services, as well as social services and support systems;</w:t>
            </w:r>
          </w:p>
          <w:p w14:paraId="0ED6FBE3" w14:textId="700EC4D2" w:rsidR="009B7CC7" w:rsidRDefault="009B7CC7" w:rsidP="004734A5">
            <w:pPr>
              <w:pStyle w:val="ListParagraph"/>
              <w:numPr>
                <w:ilvl w:val="0"/>
                <w:numId w:val="48"/>
              </w:numPr>
              <w:spacing w:after="0" w:line="240" w:lineRule="auto"/>
              <w:jc w:val="both"/>
              <w:rPr>
                <w:rFonts w:cstheme="minorHAnsi"/>
                <w:color w:val="000000"/>
                <w:sz w:val="20"/>
              </w:rPr>
            </w:pPr>
            <w:r w:rsidRPr="009B7CC7">
              <w:rPr>
                <w:rFonts w:cstheme="minorHAnsi"/>
                <w:b/>
                <w:bCs/>
                <w:i/>
                <w:iCs/>
                <w:color w:val="000000"/>
                <w:sz w:val="20"/>
              </w:rPr>
              <w:t>Strengthening social contracting</w:t>
            </w:r>
            <w:r w:rsidRPr="009B7CC7">
              <w:rPr>
                <w:rFonts w:cstheme="minorHAnsi"/>
                <w:color w:val="000000"/>
                <w:sz w:val="20"/>
              </w:rPr>
              <w:t xml:space="preserve"> will also benefit NGO service delivery to KPs in other areas, including TB, HCV, sexual and reproductive health, and harm reduction programs;</w:t>
            </w:r>
          </w:p>
          <w:p w14:paraId="0E3A05E0" w14:textId="22D522D4" w:rsidR="000E0ACF" w:rsidRPr="009B7CC7" w:rsidRDefault="009B7CC7" w:rsidP="00B772D6">
            <w:pPr>
              <w:pStyle w:val="ListParagraph"/>
              <w:numPr>
                <w:ilvl w:val="0"/>
                <w:numId w:val="48"/>
              </w:numPr>
              <w:spacing w:after="0" w:line="240" w:lineRule="auto"/>
              <w:jc w:val="both"/>
              <w:rPr>
                <w:rFonts w:cstheme="minorHAnsi"/>
                <w:color w:val="000000"/>
                <w:sz w:val="20"/>
              </w:rPr>
            </w:pPr>
            <w:r w:rsidRPr="009B7CC7">
              <w:rPr>
                <w:rFonts w:cstheme="minorHAnsi"/>
                <w:color w:val="000000"/>
                <w:sz w:val="20"/>
              </w:rPr>
              <w:t xml:space="preserve">The overall strong focus on strengthening </w:t>
            </w:r>
            <w:r w:rsidRPr="009B7CC7">
              <w:rPr>
                <w:rFonts w:cstheme="minorHAnsi"/>
                <w:b/>
                <w:bCs/>
                <w:i/>
                <w:iCs/>
                <w:color w:val="000000"/>
                <w:sz w:val="20"/>
              </w:rPr>
              <w:t>community-based interventions</w:t>
            </w:r>
            <w:r w:rsidRPr="009B7CC7">
              <w:rPr>
                <w:rFonts w:cstheme="minorHAnsi"/>
                <w:color w:val="000000"/>
                <w:sz w:val="20"/>
              </w:rPr>
              <w:t xml:space="preserve"> will benefit health and social programs for key and vulnerable populations beyond HIV, TB and broader health issues. This includes also social support for outreach work among KPs that are currently under-served; interventions aimed to forge community linkages between NGOs and State institutions beyond the mere field of HIV and TB; and strengthening the institutional capacity of NGOs. All these interventions have a knock-on effect on broader health and community systems beyond HIV and TB, as they strengthen KPs’ and PLHIV’s access to health and social services, as well as sustainable financing for these services</w:t>
            </w:r>
          </w:p>
        </w:tc>
      </w:tr>
    </w:tbl>
    <w:p w14:paraId="3D813572" w14:textId="77777777" w:rsidR="000E0ACF" w:rsidRDefault="000E0ACF" w:rsidP="000E0ACF">
      <w:pPr>
        <w:pStyle w:val="ListParagraph"/>
        <w:spacing w:after="0"/>
        <w:ind w:left="360"/>
        <w:jc w:val="both"/>
        <w:rPr>
          <w:rFonts w:cs="Arial"/>
          <w:bCs/>
          <w:iCs/>
        </w:rPr>
      </w:pPr>
    </w:p>
    <w:p w14:paraId="74D7F96A" w14:textId="3308087C" w:rsidR="00C07F83" w:rsidRPr="00C07F83" w:rsidRDefault="00561767" w:rsidP="00F42E40">
      <w:pPr>
        <w:pStyle w:val="ListParagraph"/>
        <w:numPr>
          <w:ilvl w:val="0"/>
          <w:numId w:val="23"/>
        </w:numPr>
        <w:spacing w:after="0"/>
        <w:ind w:left="360"/>
        <w:jc w:val="both"/>
        <w:rPr>
          <w:rFonts w:cs="Arial"/>
          <w:bCs/>
          <w:iCs/>
        </w:rPr>
      </w:pPr>
      <w:r>
        <w:rPr>
          <w:rFonts w:cs="Arial"/>
          <w:bCs/>
          <w:iCs/>
        </w:rPr>
        <w:t>Summariz</w:t>
      </w:r>
      <w:r w:rsidR="00C07F83" w:rsidRPr="00C07F83">
        <w:rPr>
          <w:rFonts w:cs="Arial"/>
          <w:bCs/>
          <w:iCs/>
        </w:rPr>
        <w:t xml:space="preserve">e how the funding request complies with the </w:t>
      </w:r>
      <w:r w:rsidR="00F401B6">
        <w:rPr>
          <w:rFonts w:cs="Arial"/>
          <w:b/>
          <w:bCs/>
          <w:iCs/>
        </w:rPr>
        <w:t>application focus</w:t>
      </w:r>
      <w:r w:rsidR="00C07F83" w:rsidRPr="0096146C">
        <w:rPr>
          <w:rFonts w:cs="Arial"/>
          <w:b/>
          <w:bCs/>
          <w:iCs/>
        </w:rPr>
        <w:t xml:space="preserve"> requirements</w:t>
      </w:r>
      <w:r w:rsidR="00C07F83" w:rsidRPr="00C07F83">
        <w:rPr>
          <w:rFonts w:cs="Arial"/>
          <w:bCs/>
          <w:iCs/>
        </w:rPr>
        <w:t xml:space="preserve"> specified in the allocation letter.</w:t>
      </w:r>
    </w:p>
    <w:p w14:paraId="13E5C065" w14:textId="47583716" w:rsidR="00C07F83" w:rsidRDefault="00C07F83" w:rsidP="00BE0F0C">
      <w:pPr>
        <w:spacing w:after="0"/>
        <w:rPr>
          <w:rFonts w:cs="Arial"/>
        </w:rPr>
      </w:pPr>
    </w:p>
    <w:tbl>
      <w:tblPr>
        <w:tblStyle w:val="TableGrid"/>
        <w:tblW w:w="0" w:type="auto"/>
        <w:tblLook w:val="04A0" w:firstRow="1" w:lastRow="0" w:firstColumn="1" w:lastColumn="0" w:noHBand="0" w:noVBand="1"/>
      </w:tblPr>
      <w:tblGrid>
        <w:gridCol w:w="10456"/>
      </w:tblGrid>
      <w:tr w:rsidR="00C07F83" w14:paraId="4DBEFCEF" w14:textId="77777777" w:rsidTr="00C07F83">
        <w:tc>
          <w:tcPr>
            <w:tcW w:w="10456" w:type="dxa"/>
          </w:tcPr>
          <w:p w14:paraId="4A2C3404" w14:textId="77777777" w:rsidR="00C07F83" w:rsidRPr="00B8478D" w:rsidRDefault="00B8478D" w:rsidP="00C07F83">
            <w:pPr>
              <w:rPr>
                <w:rFonts w:asciiTheme="minorHAnsi" w:hAnsiTheme="minorHAnsi" w:cstheme="minorHAnsi"/>
                <w:color w:val="000000"/>
                <w:sz w:val="20"/>
              </w:rPr>
            </w:pPr>
            <w:r w:rsidRPr="00B8478D">
              <w:rPr>
                <w:rFonts w:asciiTheme="minorHAnsi" w:hAnsiTheme="minorHAnsi" w:cstheme="minorHAnsi"/>
                <w:color w:val="000000"/>
                <w:sz w:val="20"/>
              </w:rPr>
              <w:t>The Funding request is fully in line with the requirements specified in the allocation letter.</w:t>
            </w:r>
          </w:p>
          <w:p w14:paraId="72342A43" w14:textId="77777777" w:rsidR="00B8478D" w:rsidRDefault="00B8478D" w:rsidP="00B8478D">
            <w:pPr>
              <w:rPr>
                <w:rFonts w:asciiTheme="minorHAnsi" w:hAnsiTheme="minorHAnsi" w:cstheme="minorHAnsi"/>
                <w:color w:val="000000"/>
                <w:sz w:val="20"/>
              </w:rPr>
            </w:pPr>
            <w:r w:rsidRPr="00B8478D">
              <w:rPr>
                <w:rFonts w:asciiTheme="minorHAnsi" w:hAnsiTheme="minorHAnsi" w:cstheme="minorHAnsi"/>
                <w:color w:val="000000"/>
                <w:sz w:val="20"/>
              </w:rPr>
              <w:t>TB and HIV service interventions are evidence-based programs for key and vulnerable populations, as p</w:t>
            </w:r>
            <w:r>
              <w:rPr>
                <w:rFonts w:asciiTheme="minorHAnsi" w:hAnsiTheme="minorHAnsi" w:cstheme="minorHAnsi"/>
                <w:color w:val="000000"/>
                <w:sz w:val="20"/>
              </w:rPr>
              <w:t xml:space="preserve">er WHO, Stop TB Partnership </w:t>
            </w:r>
            <w:r w:rsidRPr="00B8478D">
              <w:rPr>
                <w:rFonts w:asciiTheme="minorHAnsi" w:hAnsiTheme="minorHAnsi" w:cstheme="minorHAnsi"/>
                <w:color w:val="000000"/>
                <w:sz w:val="20"/>
              </w:rPr>
              <w:t>and UNAIDS guidance</w:t>
            </w:r>
            <w:r>
              <w:rPr>
                <w:rFonts w:asciiTheme="minorHAnsi" w:hAnsiTheme="minorHAnsi" w:cstheme="minorHAnsi"/>
                <w:color w:val="000000"/>
                <w:sz w:val="20"/>
              </w:rPr>
              <w:t xml:space="preserve"> and aligned to the highest impact interventions as outlined in Optima TB and Optima HIV studies.</w:t>
            </w:r>
          </w:p>
          <w:p w14:paraId="22016E5D" w14:textId="7FBD1329" w:rsidR="00B772D6" w:rsidRDefault="00B8478D" w:rsidP="00B772D6">
            <w:pPr>
              <w:jc w:val="both"/>
              <w:rPr>
                <w:rFonts w:asciiTheme="minorHAnsi" w:hAnsiTheme="minorHAnsi" w:cstheme="minorHAnsi"/>
                <w:color w:val="000000"/>
                <w:sz w:val="20"/>
              </w:rPr>
            </w:pPr>
            <w:r>
              <w:rPr>
                <w:rFonts w:asciiTheme="minorHAnsi" w:hAnsiTheme="minorHAnsi" w:cstheme="minorHAnsi"/>
                <w:color w:val="000000"/>
                <w:sz w:val="20"/>
              </w:rPr>
              <w:t xml:space="preserve">The funding request includes effort to further strengthen screening of high-risk groups including through outreach and community bases approaches and using digital x-rays and rapid diagnostics with particular focus on Transnistria. The funding request focuses on </w:t>
            </w:r>
            <w:r w:rsidR="00B772D6">
              <w:rPr>
                <w:rFonts w:asciiTheme="minorHAnsi" w:hAnsiTheme="minorHAnsi" w:cstheme="minorHAnsi"/>
                <w:color w:val="000000"/>
                <w:sz w:val="20"/>
              </w:rPr>
              <w:t>acceleration</w:t>
            </w:r>
            <w:r>
              <w:rPr>
                <w:rFonts w:asciiTheme="minorHAnsi" w:hAnsiTheme="minorHAnsi" w:cstheme="minorHAnsi"/>
                <w:color w:val="000000"/>
                <w:sz w:val="20"/>
              </w:rPr>
              <w:t xml:space="preserve"> of transition to rapid all-oral treatment regimens and universal to these will need further decentralized models of care and more patient support for most vulnerable patients in communities where they live. Therefore</w:t>
            </w:r>
            <w:r w:rsidR="00B772D6">
              <w:rPr>
                <w:rFonts w:asciiTheme="minorHAnsi" w:hAnsiTheme="minorHAnsi" w:cstheme="minorHAnsi"/>
                <w:color w:val="000000"/>
                <w:sz w:val="20"/>
              </w:rPr>
              <w:t>,</w:t>
            </w:r>
            <w:r>
              <w:rPr>
                <w:rFonts w:asciiTheme="minorHAnsi" w:hAnsiTheme="minorHAnsi" w:cstheme="minorHAnsi"/>
                <w:color w:val="000000"/>
                <w:sz w:val="20"/>
              </w:rPr>
              <w:t xml:space="preserve"> the funding request include</w:t>
            </w:r>
            <w:r w:rsidR="00B772D6">
              <w:rPr>
                <w:rFonts w:asciiTheme="minorHAnsi" w:hAnsiTheme="minorHAnsi" w:cstheme="minorHAnsi"/>
                <w:color w:val="000000"/>
                <w:sz w:val="20"/>
              </w:rPr>
              <w:t>s</w:t>
            </w:r>
            <w:r>
              <w:rPr>
                <w:rFonts w:asciiTheme="minorHAnsi" w:hAnsiTheme="minorHAnsi" w:cstheme="minorHAnsi"/>
                <w:color w:val="000000"/>
                <w:sz w:val="20"/>
              </w:rPr>
              <w:t xml:space="preserve"> stronger focus on CSO-led activities that will provide support to patients in communities through more comprehensive approaches compared to current grant, including case-management, community-based DOT, home-based DOT and </w:t>
            </w:r>
            <w:r w:rsidR="00B772D6">
              <w:rPr>
                <w:rFonts w:asciiTheme="minorHAnsi" w:hAnsiTheme="minorHAnsi" w:cstheme="minorHAnsi"/>
                <w:color w:val="000000"/>
                <w:sz w:val="20"/>
              </w:rPr>
              <w:t xml:space="preserve">digital adherence strategies. </w:t>
            </w:r>
            <w:r>
              <w:rPr>
                <w:rFonts w:asciiTheme="minorHAnsi" w:hAnsiTheme="minorHAnsi" w:cstheme="minorHAnsi"/>
                <w:color w:val="000000"/>
                <w:sz w:val="20"/>
              </w:rPr>
              <w:t xml:space="preserve"> </w:t>
            </w:r>
            <w:r w:rsidR="00B772D6" w:rsidRPr="00B772D6">
              <w:rPr>
                <w:rFonts w:asciiTheme="minorHAnsi" w:hAnsiTheme="minorHAnsi" w:cstheme="minorHAnsi"/>
                <w:color w:val="000000"/>
                <w:sz w:val="20"/>
              </w:rPr>
              <w:t>All patients with DR-TB will be provided with comprehensive package of support</w:t>
            </w:r>
            <w:r w:rsidR="00B772D6">
              <w:rPr>
                <w:rFonts w:asciiTheme="minorHAnsi" w:hAnsiTheme="minorHAnsi" w:cstheme="minorHAnsi"/>
                <w:color w:val="000000"/>
                <w:sz w:val="20"/>
              </w:rPr>
              <w:t>ive</w:t>
            </w:r>
            <w:r w:rsidR="00B772D6" w:rsidRPr="00B772D6">
              <w:rPr>
                <w:rFonts w:asciiTheme="minorHAnsi" w:hAnsiTheme="minorHAnsi" w:cstheme="minorHAnsi"/>
                <w:color w:val="000000"/>
                <w:sz w:val="20"/>
              </w:rPr>
              <w:t xml:space="preserve"> services to improve treatment adherence and best clinical outcomes for patients.</w:t>
            </w:r>
            <w:r w:rsidR="00B772D6">
              <w:rPr>
                <w:rFonts w:asciiTheme="minorHAnsi" w:hAnsiTheme="minorHAnsi" w:cstheme="minorHAnsi"/>
                <w:color w:val="000000"/>
                <w:sz w:val="20"/>
              </w:rPr>
              <w:t xml:space="preserve"> To sustain focus on key populations in Transnistria, the patient support package will also include patient incentives, because of ongoing challenges for these to be taken over by the de facto authorities.</w:t>
            </w:r>
          </w:p>
          <w:p w14:paraId="15F4CFCD" w14:textId="202737A5" w:rsidR="00B772D6" w:rsidRDefault="00B772D6" w:rsidP="00B772D6">
            <w:pPr>
              <w:jc w:val="both"/>
              <w:rPr>
                <w:rFonts w:asciiTheme="minorHAnsi" w:hAnsiTheme="minorHAnsi" w:cstheme="minorHAnsi"/>
                <w:color w:val="000000"/>
                <w:sz w:val="20"/>
              </w:rPr>
            </w:pPr>
            <w:r>
              <w:rPr>
                <w:rFonts w:asciiTheme="minorHAnsi" w:hAnsiTheme="minorHAnsi" w:cstheme="minorHAnsi"/>
                <w:color w:val="000000"/>
                <w:sz w:val="20"/>
              </w:rPr>
              <w:t xml:space="preserve">The HIV component is primarily focused on prevention and testing services and improving cascade of care for key populations. </w:t>
            </w:r>
            <w:r w:rsidR="004A7E7B">
              <w:rPr>
                <w:rFonts w:asciiTheme="minorHAnsi" w:hAnsiTheme="minorHAnsi" w:cstheme="minorHAnsi"/>
                <w:color w:val="000000"/>
                <w:sz w:val="20"/>
              </w:rPr>
              <w:t>The Government takes over fully the cost of ART, so that the funding allocation can focus on service provision to key populations and removing service delivery bottlenecks and support the health system capacity to improve the 90-90-90 cascade for key populations.</w:t>
            </w:r>
          </w:p>
          <w:p w14:paraId="43DEA34A" w14:textId="672EB93D" w:rsidR="00B772D6" w:rsidRDefault="00B772D6" w:rsidP="00B772D6">
            <w:pPr>
              <w:jc w:val="both"/>
              <w:rPr>
                <w:rFonts w:asciiTheme="minorHAnsi" w:hAnsiTheme="minorHAnsi" w:cstheme="minorHAnsi"/>
                <w:color w:val="000000"/>
                <w:sz w:val="20"/>
              </w:rPr>
            </w:pPr>
            <w:r>
              <w:rPr>
                <w:rFonts w:asciiTheme="minorHAnsi" w:hAnsiTheme="minorHAnsi" w:cstheme="minorHAnsi"/>
                <w:color w:val="000000"/>
                <w:sz w:val="20"/>
              </w:rPr>
              <w:t>The RRSH request is primarily focused on improving the overall program outcomes for key and vulnerable populations and support scale-up efficiency and alignment of interventions.  A strong focus on models of people-centered care, decentralization, service packages, quality of care and integration and capacity building of both health and CSO providers will lead to better services for key populations.</w:t>
            </w:r>
          </w:p>
          <w:p w14:paraId="51EEB5BD" w14:textId="3637B5A9" w:rsidR="00B772D6" w:rsidRPr="00B8478D" w:rsidRDefault="00B772D6" w:rsidP="00A42DB1">
            <w:pPr>
              <w:jc w:val="both"/>
              <w:rPr>
                <w:rFonts w:cs="Arial"/>
                <w:b/>
              </w:rPr>
            </w:pPr>
            <w:r>
              <w:rPr>
                <w:rFonts w:asciiTheme="minorHAnsi" w:hAnsiTheme="minorHAnsi" w:cstheme="minorHAnsi"/>
                <w:color w:val="000000"/>
                <w:sz w:val="20"/>
              </w:rPr>
              <w:t xml:space="preserve">Finally, community systems advocacy, social mobilization and community-based monitoring and work around stigma will be fully implemented by non-government actors to remove the remaining barriers and inequities in access.  </w:t>
            </w:r>
          </w:p>
        </w:tc>
      </w:tr>
    </w:tbl>
    <w:p w14:paraId="7E6105F2" w14:textId="77777777" w:rsidR="00C07F83" w:rsidRPr="00B271DB" w:rsidRDefault="00C07F83" w:rsidP="00485066">
      <w:pPr>
        <w:pStyle w:val="ListParagraph"/>
        <w:ind w:left="360"/>
        <w:rPr>
          <w:rFonts w:cs="Arial"/>
          <w:bCs/>
        </w:rPr>
      </w:pPr>
    </w:p>
    <w:p w14:paraId="7A1FC4BA" w14:textId="4E7FF184" w:rsidR="00172EDE" w:rsidRPr="00172EDE" w:rsidRDefault="00172EDE" w:rsidP="00F42E40">
      <w:pPr>
        <w:pStyle w:val="ListParagraph"/>
        <w:numPr>
          <w:ilvl w:val="0"/>
          <w:numId w:val="23"/>
        </w:numPr>
        <w:ind w:left="360"/>
        <w:jc w:val="both"/>
        <w:rPr>
          <w:rFonts w:eastAsia="Times New Roman" w:cs="Arial"/>
        </w:rPr>
      </w:pPr>
      <w:r w:rsidRPr="00172EDE">
        <w:t xml:space="preserve">Explain how this funding request reflects </w:t>
      </w:r>
      <w:r w:rsidRPr="00172EDE">
        <w:rPr>
          <w:b/>
          <w:bCs/>
        </w:rPr>
        <w:t>value for money</w:t>
      </w:r>
      <w:r w:rsidRPr="00172EDE">
        <w:t xml:space="preserve">, including examples of improvement in value for money compared to the current allocation period. To respond, refer to the Instructions for the aspects of value for money that should be considered. </w:t>
      </w:r>
    </w:p>
    <w:p w14:paraId="372F75AA" w14:textId="4A825384" w:rsidR="00485066" w:rsidRPr="001D57CE" w:rsidRDefault="00485066" w:rsidP="00BE0F0C">
      <w:pPr>
        <w:pStyle w:val="ListParagraph"/>
        <w:spacing w:after="0" w:line="260" w:lineRule="atLeast"/>
        <w:rPr>
          <w:rFonts w:cs="Arial"/>
        </w:rPr>
      </w:pPr>
    </w:p>
    <w:tbl>
      <w:tblPr>
        <w:tblStyle w:val="TableGrid"/>
        <w:tblW w:w="0" w:type="auto"/>
        <w:tblLook w:val="04A0" w:firstRow="1" w:lastRow="0" w:firstColumn="1" w:lastColumn="0" w:noHBand="0" w:noVBand="1"/>
      </w:tblPr>
      <w:tblGrid>
        <w:gridCol w:w="10456"/>
      </w:tblGrid>
      <w:tr w:rsidR="00485066" w:rsidRPr="001D57CE" w14:paraId="7F7FF100" w14:textId="77777777" w:rsidTr="005279BC">
        <w:tc>
          <w:tcPr>
            <w:tcW w:w="10790" w:type="dxa"/>
          </w:tcPr>
          <w:p w14:paraId="440CB9C7" w14:textId="77777777" w:rsidR="00253CE0" w:rsidRDefault="00253CE0" w:rsidP="00253CE0">
            <w:pPr>
              <w:pStyle w:val="Default"/>
              <w:jc w:val="both"/>
              <w:rPr>
                <w:sz w:val="20"/>
                <w:szCs w:val="20"/>
              </w:rPr>
            </w:pPr>
            <w:r>
              <w:rPr>
                <w:sz w:val="20"/>
                <w:szCs w:val="20"/>
              </w:rPr>
              <w:t>The funding request integrates Global Fund supported services into the national health systems, provide synergies with investments from domestic government, and fills resource gaps critical to ending HIV and TB epidemics in Moldova. It balances the use of Global Fund investments to advance disease control and meet global targets while also building the capacity of national disease programs and health systems to sustain achievements in the future</w:t>
            </w:r>
          </w:p>
          <w:p w14:paraId="373FE9AD" w14:textId="77777777" w:rsidR="00253CE0" w:rsidRDefault="00253CE0" w:rsidP="00253CE0">
            <w:pPr>
              <w:pStyle w:val="Default"/>
              <w:rPr>
                <w:sz w:val="20"/>
                <w:szCs w:val="20"/>
              </w:rPr>
            </w:pPr>
          </w:p>
          <w:p w14:paraId="29F45848" w14:textId="33F58420" w:rsidR="00253CE0" w:rsidRDefault="00253CE0" w:rsidP="00253CE0">
            <w:pPr>
              <w:pStyle w:val="Default"/>
              <w:jc w:val="both"/>
              <w:rPr>
                <w:sz w:val="20"/>
                <w:szCs w:val="20"/>
              </w:rPr>
            </w:pPr>
            <w:r>
              <w:rPr>
                <w:b/>
                <w:sz w:val="20"/>
                <w:szCs w:val="20"/>
              </w:rPr>
              <w:lastRenderedPageBreak/>
              <w:t xml:space="preserve">Economy: </w:t>
            </w:r>
            <w:r>
              <w:rPr>
                <w:sz w:val="20"/>
                <w:szCs w:val="20"/>
              </w:rPr>
              <w:t xml:space="preserve">The funding request only includes a portion of MDR-TB drugs and confirmatory testing for HIV and TB (Xpert and DST), a portion of procurement of methadone (for Transnistria) and prevention commodities (syringes, condoms, and RDT for KPs). The major part of medicines is planned to be procured through national budget, including 100% of ART needs and </w:t>
            </w:r>
            <w:r w:rsidRPr="00A42DB1">
              <w:rPr>
                <w:sz w:val="20"/>
                <w:szCs w:val="20"/>
              </w:rPr>
              <w:t xml:space="preserve">60% of MDR TB medicines needs. The selection of health products us fully aligned with current WHO guidelines on rapid expansion of new MDR TB treatment regimens and technical guidance for HIV. Procurement plans and supply chain capacity is consistent with the programmatic targets set. PSM capacity has been assessed as high by both TB and HIV evaluation reports and GDF mission (Annex </w:t>
            </w:r>
            <w:r w:rsidR="00A42DB1" w:rsidRPr="00A42DB1">
              <w:rPr>
                <w:sz w:val="20"/>
                <w:szCs w:val="20"/>
              </w:rPr>
              <w:t xml:space="preserve">12 </w:t>
            </w:r>
            <w:r w:rsidRPr="00A42DB1">
              <w:rPr>
                <w:sz w:val="20"/>
                <w:szCs w:val="20"/>
              </w:rPr>
              <w:t>GDF Mission 2019), as</w:t>
            </w:r>
            <w:r>
              <w:rPr>
                <w:sz w:val="20"/>
                <w:szCs w:val="20"/>
              </w:rPr>
              <w:t xml:space="preserve"> no stock outs were reported for any commodities, and procurement practices considers bids only form WHO-prequalified suppliers key quality health products procured, transported, distributed and managed efficiently, reducing stock-outs and wastage has been highly rated by GDF mission for TB. Salaries are paid in line with national human resources procedures and salary scales. </w:t>
            </w:r>
            <w:r w:rsidR="00B8478D">
              <w:rPr>
                <w:sz w:val="20"/>
                <w:szCs w:val="20"/>
              </w:rPr>
              <w:t xml:space="preserve">Costing of service packages will allow alignment between different areas and simplification of approach for the NHIC to be able to contract them in a simplified approach that will be simpler in administration. </w:t>
            </w:r>
          </w:p>
          <w:p w14:paraId="1DEB921B" w14:textId="77777777" w:rsidR="00253CE0" w:rsidRDefault="00253CE0" w:rsidP="00253CE0">
            <w:pPr>
              <w:autoSpaceDE w:val="0"/>
              <w:autoSpaceDN w:val="0"/>
              <w:adjustRightInd w:val="0"/>
              <w:spacing w:after="0" w:line="240" w:lineRule="auto"/>
              <w:rPr>
                <w:rFonts w:cs="Arial"/>
                <w:color w:val="000000"/>
                <w:sz w:val="20"/>
                <w:szCs w:val="20"/>
              </w:rPr>
            </w:pPr>
            <w:r>
              <w:rPr>
                <w:rFonts w:cs="Arial"/>
                <w:color w:val="000000"/>
                <w:sz w:val="20"/>
                <w:szCs w:val="20"/>
              </w:rPr>
              <w:t xml:space="preserve"> </w:t>
            </w:r>
          </w:p>
          <w:p w14:paraId="7150E860" w14:textId="59315E01" w:rsidR="00253CE0" w:rsidRDefault="00253CE0" w:rsidP="00253CE0">
            <w:pPr>
              <w:autoSpaceDE w:val="0"/>
              <w:autoSpaceDN w:val="0"/>
              <w:adjustRightInd w:val="0"/>
              <w:spacing w:after="0" w:line="240" w:lineRule="auto"/>
              <w:jc w:val="both"/>
              <w:rPr>
                <w:rFonts w:cs="Arial"/>
                <w:color w:val="000000"/>
                <w:sz w:val="20"/>
                <w:szCs w:val="20"/>
              </w:rPr>
            </w:pPr>
            <w:r>
              <w:rPr>
                <w:rFonts w:cs="Arial"/>
                <w:color w:val="000000"/>
                <w:sz w:val="20"/>
                <w:szCs w:val="20"/>
              </w:rPr>
              <w:t>The technical group has made a decision to invest in innovative technologies of GeneXpert for fluoroquinolone rapid resistance profile to be placed in NRLs and AI for mobile CRX, to allow for higher CXR capacity and remove the delay in result interpretation related to need to do it centrally. At the same time and even more advance whole genome sequencing capacity was placed in the PAAR because of the choice between the two approaches to more advanced early diagnosis.  Moldova undertook significant measures to rationalize ART procurement, leading to much larger orders for some medications and thus to lower prices than had previously been paid through government purchasing</w:t>
            </w:r>
            <w:r>
              <w:t xml:space="preserve">. </w:t>
            </w:r>
            <w:r w:rsidRPr="00B8478D">
              <w:rPr>
                <w:rFonts w:cs="Arial"/>
                <w:color w:val="000000"/>
                <w:sz w:val="20"/>
                <w:szCs w:val="20"/>
              </w:rPr>
              <w:t>Similarly</w:t>
            </w:r>
            <w:r w:rsidR="00B8478D">
              <w:rPr>
                <w:rFonts w:cs="Arial"/>
                <w:color w:val="000000"/>
                <w:sz w:val="20"/>
                <w:szCs w:val="20"/>
              </w:rPr>
              <w:t>,</w:t>
            </w:r>
            <w:r w:rsidRPr="00B8478D">
              <w:rPr>
                <w:rFonts w:cs="Arial"/>
                <w:color w:val="000000"/>
                <w:sz w:val="20"/>
                <w:szCs w:val="20"/>
              </w:rPr>
              <w:t xml:space="preserve"> for TB </w:t>
            </w:r>
            <w:r w:rsidR="00B8478D">
              <w:rPr>
                <w:rFonts w:cs="Arial"/>
                <w:color w:val="000000"/>
                <w:sz w:val="20"/>
                <w:szCs w:val="20"/>
              </w:rPr>
              <w:t>services are</w:t>
            </w:r>
            <w:r>
              <w:rPr>
                <w:rFonts w:cs="Arial"/>
                <w:color w:val="000000"/>
                <w:sz w:val="20"/>
                <w:szCs w:val="20"/>
              </w:rPr>
              <w:t xml:space="preserve"> delivered in ways that reflect good use of existing infrastructure and health system capacity</w:t>
            </w:r>
          </w:p>
          <w:p w14:paraId="47EFB185" w14:textId="77777777" w:rsidR="00253CE0" w:rsidRDefault="00253CE0" w:rsidP="00253CE0">
            <w:pPr>
              <w:autoSpaceDE w:val="0"/>
              <w:autoSpaceDN w:val="0"/>
              <w:adjustRightInd w:val="0"/>
              <w:spacing w:after="0" w:line="240" w:lineRule="auto"/>
              <w:rPr>
                <w:rFonts w:cs="Arial"/>
                <w:color w:val="000000"/>
                <w:sz w:val="20"/>
                <w:szCs w:val="20"/>
              </w:rPr>
            </w:pPr>
          </w:p>
          <w:p w14:paraId="517A24E4" w14:textId="77777777" w:rsidR="00253CE0" w:rsidRDefault="00253CE0" w:rsidP="00253CE0">
            <w:pPr>
              <w:autoSpaceDE w:val="0"/>
              <w:autoSpaceDN w:val="0"/>
              <w:adjustRightInd w:val="0"/>
              <w:spacing w:after="0" w:line="240" w:lineRule="auto"/>
              <w:jc w:val="both"/>
              <w:rPr>
                <w:rFonts w:cs="Arial"/>
                <w:color w:val="000000"/>
                <w:sz w:val="20"/>
                <w:szCs w:val="20"/>
              </w:rPr>
            </w:pPr>
            <w:r>
              <w:rPr>
                <w:rFonts w:cs="Arial"/>
                <w:b/>
                <w:color w:val="000000"/>
                <w:sz w:val="20"/>
                <w:szCs w:val="20"/>
              </w:rPr>
              <w:t xml:space="preserve">Allocative efficiency: </w:t>
            </w:r>
            <w:r>
              <w:rPr>
                <w:rFonts w:cs="Arial"/>
                <w:color w:val="000000"/>
                <w:sz w:val="20"/>
                <w:szCs w:val="20"/>
              </w:rPr>
              <w:t xml:space="preserve">Available resources are strategically allocated across interventions, geographies and population groups to maximize impact of respective disease programs. The architecture of both national disease specific plans and GF grant was designed based on allocative efficiency modeling. In line with 2018 Optima TB findings the technical working group has prioritized increased focus on case-finding in key populations and stronger contact investigation with higher TPT uptake, rapid diagnostics, new treatment all-oral regimens with better clinical outcomes, decentralized care and people-centered approaches with diversified treatment administration modalities. Aligned with 2020 Optima HIV findings the funding request prioritizes removing barriers to scale-up ART to high levels, scale up investment in HIV testing and prevention of MSM and SWs. The funding request has prioritized investment in strengthening both health and community systems to address shared bottlenecks for the delivery of health services </w:t>
            </w:r>
          </w:p>
          <w:p w14:paraId="55E6160B" w14:textId="77777777" w:rsidR="00253CE0" w:rsidRDefault="00253CE0" w:rsidP="00253CE0">
            <w:pPr>
              <w:autoSpaceDE w:val="0"/>
              <w:autoSpaceDN w:val="0"/>
              <w:adjustRightInd w:val="0"/>
              <w:spacing w:after="0" w:line="240" w:lineRule="auto"/>
              <w:rPr>
                <w:rFonts w:cs="Arial"/>
                <w:color w:val="000000"/>
                <w:sz w:val="20"/>
                <w:szCs w:val="20"/>
              </w:rPr>
            </w:pPr>
            <w:r>
              <w:rPr>
                <w:rFonts w:cs="Arial"/>
                <w:color w:val="000000"/>
                <w:sz w:val="20"/>
                <w:szCs w:val="20"/>
              </w:rPr>
              <w:t xml:space="preserve"> </w:t>
            </w:r>
          </w:p>
          <w:p w14:paraId="76E88E51" w14:textId="77777777" w:rsidR="00253CE0" w:rsidRDefault="00253CE0" w:rsidP="00253CE0">
            <w:pPr>
              <w:pStyle w:val="Default"/>
              <w:jc w:val="both"/>
              <w:rPr>
                <w:sz w:val="20"/>
                <w:szCs w:val="20"/>
              </w:rPr>
            </w:pPr>
            <w:r>
              <w:rPr>
                <w:b/>
                <w:sz w:val="20"/>
                <w:szCs w:val="20"/>
              </w:rPr>
              <w:t xml:space="preserve">Technical efficiency: </w:t>
            </w:r>
            <w:r>
              <w:rPr>
                <w:sz w:val="20"/>
                <w:szCs w:val="20"/>
              </w:rPr>
              <w:t>the funding request plans for service delivery optimized through choice of appropriate strategies to provide quality services including task-shifting (HIV testing in primary care, HIV decentralization ART to district level), reducing unnecessary hospitalization for TB , and providing integrated service delivery through primary health care (PHC) facilities, community health workers, as well as community-led and based organizations by integrating TB and HIV services with hepatitis, OST in and case-management sand supportive services in integration demonstration sites.</w:t>
            </w:r>
          </w:p>
          <w:p w14:paraId="52A8AFF6" w14:textId="77777777" w:rsidR="00253CE0" w:rsidRDefault="00253CE0" w:rsidP="00253CE0">
            <w:pPr>
              <w:pStyle w:val="Default"/>
              <w:rPr>
                <w:sz w:val="20"/>
                <w:szCs w:val="20"/>
              </w:rPr>
            </w:pPr>
            <w:r>
              <w:rPr>
                <w:sz w:val="20"/>
                <w:szCs w:val="20"/>
              </w:rPr>
              <w:t xml:space="preserve"> </w:t>
            </w:r>
          </w:p>
          <w:p w14:paraId="2C7357FF" w14:textId="77777777" w:rsidR="00253CE0" w:rsidRDefault="00253CE0" w:rsidP="00253CE0">
            <w:pPr>
              <w:autoSpaceDE w:val="0"/>
              <w:autoSpaceDN w:val="0"/>
              <w:adjustRightInd w:val="0"/>
              <w:spacing w:after="0" w:line="240" w:lineRule="auto"/>
              <w:jc w:val="both"/>
              <w:rPr>
                <w:rFonts w:cs="Arial"/>
                <w:color w:val="000000"/>
                <w:sz w:val="20"/>
                <w:szCs w:val="20"/>
              </w:rPr>
            </w:pPr>
            <w:r>
              <w:rPr>
                <w:rFonts w:cs="Arial"/>
                <w:b/>
                <w:color w:val="000000"/>
                <w:sz w:val="20"/>
                <w:szCs w:val="20"/>
              </w:rPr>
              <w:t>Improve the efficiency of the health system by integrating parallel and duplicative disease specific management systems</w:t>
            </w:r>
            <w:r>
              <w:rPr>
                <w:rFonts w:cs="Arial"/>
                <w:color w:val="000000"/>
                <w:sz w:val="20"/>
                <w:szCs w:val="20"/>
              </w:rPr>
              <w:t>: taking advantage of the first TB/HIV joint funding request, it plans efforts to integrate TB and HIV disease programs at all levels: governance and national coordination under one umbrella, TB and HIV service delivery at community, primary and start phased scale-up of integration and of TB and HIV services and case-management at specialist outpatient levels, procurement through national public procurement agency</w:t>
            </w:r>
          </w:p>
          <w:p w14:paraId="60038D21" w14:textId="77777777" w:rsidR="00253CE0" w:rsidRDefault="00253CE0" w:rsidP="00253CE0">
            <w:pPr>
              <w:autoSpaceDE w:val="0"/>
              <w:autoSpaceDN w:val="0"/>
              <w:adjustRightInd w:val="0"/>
              <w:spacing w:after="0" w:line="240" w:lineRule="auto"/>
              <w:rPr>
                <w:rFonts w:cs="Arial"/>
                <w:color w:val="000000"/>
                <w:sz w:val="20"/>
                <w:szCs w:val="20"/>
              </w:rPr>
            </w:pPr>
          </w:p>
          <w:p w14:paraId="034A0D60" w14:textId="77777777" w:rsidR="00253CE0" w:rsidRDefault="00253CE0" w:rsidP="00253CE0">
            <w:pPr>
              <w:autoSpaceDE w:val="0"/>
              <w:autoSpaceDN w:val="0"/>
              <w:adjustRightInd w:val="0"/>
              <w:spacing w:after="0" w:line="240" w:lineRule="auto"/>
              <w:jc w:val="both"/>
              <w:rPr>
                <w:rFonts w:cs="Arial"/>
                <w:color w:val="000000"/>
                <w:sz w:val="20"/>
                <w:szCs w:val="20"/>
              </w:rPr>
            </w:pPr>
            <w:r>
              <w:rPr>
                <w:rFonts w:cs="Arial"/>
                <w:color w:val="000000"/>
                <w:sz w:val="20"/>
                <w:szCs w:val="20"/>
              </w:rPr>
              <w:t xml:space="preserve">Implementation arrangements are designed to minimize program management costs and respond to programmatic risks and bottlenecks. In response to GF request in allocation letter to submit a joint TB/HIV funding request with one PR, the CCM has nominated one Government PR PI CIMU HSP and one non-government SR PAS Center. Compared to current implementation arrangement with two local government and non-government organizations PRs (dual track finance), two separate TB/HIV and TB grants and three sub-recipients, this is a new slim implementation format. Civil society and community-based organizations will have roles of both service providers and CSS/HRG implementers. </w:t>
            </w:r>
          </w:p>
          <w:p w14:paraId="4AEFBBF2" w14:textId="77777777" w:rsidR="00253CE0" w:rsidRDefault="00253CE0" w:rsidP="00253CE0">
            <w:pPr>
              <w:pStyle w:val="Default"/>
              <w:rPr>
                <w:sz w:val="20"/>
                <w:szCs w:val="20"/>
              </w:rPr>
            </w:pPr>
          </w:p>
          <w:p w14:paraId="6A0A02DD" w14:textId="77777777" w:rsidR="00253CE0" w:rsidRDefault="00253CE0" w:rsidP="00253CE0">
            <w:pPr>
              <w:pStyle w:val="Default"/>
              <w:jc w:val="both"/>
              <w:rPr>
                <w:sz w:val="20"/>
                <w:szCs w:val="20"/>
              </w:rPr>
            </w:pPr>
            <w:r>
              <w:rPr>
                <w:b/>
                <w:sz w:val="20"/>
                <w:szCs w:val="20"/>
              </w:rPr>
              <w:t xml:space="preserve">Equity: </w:t>
            </w:r>
            <w:r>
              <w:rPr>
                <w:sz w:val="20"/>
                <w:szCs w:val="20"/>
              </w:rPr>
              <w:t xml:space="preserve">an analysis on populations with the highest disease burden and areas where newest infections occur for HIV to best of granularity (based on IBBS, Optima HIV modeling) and based on age, gender and geography at district level.  For TB the teams have sufficient epidemic understanding by age, gender, and geography, as well as some research and modelling data but insufficient granularity by key populations in terms of size estimations and disease burden, except for program data from current implementer. incidence and prevalence. Data for key populations for TB, human rights and gender barriers tools and designing a TB “find-treat-retain” cascade design is planned for year 1 and will inform better targeting and programming in years 2 and 3. Similarly for HIV, a key focus is understanding better the geographic distribution of both new transmissions and actively finding the existing HIV cases is a priority. In PAAR international technical assistance is included for designing cascade improvement strategy, to infuse fresh thinking into a mature program. </w:t>
            </w:r>
          </w:p>
          <w:p w14:paraId="1D1CC1DD" w14:textId="77777777" w:rsidR="00253CE0" w:rsidRDefault="00253CE0" w:rsidP="00253CE0">
            <w:pPr>
              <w:autoSpaceDE w:val="0"/>
              <w:autoSpaceDN w:val="0"/>
              <w:adjustRightInd w:val="0"/>
              <w:spacing w:after="0" w:line="240" w:lineRule="auto"/>
              <w:jc w:val="both"/>
              <w:rPr>
                <w:rFonts w:cs="Arial"/>
                <w:color w:val="000000"/>
                <w:sz w:val="20"/>
                <w:szCs w:val="20"/>
              </w:rPr>
            </w:pPr>
          </w:p>
          <w:p w14:paraId="01CCF755" w14:textId="29FCAFB5" w:rsidR="00485066" w:rsidRPr="001D57CE" w:rsidRDefault="00253CE0" w:rsidP="00A42DB1">
            <w:pPr>
              <w:autoSpaceDE w:val="0"/>
              <w:autoSpaceDN w:val="0"/>
              <w:adjustRightInd w:val="0"/>
              <w:spacing w:after="0" w:line="240" w:lineRule="auto"/>
              <w:jc w:val="both"/>
              <w:rPr>
                <w:rFonts w:cs="Arial"/>
              </w:rPr>
            </w:pPr>
            <w:r>
              <w:rPr>
                <w:rFonts w:cs="Arial"/>
                <w:color w:val="000000"/>
                <w:sz w:val="20"/>
                <w:szCs w:val="20"/>
              </w:rPr>
              <w:t xml:space="preserve">Global Fund investment focuses solely of services for most at-risk populations delivered by both CSOs and public health system and in programs to remove human rights and gender-related barriers they face A series of existing financial, human rights and gender-related barriers in service access, uptake and retention are highlighted in the context section and HRG component. Stigma remains an important barrier for both people affected by TB and HIV, especially in rural areas and a factor to be addressed as part of decentralization efforts. Human rights barriers are well documented for HIV and planned activities target their removal. For TB a CRG assessment will systematically document these barriers and CSO efforts will focus on addressing them in years 2 and 3. Resources have been planned to build and sustain community responses to promote service access, update and retention </w:t>
            </w:r>
          </w:p>
        </w:tc>
      </w:tr>
    </w:tbl>
    <w:p w14:paraId="6A4D81D0" w14:textId="1E01C444" w:rsidR="00485066" w:rsidRPr="00971DBD" w:rsidRDefault="00B654E1" w:rsidP="00A42DB1">
      <w:pPr>
        <w:pStyle w:val="ListParagraph"/>
        <w:rPr>
          <w:rFonts w:cs="Arial"/>
          <w:bCs/>
        </w:rPr>
      </w:pPr>
      <w:r>
        <w:rPr>
          <w:rFonts w:cs="Arial"/>
          <w:bCs/>
        </w:rPr>
        <w:lastRenderedPageBreak/>
        <w:t xml:space="preserve">  </w:t>
      </w:r>
      <w:r w:rsidRPr="00971DBD">
        <w:rPr>
          <w:rFonts w:cs="Arial"/>
          <w:bCs/>
        </w:rPr>
        <w:t xml:space="preserve">   </w:t>
      </w:r>
    </w:p>
    <w:p w14:paraId="283B565F" w14:textId="35B1B1E5" w:rsidR="001D57CE" w:rsidRPr="009A63DB" w:rsidRDefault="008D0B88" w:rsidP="009A63DB">
      <w:pPr>
        <w:pStyle w:val="Heading2"/>
        <w:keepLines w:val="0"/>
        <w:numPr>
          <w:ilvl w:val="1"/>
          <w:numId w:val="18"/>
        </w:numPr>
        <w:shd w:val="clear" w:color="auto" w:fill="D9D9D9"/>
        <w:spacing w:before="0" w:line="257" w:lineRule="auto"/>
        <w:jc w:val="both"/>
      </w:pPr>
      <w:r w:rsidRPr="009A63DB">
        <w:rPr>
          <w:rFonts w:eastAsia="Times New Roman"/>
          <w:bCs w:val="0"/>
          <w:lang w:val="en-GB"/>
        </w:rPr>
        <w:t xml:space="preserve">Matching Funds </w:t>
      </w:r>
      <w:r w:rsidR="00F401B6">
        <w:rPr>
          <w:rFonts w:eastAsia="Times New Roman"/>
          <w:bCs w:val="0"/>
          <w:lang w:val="en-GB"/>
        </w:rPr>
        <w:t>(if applicable)</w:t>
      </w:r>
    </w:p>
    <w:p w14:paraId="2F558209" w14:textId="3ADB073D" w:rsidR="00F112AD" w:rsidRDefault="00F112AD" w:rsidP="00882DC3">
      <w:pPr>
        <w:spacing w:after="0" w:line="257" w:lineRule="auto"/>
        <w:jc w:val="both"/>
        <w:rPr>
          <w:lang w:val="en-GB" w:eastAsia="en-GB"/>
        </w:rPr>
      </w:pPr>
      <w:r>
        <w:rPr>
          <w:lang w:val="en-GB" w:eastAsia="en-GB"/>
        </w:rPr>
        <w:t xml:space="preserve">This question should only be answered by applicants with designated matching funds, as indicated in the allocation letter. </w:t>
      </w:r>
    </w:p>
    <w:p w14:paraId="50CC60AB" w14:textId="77777777" w:rsidR="00F112AD" w:rsidRDefault="00F112AD" w:rsidP="00882DC3">
      <w:pPr>
        <w:spacing w:after="0" w:line="257" w:lineRule="auto"/>
        <w:jc w:val="both"/>
        <w:rPr>
          <w:lang w:val="en-GB" w:eastAsia="en-GB"/>
        </w:rPr>
      </w:pPr>
    </w:p>
    <w:p w14:paraId="107978CE" w14:textId="318D5F6E" w:rsidR="00BE0F0C" w:rsidRDefault="00F112AD" w:rsidP="00882DC3">
      <w:pPr>
        <w:spacing w:after="0" w:line="257" w:lineRule="auto"/>
        <w:jc w:val="both"/>
        <w:rPr>
          <w:rFonts w:cs="Arial"/>
          <w:bCs/>
        </w:rPr>
      </w:pPr>
      <w:r>
        <w:rPr>
          <w:lang w:val="en-GB" w:eastAsia="en-GB"/>
        </w:rPr>
        <w:t>D</w:t>
      </w:r>
      <w:r w:rsidR="00D276B4">
        <w:rPr>
          <w:lang w:val="en-GB" w:eastAsia="en-GB"/>
        </w:rPr>
        <w:t>escribe</w:t>
      </w:r>
      <w:r w:rsidR="00B2724B">
        <w:rPr>
          <w:lang w:val="en-GB" w:eastAsia="en-GB"/>
        </w:rPr>
        <w:t xml:space="preserve"> how</w:t>
      </w:r>
      <w:r w:rsidR="00D276B4">
        <w:rPr>
          <w:lang w:val="en-GB" w:eastAsia="en-GB"/>
        </w:rPr>
        <w:t xml:space="preserve"> the </w:t>
      </w:r>
      <w:r w:rsidR="00D276B4" w:rsidRPr="0096146C">
        <w:rPr>
          <w:b/>
          <w:lang w:val="en-GB" w:eastAsia="en-GB"/>
        </w:rPr>
        <w:t>programmatic and financial conditions</w:t>
      </w:r>
      <w:r w:rsidR="005028D9">
        <w:rPr>
          <w:lang w:val="en-GB" w:eastAsia="en-GB"/>
        </w:rPr>
        <w:t xml:space="preserve">, </w:t>
      </w:r>
      <w:r w:rsidR="00D276B4">
        <w:rPr>
          <w:lang w:val="en-GB" w:eastAsia="en-GB"/>
        </w:rPr>
        <w:t xml:space="preserve">as outlined in </w:t>
      </w:r>
      <w:r>
        <w:rPr>
          <w:lang w:val="en-GB" w:eastAsia="en-GB"/>
        </w:rPr>
        <w:t xml:space="preserve">the </w:t>
      </w:r>
      <w:r w:rsidR="009B1BDA">
        <w:rPr>
          <w:lang w:val="en-GB" w:eastAsia="en-GB"/>
        </w:rPr>
        <w:t>a</w:t>
      </w:r>
      <w:r w:rsidR="00D276B4">
        <w:rPr>
          <w:lang w:val="en-GB" w:eastAsia="en-GB"/>
        </w:rPr>
        <w:t xml:space="preserve">llocation </w:t>
      </w:r>
      <w:r w:rsidR="009B1BDA">
        <w:rPr>
          <w:lang w:val="en-GB" w:eastAsia="en-GB"/>
        </w:rPr>
        <w:t>l</w:t>
      </w:r>
      <w:r w:rsidR="00D276B4">
        <w:rPr>
          <w:lang w:val="en-GB" w:eastAsia="en-GB"/>
        </w:rPr>
        <w:t>ett</w:t>
      </w:r>
      <w:r w:rsidR="001D57CE">
        <w:rPr>
          <w:lang w:val="en-GB" w:eastAsia="en-GB"/>
        </w:rPr>
        <w:t>e</w:t>
      </w:r>
      <w:r w:rsidR="00D276B4">
        <w:rPr>
          <w:lang w:val="en-GB" w:eastAsia="en-GB"/>
        </w:rPr>
        <w:t>r</w:t>
      </w:r>
      <w:r w:rsidR="005028D9">
        <w:rPr>
          <w:lang w:val="en-GB"/>
        </w:rPr>
        <w:t xml:space="preserve">, </w:t>
      </w:r>
      <w:r w:rsidR="002624AD">
        <w:rPr>
          <w:lang w:val="en-GB" w:eastAsia="en-GB"/>
        </w:rPr>
        <w:t>have</w:t>
      </w:r>
      <w:r w:rsidR="005028D9">
        <w:rPr>
          <w:lang w:val="en-GB" w:eastAsia="en-GB"/>
        </w:rPr>
        <w:t xml:space="preserve"> been met</w:t>
      </w:r>
      <w:r w:rsidR="00DC7BE1">
        <w:rPr>
          <w:lang w:val="en-GB" w:eastAsia="en-GB"/>
        </w:rPr>
        <w:t>.</w:t>
      </w:r>
      <w:r w:rsidR="005028D9">
        <w:rPr>
          <w:lang w:val="en-GB" w:eastAsia="en-GB"/>
        </w:rPr>
        <w:t xml:space="preserve"> </w:t>
      </w:r>
    </w:p>
    <w:p w14:paraId="31C1A032" w14:textId="0AFDB40F" w:rsidR="006253D6" w:rsidRPr="00125D85" w:rsidRDefault="006253D6" w:rsidP="00882DC3">
      <w:pPr>
        <w:spacing w:after="0" w:line="257" w:lineRule="auto"/>
        <w:jc w:val="both"/>
        <w:rPr>
          <w:rFonts w:cs="Arial"/>
          <w:bCs/>
        </w:rPr>
      </w:pPr>
    </w:p>
    <w:tbl>
      <w:tblPr>
        <w:tblStyle w:val="TableGrid"/>
        <w:tblW w:w="0" w:type="auto"/>
        <w:tblLook w:val="04A0" w:firstRow="1" w:lastRow="0" w:firstColumn="1" w:lastColumn="0" w:noHBand="0" w:noVBand="1"/>
      </w:tblPr>
      <w:tblGrid>
        <w:gridCol w:w="10456"/>
      </w:tblGrid>
      <w:tr w:rsidR="006253D6" w14:paraId="7F8F06C0" w14:textId="77777777" w:rsidTr="005279BC">
        <w:tc>
          <w:tcPr>
            <w:tcW w:w="10790" w:type="dxa"/>
          </w:tcPr>
          <w:p w14:paraId="1F1C3A80" w14:textId="310B9F9F" w:rsidR="00397B91" w:rsidRDefault="00253CE0" w:rsidP="00253CE0">
            <w:pPr>
              <w:rPr>
                <w:rFonts w:cs="Arial"/>
              </w:rPr>
            </w:pPr>
            <w:r>
              <w:rPr>
                <w:rFonts w:cs="Arial"/>
              </w:rPr>
              <w:t>N/A</w:t>
            </w:r>
          </w:p>
        </w:tc>
      </w:tr>
    </w:tbl>
    <w:p w14:paraId="38A3CF94" w14:textId="7FBBD9D5" w:rsidR="004B4E06" w:rsidRDefault="004B4E06" w:rsidP="001F7F10">
      <w:pPr>
        <w:spacing w:after="160" w:line="0" w:lineRule="auto"/>
        <w:rPr>
          <w:rFonts w:cs="Arial"/>
          <w:szCs w:val="20"/>
        </w:rPr>
      </w:pPr>
    </w:p>
    <w:p w14:paraId="029FFBE8" w14:textId="7BC4C48C" w:rsidR="001F7F10" w:rsidRDefault="00397B91" w:rsidP="00397B91">
      <w:pPr>
        <w:tabs>
          <w:tab w:val="left" w:pos="921"/>
        </w:tabs>
        <w:spacing w:after="160" w:line="0" w:lineRule="auto"/>
        <w:rPr>
          <w:rFonts w:cs="Arial"/>
          <w:szCs w:val="20"/>
        </w:rPr>
      </w:pPr>
      <w:r>
        <w:rPr>
          <w:rFonts w:cs="Arial"/>
          <w:szCs w:val="20"/>
        </w:rPr>
        <w:tab/>
      </w:r>
    </w:p>
    <w:p w14:paraId="412779C7" w14:textId="14CC97B9" w:rsidR="00485066" w:rsidRPr="009A63DB" w:rsidRDefault="00824D66" w:rsidP="00971DBD">
      <w:pPr>
        <w:pStyle w:val="Heading1"/>
        <w:numPr>
          <w:ilvl w:val="0"/>
          <w:numId w:val="0"/>
        </w:numPr>
        <w:pBdr>
          <w:top w:val="single" w:sz="6" w:space="1" w:color="D9D9D9" w:themeColor="background1" w:themeShade="D9"/>
          <w:left w:val="single" w:sz="6" w:space="4" w:color="D9D9D9" w:themeColor="background1" w:themeShade="D9"/>
          <w:bottom w:val="single" w:sz="6" w:space="1" w:color="D9D9D9" w:themeColor="background1" w:themeShade="D9"/>
          <w:right w:val="single" w:sz="6" w:space="4" w:color="D9D9D9" w:themeColor="background1" w:themeShade="D9"/>
        </w:pBdr>
        <w:shd w:val="clear" w:color="auto" w:fill="D9D9D9" w:themeFill="background1" w:themeFillShade="D9"/>
        <w:spacing w:before="0" w:after="0"/>
        <w:jc w:val="both"/>
        <w:rPr>
          <w:b/>
          <w:sz w:val="30"/>
        </w:rPr>
      </w:pPr>
      <w:bookmarkStart w:id="8" w:name="_Toc7075896"/>
      <w:bookmarkStart w:id="9" w:name="_Toc7080092"/>
      <w:bookmarkStart w:id="10" w:name="_Toc7080213"/>
      <w:bookmarkStart w:id="11" w:name="_Toc7080228"/>
      <w:bookmarkStart w:id="12" w:name="_Toc7082335"/>
      <w:bookmarkStart w:id="13" w:name="_Toc1122238"/>
      <w:bookmarkStart w:id="14" w:name="_Toc1127667"/>
      <w:bookmarkStart w:id="15" w:name="_Toc5011519"/>
      <w:bookmarkStart w:id="16" w:name="_Toc5195533"/>
      <w:bookmarkStart w:id="17" w:name="_Toc6994679"/>
      <w:bookmarkStart w:id="18" w:name="_Toc7000520"/>
      <w:bookmarkStart w:id="19" w:name="_Toc7000630"/>
      <w:bookmarkStart w:id="20" w:name="_Toc7074796"/>
      <w:r>
        <w:rPr>
          <w:b/>
          <w:sz w:val="30"/>
        </w:rPr>
        <w:t xml:space="preserve">Section 2: </w:t>
      </w:r>
      <w:r w:rsidR="00485066" w:rsidRPr="009A63DB">
        <w:rPr>
          <w:b/>
          <w:sz w:val="30"/>
        </w:rPr>
        <w:t xml:space="preserve">Operationalization and Implementation Arrangements </w:t>
      </w:r>
    </w:p>
    <w:bookmarkEnd w:id="8"/>
    <w:bookmarkEnd w:id="9"/>
    <w:bookmarkEnd w:id="10"/>
    <w:bookmarkEnd w:id="11"/>
    <w:bookmarkEnd w:id="12"/>
    <w:bookmarkEnd w:id="13"/>
    <w:bookmarkEnd w:id="14"/>
    <w:bookmarkEnd w:id="15"/>
    <w:bookmarkEnd w:id="16"/>
    <w:bookmarkEnd w:id="17"/>
    <w:bookmarkEnd w:id="18"/>
    <w:bookmarkEnd w:id="19"/>
    <w:bookmarkEnd w:id="20"/>
    <w:p w14:paraId="45778DA3" w14:textId="77777777" w:rsidR="00AA45C3" w:rsidRDefault="00AA45C3" w:rsidP="00485066">
      <w:pPr>
        <w:spacing w:after="0"/>
        <w:contextualSpacing/>
        <w:rPr>
          <w:rFonts w:cs="Arial"/>
          <w:bCs/>
          <w:iCs/>
        </w:rPr>
      </w:pPr>
    </w:p>
    <w:p w14:paraId="2277A076" w14:textId="73847CB4" w:rsidR="00485066" w:rsidRDefault="00485066" w:rsidP="004619FD">
      <w:pPr>
        <w:spacing w:after="0"/>
        <w:contextualSpacing/>
        <w:jc w:val="both"/>
        <w:rPr>
          <w:rFonts w:cs="Arial"/>
          <w:bCs/>
          <w:iCs/>
        </w:rPr>
      </w:pPr>
      <w:r w:rsidRPr="001D57CE">
        <w:rPr>
          <w:rFonts w:cs="Arial"/>
          <w:bCs/>
          <w:iCs/>
        </w:rPr>
        <w:t>To respond</w:t>
      </w:r>
      <w:r w:rsidR="00A522BA">
        <w:rPr>
          <w:rFonts w:cs="Arial"/>
          <w:bCs/>
          <w:iCs/>
        </w:rPr>
        <w:t xml:space="preserve"> to the questions below</w:t>
      </w:r>
      <w:r w:rsidRPr="001D57CE">
        <w:rPr>
          <w:rFonts w:cs="Arial"/>
          <w:bCs/>
          <w:iCs/>
        </w:rPr>
        <w:t xml:space="preserve">, refer to the </w:t>
      </w:r>
      <w:r w:rsidRPr="00F62A97">
        <w:rPr>
          <w:rFonts w:cs="Arial"/>
          <w:i/>
        </w:rPr>
        <w:t>Instructions</w:t>
      </w:r>
      <w:r w:rsidR="000E0ACF">
        <w:rPr>
          <w:rFonts w:cs="Arial"/>
          <w:bCs/>
          <w:iCs/>
        </w:rPr>
        <w:t xml:space="preserve"> </w:t>
      </w:r>
      <w:r w:rsidR="00E46CA3">
        <w:rPr>
          <w:rFonts w:cs="Arial"/>
          <w:bCs/>
          <w:iCs/>
        </w:rPr>
        <w:t xml:space="preserve">and </w:t>
      </w:r>
      <w:r w:rsidR="002E1987">
        <w:rPr>
          <w:rFonts w:cs="Arial"/>
          <w:bCs/>
          <w:iCs/>
        </w:rPr>
        <w:t xml:space="preserve">an </w:t>
      </w:r>
      <w:r w:rsidR="00475BE9">
        <w:rPr>
          <w:rFonts w:cs="Arial"/>
          <w:bCs/>
          <w:iCs/>
        </w:rPr>
        <w:t xml:space="preserve">updated </w:t>
      </w:r>
      <w:r w:rsidR="0004628A">
        <w:rPr>
          <w:rFonts w:cs="Arial"/>
          <w:b/>
          <w:bCs/>
          <w:iCs/>
        </w:rPr>
        <w:t>I</w:t>
      </w:r>
      <w:r w:rsidR="000242DD" w:rsidRPr="00475BE9">
        <w:rPr>
          <w:rFonts w:cs="Arial"/>
          <w:b/>
          <w:bCs/>
          <w:iCs/>
        </w:rPr>
        <w:t xml:space="preserve">mplementation </w:t>
      </w:r>
      <w:r w:rsidR="0004628A">
        <w:rPr>
          <w:rFonts w:cs="Arial"/>
          <w:b/>
          <w:bCs/>
          <w:iCs/>
        </w:rPr>
        <w:t>A</w:t>
      </w:r>
      <w:r w:rsidR="0004628A" w:rsidRPr="00475BE9">
        <w:rPr>
          <w:rFonts w:cs="Arial"/>
          <w:b/>
          <w:bCs/>
          <w:iCs/>
        </w:rPr>
        <w:t xml:space="preserve">rrangement </w:t>
      </w:r>
      <w:r w:rsidR="0004628A">
        <w:rPr>
          <w:rFonts w:cs="Arial"/>
          <w:b/>
          <w:bCs/>
          <w:iCs/>
        </w:rPr>
        <w:t>M</w:t>
      </w:r>
      <w:r w:rsidR="0004628A" w:rsidRPr="00475BE9">
        <w:rPr>
          <w:rFonts w:cs="Arial"/>
          <w:b/>
          <w:bCs/>
          <w:iCs/>
        </w:rPr>
        <w:t>ap</w:t>
      </w:r>
      <w:r w:rsidR="000242DD">
        <w:rPr>
          <w:rStyle w:val="FootnoteReference"/>
          <w:rFonts w:cs="Arial"/>
          <w:bCs/>
          <w:iCs/>
        </w:rPr>
        <w:footnoteReference w:id="67"/>
      </w:r>
      <w:r w:rsidRPr="001D57CE">
        <w:rPr>
          <w:rFonts w:cs="Arial"/>
          <w:bCs/>
          <w:iCs/>
        </w:rPr>
        <w:t>.</w:t>
      </w:r>
    </w:p>
    <w:p w14:paraId="4B7380D8" w14:textId="2922C353" w:rsidR="00A375A9" w:rsidRDefault="00A375A9" w:rsidP="004619FD">
      <w:pPr>
        <w:spacing w:after="0"/>
        <w:contextualSpacing/>
        <w:jc w:val="both"/>
        <w:rPr>
          <w:rFonts w:cs="Arial"/>
          <w:bCs/>
          <w:iCs/>
        </w:rPr>
      </w:pPr>
    </w:p>
    <w:p w14:paraId="399C718E" w14:textId="41F15FFE" w:rsidR="00485066" w:rsidRPr="001D57CE" w:rsidRDefault="00485066" w:rsidP="00F42E40">
      <w:pPr>
        <w:pStyle w:val="ListParagraph"/>
        <w:numPr>
          <w:ilvl w:val="0"/>
          <w:numId w:val="20"/>
        </w:numPr>
        <w:spacing w:after="0" w:line="260" w:lineRule="atLeast"/>
        <w:rPr>
          <w:rFonts w:cs="Arial"/>
        </w:rPr>
      </w:pPr>
      <w:r w:rsidRPr="001D57CE">
        <w:rPr>
          <w:rFonts w:cs="Arial"/>
        </w:rPr>
        <w:t xml:space="preserve">Describe how the proposed </w:t>
      </w:r>
      <w:r w:rsidRPr="00F401B6">
        <w:rPr>
          <w:rFonts w:cs="Arial"/>
          <w:b/>
        </w:rPr>
        <w:t>implementation arrangements</w:t>
      </w:r>
      <w:r w:rsidRPr="001D57CE">
        <w:rPr>
          <w:rFonts w:cs="Arial"/>
        </w:rPr>
        <w:t xml:space="preserve"> will ensure </w:t>
      </w:r>
      <w:r w:rsidRPr="00F401B6">
        <w:rPr>
          <w:rFonts w:cs="Arial"/>
        </w:rPr>
        <w:t>efficient program delivery</w:t>
      </w:r>
      <w:r w:rsidR="00D87F02" w:rsidRPr="001D57CE">
        <w:rPr>
          <w:rFonts w:cs="Arial"/>
        </w:rPr>
        <w:t>.</w:t>
      </w:r>
      <w:r w:rsidRPr="001D57CE">
        <w:br/>
      </w:r>
    </w:p>
    <w:tbl>
      <w:tblPr>
        <w:tblStyle w:val="TableGrid"/>
        <w:tblW w:w="0" w:type="auto"/>
        <w:tblLook w:val="04A0" w:firstRow="1" w:lastRow="0" w:firstColumn="1" w:lastColumn="0" w:noHBand="0" w:noVBand="1"/>
      </w:tblPr>
      <w:tblGrid>
        <w:gridCol w:w="10456"/>
      </w:tblGrid>
      <w:tr w:rsidR="00485066" w:rsidRPr="001D57CE" w14:paraId="375CA32D" w14:textId="77777777" w:rsidTr="005279BC">
        <w:tc>
          <w:tcPr>
            <w:tcW w:w="10790" w:type="dxa"/>
          </w:tcPr>
          <w:p w14:paraId="4DC53665" w14:textId="30279C54" w:rsidR="00253CE0" w:rsidRPr="00CC7D39" w:rsidRDefault="00C03EA7" w:rsidP="00325D42">
            <w:pPr>
              <w:jc w:val="both"/>
              <w:rPr>
                <w:rFonts w:cs="Arial"/>
                <w:sz w:val="20"/>
                <w:szCs w:val="20"/>
              </w:rPr>
            </w:pPr>
            <w:r>
              <w:rPr>
                <w:rFonts w:cs="Arial"/>
                <w:sz w:val="20"/>
                <w:szCs w:val="20"/>
              </w:rPr>
              <w:t>In its A</w:t>
            </w:r>
            <w:r w:rsidRPr="00CC7D39">
              <w:rPr>
                <w:rFonts w:cs="Arial"/>
                <w:sz w:val="20"/>
                <w:szCs w:val="20"/>
              </w:rPr>
              <w:t xml:space="preserve">llocation Letter </w:t>
            </w:r>
            <w:r w:rsidR="00A23459">
              <w:rPr>
                <w:rFonts w:cs="Arial"/>
                <w:sz w:val="20"/>
                <w:szCs w:val="20"/>
              </w:rPr>
              <w:t xml:space="preserve">on </w:t>
            </w:r>
            <w:r w:rsidRPr="00CC7D39">
              <w:rPr>
                <w:rFonts w:cs="Arial"/>
                <w:sz w:val="20"/>
                <w:szCs w:val="20"/>
              </w:rPr>
              <w:t>Decembe</w:t>
            </w:r>
            <w:r>
              <w:rPr>
                <w:rFonts w:cs="Arial"/>
                <w:sz w:val="20"/>
                <w:szCs w:val="20"/>
              </w:rPr>
              <w:t>r 16, 2019</w:t>
            </w:r>
            <w:r w:rsidR="00253CE0" w:rsidRPr="00CC7D39">
              <w:rPr>
                <w:rFonts w:cs="Arial"/>
                <w:sz w:val="20"/>
                <w:szCs w:val="20"/>
              </w:rPr>
              <w:t>, the GF Secretariat informed the</w:t>
            </w:r>
            <w:r w:rsidR="00CC7D39">
              <w:rPr>
                <w:rFonts w:cs="Arial"/>
                <w:sz w:val="20"/>
                <w:szCs w:val="20"/>
              </w:rPr>
              <w:t xml:space="preserve"> </w:t>
            </w:r>
            <w:r w:rsidR="000A61F2">
              <w:rPr>
                <w:rFonts w:cs="Arial"/>
                <w:sz w:val="20"/>
                <w:szCs w:val="20"/>
              </w:rPr>
              <w:t>Country</w:t>
            </w:r>
            <w:r w:rsidR="00CC7D39">
              <w:rPr>
                <w:rFonts w:cs="Arial"/>
                <w:sz w:val="20"/>
                <w:szCs w:val="20"/>
              </w:rPr>
              <w:t xml:space="preserve"> Coordination Mechanism of the National Tuberculosis and National HIV/AIDS/ST</w:t>
            </w:r>
            <w:r w:rsidR="00325D42">
              <w:rPr>
                <w:rFonts w:cs="Arial"/>
                <w:sz w:val="20"/>
                <w:szCs w:val="20"/>
              </w:rPr>
              <w:t>I Control program (CCM Moldova)</w:t>
            </w:r>
            <w:r w:rsidR="00253CE0" w:rsidRPr="00CC7D39">
              <w:rPr>
                <w:rFonts w:cs="Arial"/>
                <w:sz w:val="20"/>
                <w:szCs w:val="20"/>
              </w:rPr>
              <w:t xml:space="preserve"> that the total envelope approved by the GF Board to support the National TB and HIV response in Moldova in 2021-2023 period totals </w:t>
            </w:r>
            <w:r>
              <w:rPr>
                <w:rFonts w:cs="Arial"/>
                <w:sz w:val="20"/>
                <w:szCs w:val="20"/>
              </w:rPr>
              <w:t>EUR</w:t>
            </w:r>
            <w:r w:rsidR="00253CE0" w:rsidRPr="00CC7D39">
              <w:rPr>
                <w:rFonts w:cs="Arial"/>
                <w:sz w:val="20"/>
                <w:szCs w:val="20"/>
              </w:rPr>
              <w:t xml:space="preserve"> 18,061,192</w:t>
            </w:r>
            <w:r w:rsidR="00533D7B">
              <w:rPr>
                <w:rFonts w:cs="Arial"/>
                <w:sz w:val="20"/>
                <w:szCs w:val="20"/>
              </w:rPr>
              <w:t xml:space="preserve"> for HIV, TB and building resilient and sustainable systems for health, with a recommended </w:t>
            </w:r>
            <w:r w:rsidR="00253CE0" w:rsidRPr="00CC7D39">
              <w:rPr>
                <w:rFonts w:cs="Arial"/>
                <w:sz w:val="20"/>
                <w:szCs w:val="20"/>
              </w:rPr>
              <w:t>funding split of E</w:t>
            </w:r>
            <w:r w:rsidR="00533D7B">
              <w:rPr>
                <w:rFonts w:cs="Arial"/>
                <w:sz w:val="20"/>
                <w:szCs w:val="20"/>
              </w:rPr>
              <w:t>U</w:t>
            </w:r>
            <w:r>
              <w:rPr>
                <w:rFonts w:cs="Arial"/>
                <w:sz w:val="20"/>
                <w:szCs w:val="20"/>
              </w:rPr>
              <w:t>R</w:t>
            </w:r>
            <w:r w:rsidR="00533D7B">
              <w:rPr>
                <w:rFonts w:cs="Arial"/>
                <w:sz w:val="20"/>
                <w:szCs w:val="20"/>
              </w:rPr>
              <w:t xml:space="preserve"> </w:t>
            </w:r>
            <w:r w:rsidR="00253CE0" w:rsidRPr="00CC7D39">
              <w:rPr>
                <w:rFonts w:cs="Arial"/>
                <w:sz w:val="20"/>
                <w:szCs w:val="20"/>
              </w:rPr>
              <w:t xml:space="preserve">8,662,849 for HIV </w:t>
            </w:r>
            <w:r w:rsidR="00533D7B">
              <w:rPr>
                <w:rFonts w:cs="Arial"/>
                <w:sz w:val="20"/>
                <w:szCs w:val="20"/>
              </w:rPr>
              <w:t>disease component and EUR</w:t>
            </w:r>
            <w:r w:rsidR="00253CE0" w:rsidRPr="00CC7D39">
              <w:rPr>
                <w:rFonts w:cs="Arial"/>
                <w:sz w:val="20"/>
                <w:szCs w:val="20"/>
              </w:rPr>
              <w:t xml:space="preserve"> 9,398,343 </w:t>
            </w:r>
            <w:r w:rsidR="00533D7B">
              <w:rPr>
                <w:rFonts w:cs="Arial"/>
                <w:sz w:val="20"/>
                <w:szCs w:val="20"/>
              </w:rPr>
              <w:t xml:space="preserve">for </w:t>
            </w:r>
            <w:r w:rsidR="00253CE0" w:rsidRPr="00CC7D39">
              <w:rPr>
                <w:rFonts w:cs="Arial"/>
                <w:sz w:val="20"/>
                <w:szCs w:val="20"/>
              </w:rPr>
              <w:t>TB</w:t>
            </w:r>
            <w:r w:rsidR="00533D7B">
              <w:rPr>
                <w:rFonts w:cs="Arial"/>
                <w:sz w:val="20"/>
                <w:szCs w:val="20"/>
              </w:rPr>
              <w:t xml:space="preserve"> disease component. For implementation arrangement </w:t>
            </w:r>
            <w:r>
              <w:rPr>
                <w:rFonts w:cs="Arial"/>
                <w:sz w:val="20"/>
                <w:szCs w:val="20"/>
              </w:rPr>
              <w:t xml:space="preserve">specifically, the Global Fund </w:t>
            </w:r>
            <w:r w:rsidR="00533D7B">
              <w:rPr>
                <w:rFonts w:cs="Arial"/>
                <w:sz w:val="20"/>
                <w:szCs w:val="20"/>
              </w:rPr>
              <w:t xml:space="preserve">requested that Moldova submits a joint funding request for one grant to be implement by one Principal Recipient. </w:t>
            </w:r>
          </w:p>
          <w:p w14:paraId="0E356769" w14:textId="1D68E159" w:rsidR="00253CE0" w:rsidRDefault="00C03EA7" w:rsidP="000A61F2">
            <w:pPr>
              <w:jc w:val="both"/>
              <w:rPr>
                <w:rFonts w:cs="Arial"/>
                <w:sz w:val="20"/>
                <w:szCs w:val="20"/>
              </w:rPr>
            </w:pPr>
            <w:r>
              <w:rPr>
                <w:rFonts w:cs="Arial"/>
                <w:sz w:val="20"/>
                <w:szCs w:val="20"/>
              </w:rPr>
              <w:t>C</w:t>
            </w:r>
            <w:r w:rsidR="00533D7B">
              <w:rPr>
                <w:rFonts w:cs="Arial"/>
                <w:sz w:val="20"/>
                <w:szCs w:val="20"/>
              </w:rPr>
              <w:t xml:space="preserve">onsistent with the GF </w:t>
            </w:r>
            <w:r w:rsidR="00253CE0" w:rsidRPr="00CC7D39">
              <w:rPr>
                <w:rFonts w:cs="Arial"/>
                <w:sz w:val="20"/>
                <w:szCs w:val="20"/>
              </w:rPr>
              <w:t>Allocation Letter</w:t>
            </w:r>
            <w:r>
              <w:rPr>
                <w:rFonts w:cs="Arial"/>
                <w:sz w:val="20"/>
                <w:szCs w:val="20"/>
              </w:rPr>
              <w:t>,</w:t>
            </w:r>
            <w:r w:rsidR="00253CE0" w:rsidRPr="00CC7D39">
              <w:rPr>
                <w:rFonts w:cs="Arial"/>
                <w:sz w:val="20"/>
                <w:szCs w:val="20"/>
              </w:rPr>
              <w:t xml:space="preserve"> </w:t>
            </w:r>
            <w:r w:rsidR="00E4624A">
              <w:rPr>
                <w:rFonts w:cs="Arial"/>
                <w:sz w:val="20"/>
                <w:szCs w:val="20"/>
              </w:rPr>
              <w:t>the CCM decision</w:t>
            </w:r>
            <w:r w:rsidR="00253CE0" w:rsidRPr="00CC7D39">
              <w:rPr>
                <w:rFonts w:cs="Arial"/>
                <w:sz w:val="20"/>
                <w:szCs w:val="20"/>
              </w:rPr>
              <w:t xml:space="preserve"> </w:t>
            </w:r>
            <w:r w:rsidR="00E4624A">
              <w:rPr>
                <w:rFonts w:cs="Arial"/>
                <w:sz w:val="20"/>
                <w:szCs w:val="20"/>
              </w:rPr>
              <w:t>on</w:t>
            </w:r>
            <w:r w:rsidR="00253CE0" w:rsidRPr="00CC7D39">
              <w:rPr>
                <w:rFonts w:cs="Arial"/>
                <w:sz w:val="20"/>
                <w:szCs w:val="20"/>
              </w:rPr>
              <w:t xml:space="preserve"> February 6, 2020,</w:t>
            </w:r>
            <w:r w:rsidR="00CC7D39">
              <w:rPr>
                <w:rFonts w:cs="Arial"/>
                <w:sz w:val="20"/>
                <w:szCs w:val="20"/>
              </w:rPr>
              <w:t xml:space="preserve"> the CCM </w:t>
            </w:r>
            <w:r w:rsidR="00E4624A">
              <w:rPr>
                <w:rFonts w:cs="Arial"/>
                <w:sz w:val="20"/>
                <w:szCs w:val="20"/>
              </w:rPr>
              <w:t xml:space="preserve">has approved the implementation arrangement of the joint TB/HIV grant for 2021-2023 by nominating </w:t>
            </w:r>
            <w:r w:rsidR="00253CE0" w:rsidRPr="00C50369">
              <w:rPr>
                <w:rFonts w:cs="Arial"/>
                <w:sz w:val="20"/>
                <w:szCs w:val="20"/>
              </w:rPr>
              <w:t>the Public Institution “Coordination, Implementation and Monitoring Unit of the Health S</w:t>
            </w:r>
            <w:r w:rsidR="00E4624A" w:rsidRPr="00C50369">
              <w:rPr>
                <w:rFonts w:cs="Arial"/>
                <w:sz w:val="20"/>
                <w:szCs w:val="20"/>
              </w:rPr>
              <w:t xml:space="preserve">ystem Projects” </w:t>
            </w:r>
            <w:r w:rsidR="000A61F2" w:rsidRPr="00C50369">
              <w:rPr>
                <w:rFonts w:cs="Arial"/>
                <w:sz w:val="20"/>
                <w:szCs w:val="20"/>
              </w:rPr>
              <w:t>further, PI CIMU HSP</w:t>
            </w:r>
            <w:r w:rsidR="006D029C">
              <w:rPr>
                <w:rFonts w:cs="Arial"/>
                <w:sz w:val="20"/>
                <w:szCs w:val="20"/>
              </w:rPr>
              <w:t>,</w:t>
            </w:r>
            <w:r w:rsidR="00E4624A" w:rsidRPr="00C50369">
              <w:rPr>
                <w:rFonts w:cs="Arial"/>
                <w:sz w:val="20"/>
                <w:szCs w:val="20"/>
              </w:rPr>
              <w:t xml:space="preserve"> </w:t>
            </w:r>
            <w:r w:rsidR="006D029C">
              <w:rPr>
                <w:rFonts w:cs="Arial"/>
                <w:sz w:val="20"/>
                <w:szCs w:val="20"/>
              </w:rPr>
              <w:t xml:space="preserve">as Principal </w:t>
            </w:r>
            <w:r w:rsidR="006D029C" w:rsidRPr="00C50369">
              <w:rPr>
                <w:rFonts w:cs="Arial"/>
                <w:sz w:val="20"/>
                <w:szCs w:val="20"/>
              </w:rPr>
              <w:t xml:space="preserve">Recipient (PR) </w:t>
            </w:r>
            <w:r w:rsidR="000A61F2" w:rsidRPr="00C50369">
              <w:rPr>
                <w:rFonts w:cs="Arial"/>
                <w:sz w:val="20"/>
                <w:szCs w:val="20"/>
              </w:rPr>
              <w:t xml:space="preserve">from </w:t>
            </w:r>
            <w:r w:rsidR="00253CE0" w:rsidRPr="00C50369">
              <w:rPr>
                <w:rFonts w:cs="Arial"/>
                <w:sz w:val="20"/>
                <w:szCs w:val="20"/>
              </w:rPr>
              <w:t>governmental sector</w:t>
            </w:r>
            <w:r w:rsidR="00E4624A" w:rsidRPr="00C50369">
              <w:rPr>
                <w:rFonts w:cs="Arial"/>
                <w:sz w:val="20"/>
                <w:szCs w:val="20"/>
              </w:rPr>
              <w:t xml:space="preserve"> and PAS Center as </w:t>
            </w:r>
            <w:r w:rsidR="000A61F2" w:rsidRPr="00C50369">
              <w:rPr>
                <w:rFonts w:cs="Arial"/>
                <w:sz w:val="20"/>
                <w:szCs w:val="20"/>
              </w:rPr>
              <w:t>sub-recipient (</w:t>
            </w:r>
            <w:r w:rsidR="00E4624A" w:rsidRPr="00C50369">
              <w:rPr>
                <w:rFonts w:cs="Arial"/>
                <w:sz w:val="20"/>
                <w:szCs w:val="20"/>
              </w:rPr>
              <w:t>S</w:t>
            </w:r>
            <w:r w:rsidR="00253CE0" w:rsidRPr="00C50369">
              <w:rPr>
                <w:rFonts w:cs="Arial"/>
                <w:sz w:val="20"/>
                <w:szCs w:val="20"/>
              </w:rPr>
              <w:t>R</w:t>
            </w:r>
            <w:r w:rsidR="000A61F2" w:rsidRPr="00C50369">
              <w:rPr>
                <w:rFonts w:cs="Arial"/>
                <w:sz w:val="20"/>
                <w:szCs w:val="20"/>
              </w:rPr>
              <w:t>) from non-government sec</w:t>
            </w:r>
            <w:r w:rsidR="00E4624A" w:rsidRPr="00C50369">
              <w:rPr>
                <w:rFonts w:cs="Arial"/>
                <w:sz w:val="20"/>
                <w:szCs w:val="20"/>
              </w:rPr>
              <w:t>t</w:t>
            </w:r>
            <w:r w:rsidR="000A61F2" w:rsidRPr="00C50369">
              <w:rPr>
                <w:rFonts w:cs="Arial"/>
                <w:sz w:val="20"/>
                <w:szCs w:val="20"/>
              </w:rPr>
              <w:t>or</w:t>
            </w:r>
            <w:r w:rsidR="000A61F2">
              <w:rPr>
                <w:rFonts w:cs="Arial"/>
                <w:sz w:val="20"/>
                <w:szCs w:val="20"/>
              </w:rPr>
              <w:t xml:space="preserve">. </w:t>
            </w:r>
            <w:r w:rsidR="007B301C">
              <w:rPr>
                <w:rFonts w:cs="Arial"/>
                <w:sz w:val="20"/>
                <w:szCs w:val="20"/>
              </w:rPr>
              <w:t xml:space="preserve">Both PR and SR are experienced local organizations, </w:t>
            </w:r>
            <w:r w:rsidR="000A61F2">
              <w:rPr>
                <w:rFonts w:cs="Arial"/>
                <w:sz w:val="20"/>
                <w:szCs w:val="20"/>
              </w:rPr>
              <w:t>PI CIMU HSP has been a government PR of</w:t>
            </w:r>
            <w:r w:rsidR="00253CE0" w:rsidRPr="00CC7D39">
              <w:rPr>
                <w:rFonts w:cs="Arial"/>
                <w:sz w:val="20"/>
                <w:szCs w:val="20"/>
              </w:rPr>
              <w:t xml:space="preserve"> GF </w:t>
            </w:r>
            <w:r w:rsidR="000A61F2">
              <w:rPr>
                <w:rFonts w:cs="Arial"/>
                <w:sz w:val="20"/>
                <w:szCs w:val="20"/>
              </w:rPr>
              <w:t xml:space="preserve">HIV and TB </w:t>
            </w:r>
            <w:r w:rsidR="00253CE0" w:rsidRPr="00CC7D39">
              <w:rPr>
                <w:rFonts w:cs="Arial"/>
                <w:sz w:val="20"/>
                <w:szCs w:val="20"/>
              </w:rPr>
              <w:t xml:space="preserve">grants since </w:t>
            </w:r>
            <w:r w:rsidR="000A61F2">
              <w:rPr>
                <w:rFonts w:cs="Arial"/>
                <w:sz w:val="20"/>
                <w:szCs w:val="20"/>
              </w:rPr>
              <w:t xml:space="preserve">starting with </w:t>
            </w:r>
            <w:r w:rsidR="00C50369">
              <w:rPr>
                <w:rFonts w:cs="Arial"/>
                <w:sz w:val="20"/>
                <w:szCs w:val="20"/>
              </w:rPr>
              <w:t xml:space="preserve">Round 1 </w:t>
            </w:r>
            <w:r w:rsidR="000A61F2">
              <w:rPr>
                <w:rFonts w:cs="Arial"/>
                <w:sz w:val="20"/>
                <w:szCs w:val="20"/>
              </w:rPr>
              <w:t xml:space="preserve">2003. </w:t>
            </w:r>
            <w:r w:rsidR="00253CE0" w:rsidRPr="00CC7D39">
              <w:rPr>
                <w:rFonts w:cs="Arial"/>
                <w:sz w:val="20"/>
                <w:szCs w:val="20"/>
              </w:rPr>
              <w:t>PAS</w:t>
            </w:r>
            <w:r w:rsidR="000A61F2">
              <w:rPr>
                <w:rFonts w:cs="Arial"/>
                <w:sz w:val="20"/>
                <w:szCs w:val="20"/>
              </w:rPr>
              <w:t xml:space="preserve"> Center has been a sub-recipient </w:t>
            </w:r>
            <w:r w:rsidR="00CC7D39">
              <w:rPr>
                <w:rFonts w:cs="Arial"/>
                <w:sz w:val="20"/>
                <w:szCs w:val="20"/>
              </w:rPr>
              <w:t>in Round 6 and</w:t>
            </w:r>
            <w:r w:rsidR="000A61F2">
              <w:rPr>
                <w:rFonts w:cs="Arial"/>
                <w:sz w:val="20"/>
                <w:szCs w:val="20"/>
              </w:rPr>
              <w:t xml:space="preserve"> since 2009,</w:t>
            </w:r>
            <w:r w:rsidR="00CC7D39">
              <w:rPr>
                <w:rFonts w:cs="Arial"/>
                <w:sz w:val="20"/>
                <w:szCs w:val="20"/>
              </w:rPr>
              <w:t xml:space="preserve"> </w:t>
            </w:r>
            <w:r w:rsidR="006D029C">
              <w:rPr>
                <w:rFonts w:cs="Arial"/>
                <w:sz w:val="20"/>
                <w:szCs w:val="20"/>
              </w:rPr>
              <w:t xml:space="preserve">a non-government </w:t>
            </w:r>
            <w:r w:rsidR="00CC7D39">
              <w:rPr>
                <w:rFonts w:cs="Arial"/>
                <w:sz w:val="20"/>
                <w:szCs w:val="20"/>
              </w:rPr>
              <w:t>PR for HIV grant</w:t>
            </w:r>
            <w:r w:rsidR="000A61F2">
              <w:rPr>
                <w:rFonts w:cs="Arial"/>
                <w:sz w:val="20"/>
                <w:szCs w:val="20"/>
              </w:rPr>
              <w:t>s</w:t>
            </w:r>
            <w:r w:rsidR="00CC7D39">
              <w:rPr>
                <w:rFonts w:cs="Arial"/>
                <w:sz w:val="20"/>
                <w:szCs w:val="20"/>
              </w:rPr>
              <w:t xml:space="preserve"> (Round 8</w:t>
            </w:r>
            <w:r w:rsidR="006D029C">
              <w:rPr>
                <w:rFonts w:cs="Arial"/>
                <w:sz w:val="20"/>
                <w:szCs w:val="20"/>
              </w:rPr>
              <w:t xml:space="preserve"> </w:t>
            </w:r>
            <w:r w:rsidR="00CC7D39">
              <w:rPr>
                <w:rFonts w:cs="Arial"/>
                <w:sz w:val="20"/>
                <w:szCs w:val="20"/>
              </w:rPr>
              <w:t>-</w:t>
            </w:r>
            <w:r w:rsidR="000A61F2">
              <w:rPr>
                <w:rFonts w:cs="Arial"/>
                <w:sz w:val="20"/>
                <w:szCs w:val="20"/>
              </w:rPr>
              <w:t xml:space="preserve"> </w:t>
            </w:r>
            <w:r w:rsidR="00CC7D39">
              <w:rPr>
                <w:rFonts w:cs="Arial"/>
                <w:sz w:val="20"/>
                <w:szCs w:val="20"/>
              </w:rPr>
              <w:t>NFM 1)</w:t>
            </w:r>
            <w:r w:rsidR="006D029C">
              <w:rPr>
                <w:rFonts w:cs="Arial"/>
                <w:sz w:val="20"/>
                <w:szCs w:val="20"/>
              </w:rPr>
              <w:t xml:space="preserve"> and</w:t>
            </w:r>
            <w:r w:rsidR="00CC7D39">
              <w:rPr>
                <w:rFonts w:cs="Arial"/>
                <w:sz w:val="20"/>
                <w:szCs w:val="20"/>
              </w:rPr>
              <w:t xml:space="preserve"> TB grants (Round 9 – NFM 2)</w:t>
            </w:r>
            <w:r w:rsidR="000A61F2">
              <w:rPr>
                <w:rFonts w:cs="Arial"/>
                <w:sz w:val="20"/>
                <w:szCs w:val="20"/>
              </w:rPr>
              <w:t xml:space="preserve"> </w:t>
            </w:r>
            <w:r w:rsidR="006D029C">
              <w:rPr>
                <w:rFonts w:cs="Arial"/>
                <w:sz w:val="20"/>
                <w:szCs w:val="20"/>
              </w:rPr>
              <w:t xml:space="preserve">under dual track finance policy. </w:t>
            </w:r>
            <w:r w:rsidR="000A61F2">
              <w:rPr>
                <w:rFonts w:cs="Arial"/>
                <w:sz w:val="20"/>
                <w:szCs w:val="20"/>
              </w:rPr>
              <w:t xml:space="preserve">PAS Center is a PR for </w:t>
            </w:r>
            <w:r w:rsidR="00CC7D39">
              <w:rPr>
                <w:rFonts w:cs="Arial"/>
                <w:sz w:val="20"/>
                <w:szCs w:val="20"/>
              </w:rPr>
              <w:t>EECA TB regional grant TB REP (2016-2018) and multi</w:t>
            </w:r>
            <w:r w:rsidR="00325D42">
              <w:rPr>
                <w:rFonts w:cs="Arial"/>
                <w:sz w:val="20"/>
                <w:szCs w:val="20"/>
              </w:rPr>
              <w:t>-</w:t>
            </w:r>
            <w:r w:rsidR="00CC7D39">
              <w:rPr>
                <w:rFonts w:cs="Arial"/>
                <w:sz w:val="20"/>
                <w:szCs w:val="20"/>
              </w:rPr>
              <w:t xml:space="preserve">country EECA TB REP 2.0 grant (2019-2021). </w:t>
            </w:r>
            <w:r w:rsidR="00253CE0" w:rsidRPr="00CC7D39">
              <w:rPr>
                <w:rFonts w:cs="Arial"/>
                <w:sz w:val="20"/>
                <w:szCs w:val="20"/>
              </w:rPr>
              <w:t>The PCIMU - PAS grant implementation responsibilities shall be formally regulated, based on a three-year PR-SR contract/Memorandum of understanding/ cosigned by the two parts.</w:t>
            </w:r>
          </w:p>
          <w:p w14:paraId="7963CE70" w14:textId="0D1461EA" w:rsidR="00325D42" w:rsidRPr="00CC7D39" w:rsidRDefault="00325D42" w:rsidP="00325D42">
            <w:pPr>
              <w:spacing w:before="120" w:line="240" w:lineRule="auto"/>
              <w:jc w:val="both"/>
              <w:rPr>
                <w:sz w:val="20"/>
                <w:szCs w:val="20"/>
                <w:lang w:val="en-GB"/>
              </w:rPr>
            </w:pPr>
            <w:r w:rsidRPr="00CC7D39">
              <w:rPr>
                <w:rFonts w:cs="Arial"/>
                <w:sz w:val="20"/>
                <w:szCs w:val="20"/>
              </w:rPr>
              <w:t>The CCM TB/HIV and its</w:t>
            </w:r>
            <w:r w:rsidR="006D029C" w:rsidRPr="00325D42">
              <w:rPr>
                <w:rFonts w:asciiTheme="minorHAnsi" w:eastAsia="Arial" w:hAnsiTheme="minorHAnsi" w:cstheme="minorHAnsi"/>
                <w:sz w:val="20"/>
              </w:rPr>
              <w:t xml:space="preserve"> National Expert Commission</w:t>
            </w:r>
            <w:r w:rsidR="006D029C">
              <w:rPr>
                <w:rFonts w:asciiTheme="minorHAnsi" w:eastAsia="Arial" w:hAnsiTheme="minorHAnsi" w:cstheme="minorHAnsi"/>
                <w:sz w:val="20"/>
              </w:rPr>
              <w:t xml:space="preserve"> (o</w:t>
            </w:r>
            <w:r w:rsidRPr="00CC7D39">
              <w:rPr>
                <w:rFonts w:cs="Arial"/>
                <w:sz w:val="20"/>
                <w:szCs w:val="20"/>
              </w:rPr>
              <w:t xml:space="preserve">versight </w:t>
            </w:r>
            <w:r w:rsidR="006D029C">
              <w:rPr>
                <w:rFonts w:cs="Arial"/>
                <w:sz w:val="20"/>
                <w:szCs w:val="20"/>
              </w:rPr>
              <w:t>body)</w:t>
            </w:r>
            <w:r w:rsidRPr="00CC7D39">
              <w:rPr>
                <w:rFonts w:cs="Arial"/>
                <w:sz w:val="20"/>
                <w:szCs w:val="20"/>
              </w:rPr>
              <w:t xml:space="preserve"> both include voting members from communities and KAPs, will guarantee the program oversight role throughout the entire grant life.  </w:t>
            </w:r>
            <w:r>
              <w:rPr>
                <w:rFonts w:cs="Arial"/>
                <w:sz w:val="20"/>
                <w:szCs w:val="20"/>
              </w:rPr>
              <w:t xml:space="preserve">It will ensure </w:t>
            </w:r>
            <w:r w:rsidRPr="00325D42">
              <w:rPr>
                <w:rFonts w:asciiTheme="minorHAnsi" w:eastAsia="Arial" w:hAnsiTheme="minorHAnsi" w:cstheme="minorHAnsi"/>
                <w:sz w:val="20"/>
              </w:rPr>
              <w:t>the overall</w:t>
            </w:r>
            <w:r>
              <w:rPr>
                <w:rFonts w:asciiTheme="minorHAnsi" w:eastAsia="Arial" w:hAnsiTheme="minorHAnsi" w:cstheme="minorHAnsi"/>
                <w:sz w:val="20"/>
              </w:rPr>
              <w:t xml:space="preserve"> grant</w:t>
            </w:r>
            <w:r w:rsidRPr="00325D42">
              <w:rPr>
                <w:rFonts w:asciiTheme="minorHAnsi" w:eastAsia="Arial" w:hAnsiTheme="minorHAnsi" w:cstheme="minorHAnsi"/>
                <w:sz w:val="20"/>
              </w:rPr>
              <w:t xml:space="preserve"> implementation </w:t>
            </w:r>
            <w:r>
              <w:rPr>
                <w:rFonts w:asciiTheme="minorHAnsi" w:eastAsia="Arial" w:hAnsiTheme="minorHAnsi" w:cstheme="minorHAnsi"/>
                <w:sz w:val="20"/>
              </w:rPr>
              <w:t xml:space="preserve">and </w:t>
            </w:r>
            <w:r w:rsidRPr="00325D42">
              <w:rPr>
                <w:rFonts w:asciiTheme="minorHAnsi" w:eastAsia="Arial" w:hAnsiTheme="minorHAnsi" w:cstheme="minorHAnsi"/>
                <w:sz w:val="20"/>
              </w:rPr>
              <w:t xml:space="preserve">coordination between different sectors as well as different programs implemented by other external partners. The CCM will closely monitor the project progress through its National Expert Commission and ensure implementation is aligned </w:t>
            </w:r>
            <w:r>
              <w:rPr>
                <w:rFonts w:asciiTheme="minorHAnsi" w:eastAsia="Arial" w:hAnsiTheme="minorHAnsi" w:cstheme="minorHAnsi"/>
                <w:sz w:val="20"/>
              </w:rPr>
              <w:t xml:space="preserve">to </w:t>
            </w:r>
            <w:r w:rsidRPr="00325D42">
              <w:rPr>
                <w:rFonts w:asciiTheme="minorHAnsi" w:eastAsia="Arial" w:hAnsiTheme="minorHAnsi" w:cstheme="minorHAnsi"/>
                <w:sz w:val="20"/>
              </w:rPr>
              <w:t>the work-plan</w:t>
            </w:r>
            <w:r>
              <w:rPr>
                <w:rFonts w:asciiTheme="minorHAnsi" w:eastAsia="Arial" w:hAnsiTheme="minorHAnsi" w:cstheme="minorHAnsi"/>
                <w:sz w:val="20"/>
              </w:rPr>
              <w:t xml:space="preserve"> and on track in achieving p</w:t>
            </w:r>
            <w:r w:rsidRPr="00325D42">
              <w:rPr>
                <w:rFonts w:asciiTheme="minorHAnsi" w:eastAsia="Arial" w:hAnsiTheme="minorHAnsi" w:cstheme="minorHAnsi"/>
                <w:sz w:val="20"/>
              </w:rPr>
              <w:t xml:space="preserve">rogrammatic </w:t>
            </w:r>
            <w:r>
              <w:rPr>
                <w:rFonts w:asciiTheme="minorHAnsi" w:eastAsia="Arial" w:hAnsiTheme="minorHAnsi" w:cstheme="minorHAnsi"/>
                <w:sz w:val="20"/>
              </w:rPr>
              <w:t>targets. National Technical Workings will be convening for inclusive multi-stakeholder decision-making</w:t>
            </w:r>
            <w:r w:rsidRPr="00325D42">
              <w:rPr>
                <w:rFonts w:asciiTheme="minorHAnsi" w:eastAsia="Arial" w:hAnsiTheme="minorHAnsi" w:cstheme="minorHAnsi"/>
                <w:sz w:val="20"/>
              </w:rPr>
              <w:t>.</w:t>
            </w:r>
            <w:r w:rsidRPr="00CC7D39">
              <w:rPr>
                <w:rFonts w:cs="Arial"/>
                <w:sz w:val="20"/>
                <w:szCs w:val="20"/>
              </w:rPr>
              <w:t xml:space="preserve"> </w:t>
            </w:r>
            <w:r>
              <w:rPr>
                <w:rFonts w:cs="Arial"/>
                <w:sz w:val="20"/>
                <w:szCs w:val="20"/>
              </w:rPr>
              <w:t>On the community side, Key Affected Population</w:t>
            </w:r>
            <w:r w:rsidR="007B301C">
              <w:rPr>
                <w:rFonts w:cs="Arial"/>
                <w:sz w:val="20"/>
                <w:szCs w:val="20"/>
              </w:rPr>
              <w:t xml:space="preserve"> (KAP)</w:t>
            </w:r>
            <w:r>
              <w:rPr>
                <w:rFonts w:cs="Arial"/>
                <w:sz w:val="20"/>
                <w:szCs w:val="20"/>
              </w:rPr>
              <w:t xml:space="preserve"> Platform </w:t>
            </w:r>
            <w:r w:rsidR="007B301C">
              <w:rPr>
                <w:rFonts w:cs="Arial"/>
                <w:sz w:val="20"/>
                <w:szCs w:val="20"/>
              </w:rPr>
              <w:t xml:space="preserve">will ensue community based monitoring of the grant. </w:t>
            </w:r>
            <w:r w:rsidRPr="00CC7D39">
              <w:rPr>
                <w:sz w:val="20"/>
                <w:szCs w:val="20"/>
                <w:lang w:val="en-GB"/>
              </w:rPr>
              <w:t xml:space="preserve">the LFA shall act within the Terms of Reference agreed upon with the Global Fund, undertaking, among other, on-site project performance verifications (OSV). External audits evaluating grants’ programmatic and financial performance are an integral part of the proposed management arrangements. </w:t>
            </w:r>
          </w:p>
          <w:p w14:paraId="1ACC74CD" w14:textId="77777777" w:rsidR="00325D42" w:rsidRDefault="00325D42" w:rsidP="00325D42">
            <w:pPr>
              <w:rPr>
                <w:rFonts w:cs="Arial"/>
                <w:sz w:val="20"/>
                <w:szCs w:val="20"/>
              </w:rPr>
            </w:pPr>
            <w:r w:rsidRPr="00CC7D39">
              <w:rPr>
                <w:rFonts w:cs="Arial"/>
                <w:sz w:val="20"/>
                <w:szCs w:val="20"/>
              </w:rPr>
              <w:t xml:space="preserve">The direct beneficiaries of the TB/HIV consolidated grant will be: </w:t>
            </w:r>
          </w:p>
          <w:p w14:paraId="33805C5A" w14:textId="4477B8C3" w:rsidR="00325D42" w:rsidRPr="006D029C" w:rsidRDefault="00325D42" w:rsidP="00326A6B">
            <w:pPr>
              <w:pStyle w:val="ListParagraph"/>
              <w:numPr>
                <w:ilvl w:val="0"/>
                <w:numId w:val="74"/>
              </w:numPr>
              <w:rPr>
                <w:rFonts w:cs="Arial"/>
                <w:sz w:val="20"/>
                <w:szCs w:val="20"/>
              </w:rPr>
            </w:pPr>
            <w:r w:rsidRPr="006D029C">
              <w:rPr>
                <w:rFonts w:cs="Arial"/>
                <w:sz w:val="20"/>
                <w:szCs w:val="20"/>
              </w:rPr>
              <w:lastRenderedPageBreak/>
              <w:t>key population</w:t>
            </w:r>
            <w:r w:rsidR="006D029C" w:rsidRPr="006D029C">
              <w:rPr>
                <w:rFonts w:cs="Arial"/>
                <w:sz w:val="20"/>
                <w:szCs w:val="20"/>
              </w:rPr>
              <w:t>s</w:t>
            </w:r>
            <w:r w:rsidRPr="006D029C">
              <w:rPr>
                <w:rFonts w:cs="Arial"/>
                <w:sz w:val="20"/>
                <w:szCs w:val="20"/>
              </w:rPr>
              <w:t xml:space="preserve"> affected by the TB and HIV diseases </w:t>
            </w:r>
          </w:p>
          <w:p w14:paraId="6EBAA463" w14:textId="5AD00F29" w:rsidR="00325D42" w:rsidRPr="006D029C" w:rsidRDefault="00325D42" w:rsidP="00326A6B">
            <w:pPr>
              <w:pStyle w:val="ListParagraph"/>
              <w:numPr>
                <w:ilvl w:val="0"/>
                <w:numId w:val="74"/>
              </w:numPr>
              <w:rPr>
                <w:rFonts w:cs="Arial"/>
                <w:sz w:val="20"/>
                <w:szCs w:val="20"/>
              </w:rPr>
            </w:pPr>
            <w:r w:rsidRPr="006D029C">
              <w:rPr>
                <w:rFonts w:cs="Arial"/>
                <w:sz w:val="20"/>
                <w:szCs w:val="20"/>
              </w:rPr>
              <w:t>National TB and HIV Control Programs managed by the MoHLSP and operated under the auspices of the IFP (Institute of Phtizioppneumology/IPP “Ch.</w:t>
            </w:r>
            <w:r w:rsidR="006D029C">
              <w:rPr>
                <w:rFonts w:cs="Arial"/>
                <w:sz w:val="20"/>
                <w:szCs w:val="20"/>
              </w:rPr>
              <w:t xml:space="preserve"> </w:t>
            </w:r>
            <w:r w:rsidRPr="006D029C">
              <w:rPr>
                <w:rFonts w:cs="Arial"/>
                <w:sz w:val="20"/>
                <w:szCs w:val="20"/>
              </w:rPr>
              <w:t xml:space="preserve">Draganiuc”) and SDMC (Dermatology and Communicable Diseases Hospital/DCDH) </w:t>
            </w:r>
          </w:p>
          <w:p w14:paraId="20568DCA" w14:textId="773F0C45" w:rsidR="00325D42" w:rsidRPr="006D029C" w:rsidRDefault="007B301C" w:rsidP="006D029C">
            <w:pPr>
              <w:spacing w:before="120" w:line="240" w:lineRule="auto"/>
              <w:jc w:val="both"/>
              <w:rPr>
                <w:rFonts w:asciiTheme="minorHAnsi" w:eastAsia="Arial" w:hAnsiTheme="minorHAnsi" w:cstheme="minorHAnsi"/>
                <w:sz w:val="20"/>
              </w:rPr>
            </w:pPr>
            <w:r w:rsidRPr="006D029C">
              <w:rPr>
                <w:rFonts w:asciiTheme="minorHAnsi" w:eastAsia="Arial" w:hAnsiTheme="minorHAnsi" w:cstheme="minorHAnsi"/>
                <w:sz w:val="20"/>
              </w:rPr>
              <w:t>The PR will be responsible for all overall the project implementation, procurement of equipment, commodit</w:t>
            </w:r>
            <w:r w:rsidR="00A23459" w:rsidRPr="006D029C">
              <w:rPr>
                <w:rFonts w:asciiTheme="minorHAnsi" w:eastAsia="Arial" w:hAnsiTheme="minorHAnsi" w:cstheme="minorHAnsi"/>
                <w:sz w:val="20"/>
              </w:rPr>
              <w:t>ies and reagents, medical drugs</w:t>
            </w:r>
            <w:r w:rsidR="006D029C">
              <w:rPr>
                <w:rFonts w:asciiTheme="minorHAnsi" w:eastAsia="Arial" w:hAnsiTheme="minorHAnsi" w:cstheme="minorHAnsi"/>
                <w:sz w:val="20"/>
              </w:rPr>
              <w:t xml:space="preserve"> and services,</w:t>
            </w:r>
            <w:r w:rsidRPr="006D029C">
              <w:rPr>
                <w:rFonts w:asciiTheme="minorHAnsi" w:eastAsia="Arial" w:hAnsiTheme="minorHAnsi" w:cstheme="minorHAnsi"/>
                <w:sz w:val="20"/>
              </w:rPr>
              <w:t xml:space="preserve"> financial management, project-related monitoring and evaluation a</w:t>
            </w:r>
            <w:r w:rsidR="006D029C" w:rsidRPr="006D029C">
              <w:rPr>
                <w:rFonts w:asciiTheme="minorHAnsi" w:eastAsia="Arial" w:hAnsiTheme="minorHAnsi" w:cstheme="minorHAnsi"/>
                <w:sz w:val="20"/>
              </w:rPr>
              <w:t xml:space="preserve">nd reporting to the Global Fund, </w:t>
            </w:r>
            <w:r w:rsidRPr="006D029C">
              <w:rPr>
                <w:rFonts w:asciiTheme="minorHAnsi" w:eastAsia="Arial" w:hAnsiTheme="minorHAnsi" w:cstheme="minorHAnsi"/>
                <w:sz w:val="20"/>
              </w:rPr>
              <w:t>will develop work plans for project implementation and will present project performance reports to the CCM. Financial and activity progress reports will be forwarded to the CCM members for review. The CCM through its oversight committee will continue to assess the effectiveness of activities implemented by the PR.</w:t>
            </w:r>
          </w:p>
          <w:p w14:paraId="1A78DC9C" w14:textId="77777777" w:rsidR="00253CE0" w:rsidRPr="00CC7D39" w:rsidRDefault="00253CE0" w:rsidP="00253CE0">
            <w:pPr>
              <w:rPr>
                <w:rFonts w:cs="Arial"/>
                <w:sz w:val="20"/>
                <w:szCs w:val="20"/>
              </w:rPr>
            </w:pPr>
            <w:r w:rsidRPr="00CC7D39">
              <w:rPr>
                <w:rFonts w:cs="Arial"/>
                <w:sz w:val="20"/>
                <w:szCs w:val="20"/>
              </w:rPr>
              <w:t xml:space="preserve">In </w:t>
            </w:r>
            <w:r w:rsidRPr="00CC7D39">
              <w:rPr>
                <w:rFonts w:cs="Arial"/>
                <w:sz w:val="20"/>
                <w:szCs w:val="20"/>
                <w:u w:val="single"/>
              </w:rPr>
              <w:t>programmatic</w:t>
            </w:r>
            <w:r w:rsidRPr="00CC7D39">
              <w:rPr>
                <w:rFonts w:cs="Arial"/>
                <w:sz w:val="20"/>
                <w:szCs w:val="20"/>
              </w:rPr>
              <w:t xml:space="preserve"> terms, the overall grant management and implementation responsibilities shall be assumed by the PR CIMU, while the (modular) interventions shall be duly taken on following the arrangements described below:</w:t>
            </w:r>
          </w:p>
          <w:tbl>
            <w:tblPr>
              <w:tblStyle w:val="TableGrid"/>
              <w:tblW w:w="0" w:type="auto"/>
              <w:tblLook w:val="04A0" w:firstRow="1" w:lastRow="0" w:firstColumn="1" w:lastColumn="0" w:noHBand="0" w:noVBand="1"/>
            </w:tblPr>
            <w:tblGrid>
              <w:gridCol w:w="1705"/>
              <w:gridCol w:w="8430"/>
            </w:tblGrid>
            <w:tr w:rsidR="00F26371" w:rsidRPr="00740C0E" w14:paraId="7D5649EB" w14:textId="77777777" w:rsidTr="00F26371">
              <w:tc>
                <w:tcPr>
                  <w:tcW w:w="1705" w:type="dxa"/>
                  <w:shd w:val="clear" w:color="auto" w:fill="00B0F0"/>
                </w:tcPr>
                <w:p w14:paraId="0CA67305" w14:textId="77777777" w:rsidR="00F26371" w:rsidRPr="000E4166" w:rsidRDefault="00F26371" w:rsidP="00F26371">
                  <w:pPr>
                    <w:spacing w:after="0" w:line="240" w:lineRule="auto"/>
                    <w:rPr>
                      <w:rFonts w:cs="Arial"/>
                      <w:b/>
                      <w:sz w:val="20"/>
                      <w:szCs w:val="20"/>
                    </w:rPr>
                  </w:pPr>
                  <w:r w:rsidRPr="000E4166">
                    <w:rPr>
                      <w:rFonts w:cs="Arial"/>
                      <w:b/>
                      <w:sz w:val="20"/>
                      <w:szCs w:val="20"/>
                    </w:rPr>
                    <w:t>Principal Recipient</w:t>
                  </w:r>
                </w:p>
                <w:p w14:paraId="689738F1" w14:textId="77777777" w:rsidR="00F26371" w:rsidRPr="000E4166" w:rsidRDefault="00F26371" w:rsidP="00F26371">
                  <w:pPr>
                    <w:spacing w:after="0" w:line="240" w:lineRule="auto"/>
                    <w:rPr>
                      <w:rFonts w:cs="Arial"/>
                      <w:b/>
                      <w:sz w:val="20"/>
                      <w:szCs w:val="20"/>
                    </w:rPr>
                  </w:pPr>
                </w:p>
                <w:p w14:paraId="0C706340" w14:textId="77777777" w:rsidR="00F26371" w:rsidRPr="000E4166" w:rsidRDefault="00F26371" w:rsidP="00F26371">
                  <w:pPr>
                    <w:spacing w:after="0" w:line="240" w:lineRule="auto"/>
                    <w:rPr>
                      <w:b/>
                      <w:sz w:val="20"/>
                      <w:szCs w:val="20"/>
                    </w:rPr>
                  </w:pPr>
                  <w:r w:rsidRPr="000E4166">
                    <w:rPr>
                      <w:rFonts w:cs="Arial"/>
                      <w:b/>
                      <w:sz w:val="20"/>
                      <w:szCs w:val="20"/>
                    </w:rPr>
                    <w:t>PI CIMU HSP</w:t>
                  </w:r>
                </w:p>
              </w:tc>
              <w:tc>
                <w:tcPr>
                  <w:tcW w:w="8430" w:type="dxa"/>
                </w:tcPr>
                <w:p w14:paraId="4E9C3EBA" w14:textId="77777777" w:rsidR="00F26371" w:rsidRPr="00740C0E" w:rsidRDefault="00F26371" w:rsidP="00F26371">
                  <w:pPr>
                    <w:spacing w:after="0" w:line="240" w:lineRule="auto"/>
                    <w:rPr>
                      <w:rFonts w:cs="Arial"/>
                      <w:bCs/>
                      <w:color w:val="000000"/>
                      <w:sz w:val="20"/>
                      <w:szCs w:val="20"/>
                    </w:rPr>
                  </w:pPr>
                  <w:r w:rsidRPr="00740C0E">
                    <w:rPr>
                      <w:rFonts w:cs="Arial"/>
                      <w:bCs/>
                      <w:color w:val="000000"/>
                      <w:sz w:val="20"/>
                      <w:szCs w:val="20"/>
                    </w:rPr>
                    <w:t>Program management</w:t>
                  </w:r>
                </w:p>
                <w:p w14:paraId="5B1F536A" w14:textId="77777777" w:rsidR="00F26371" w:rsidRPr="00740C0E" w:rsidRDefault="00F26371" w:rsidP="00F26371">
                  <w:pPr>
                    <w:spacing w:after="0" w:line="240" w:lineRule="auto"/>
                    <w:rPr>
                      <w:rFonts w:cs="Arial"/>
                      <w:color w:val="000000"/>
                      <w:sz w:val="20"/>
                      <w:szCs w:val="20"/>
                    </w:rPr>
                  </w:pPr>
                  <w:r w:rsidRPr="00740C0E">
                    <w:rPr>
                      <w:rFonts w:cs="Arial"/>
                      <w:color w:val="000000"/>
                      <w:sz w:val="20"/>
                      <w:szCs w:val="20"/>
                    </w:rPr>
                    <w:t>HIV Prevention MSM, PWID, TG, SW People in Prisons</w:t>
                  </w:r>
                </w:p>
                <w:p w14:paraId="5BCFEE49" w14:textId="77777777" w:rsidR="00F26371" w:rsidRPr="00740C0E" w:rsidRDefault="00F26371" w:rsidP="00F26371">
                  <w:pPr>
                    <w:spacing w:after="0" w:line="240" w:lineRule="auto"/>
                    <w:rPr>
                      <w:rFonts w:cs="Arial"/>
                      <w:color w:val="000000"/>
                      <w:sz w:val="20"/>
                      <w:szCs w:val="20"/>
                    </w:rPr>
                  </w:pPr>
                  <w:r w:rsidRPr="00740C0E">
                    <w:rPr>
                      <w:rFonts w:cs="Arial"/>
                      <w:color w:val="000000"/>
                      <w:sz w:val="20"/>
                      <w:szCs w:val="20"/>
                    </w:rPr>
                    <w:t>Differentiated HIV Testing Services</w:t>
                  </w:r>
                </w:p>
                <w:p w14:paraId="52F54C1F" w14:textId="77777777" w:rsidR="00F26371" w:rsidRPr="00740C0E" w:rsidRDefault="00F26371" w:rsidP="00F26371">
                  <w:pPr>
                    <w:spacing w:after="0" w:line="240" w:lineRule="auto"/>
                    <w:rPr>
                      <w:rFonts w:cs="Arial"/>
                      <w:color w:val="000000"/>
                      <w:sz w:val="20"/>
                      <w:szCs w:val="20"/>
                    </w:rPr>
                  </w:pPr>
                  <w:r w:rsidRPr="00740C0E">
                    <w:rPr>
                      <w:rFonts w:cs="Arial"/>
                      <w:color w:val="000000"/>
                      <w:sz w:val="20"/>
                      <w:szCs w:val="20"/>
                    </w:rPr>
                    <w:t>Differentiated ART service delivery and HIV care</w:t>
                  </w:r>
                </w:p>
                <w:p w14:paraId="277626CB" w14:textId="77777777" w:rsidR="00F26371" w:rsidRPr="00740C0E" w:rsidRDefault="00F26371" w:rsidP="00F26371">
                  <w:pPr>
                    <w:spacing w:after="0" w:line="240" w:lineRule="auto"/>
                    <w:rPr>
                      <w:sz w:val="20"/>
                      <w:szCs w:val="20"/>
                    </w:rPr>
                  </w:pPr>
                  <w:r w:rsidRPr="00740C0E">
                    <w:rPr>
                      <w:sz w:val="20"/>
                      <w:szCs w:val="20"/>
                    </w:rPr>
                    <w:t>Counseling and psycho-social support</w:t>
                  </w:r>
                </w:p>
                <w:p w14:paraId="7ABAF1F0" w14:textId="77777777" w:rsidR="00F26371" w:rsidRPr="00740C0E" w:rsidRDefault="00F26371" w:rsidP="00F26371">
                  <w:pPr>
                    <w:spacing w:after="0" w:line="240" w:lineRule="auto"/>
                    <w:rPr>
                      <w:rFonts w:cs="Arial"/>
                      <w:sz w:val="20"/>
                      <w:szCs w:val="20"/>
                    </w:rPr>
                  </w:pPr>
                  <w:r w:rsidRPr="00740C0E">
                    <w:rPr>
                      <w:rFonts w:cs="Arial"/>
                      <w:sz w:val="20"/>
                      <w:szCs w:val="20"/>
                    </w:rPr>
                    <w:t>Treatment monitoring</w:t>
                  </w:r>
                </w:p>
                <w:p w14:paraId="70E08D3B" w14:textId="77777777" w:rsidR="00F26371" w:rsidRPr="00740C0E" w:rsidRDefault="00F26371" w:rsidP="00F26371">
                  <w:pPr>
                    <w:spacing w:after="0" w:line="240" w:lineRule="auto"/>
                    <w:rPr>
                      <w:sz w:val="20"/>
                      <w:szCs w:val="20"/>
                    </w:rPr>
                  </w:pPr>
                  <w:r w:rsidRPr="00740C0E">
                    <w:rPr>
                      <w:sz w:val="20"/>
                      <w:szCs w:val="20"/>
                    </w:rPr>
                    <w:t>Prevention and management of co-infections and co-morbidities</w:t>
                  </w:r>
                </w:p>
                <w:p w14:paraId="7196F2D0" w14:textId="77777777" w:rsidR="00F26371" w:rsidRPr="00740C0E" w:rsidRDefault="00F26371" w:rsidP="00F26371">
                  <w:pPr>
                    <w:spacing w:after="0" w:line="240" w:lineRule="auto"/>
                    <w:rPr>
                      <w:rFonts w:cs="Arial"/>
                      <w:color w:val="000000"/>
                      <w:sz w:val="20"/>
                      <w:szCs w:val="20"/>
                    </w:rPr>
                  </w:pPr>
                  <w:r w:rsidRPr="00740C0E">
                    <w:rPr>
                      <w:rFonts w:cs="Arial"/>
                      <w:color w:val="000000"/>
                      <w:sz w:val="20"/>
                      <w:szCs w:val="20"/>
                    </w:rPr>
                    <w:t>MDR-TB: Detection and diagnosis</w:t>
                  </w:r>
                </w:p>
                <w:p w14:paraId="46EE026F" w14:textId="77777777" w:rsidR="00F26371" w:rsidRPr="00740C0E" w:rsidRDefault="00F26371" w:rsidP="00F26371">
                  <w:pPr>
                    <w:spacing w:after="0" w:line="240" w:lineRule="auto"/>
                    <w:rPr>
                      <w:rFonts w:cs="Arial"/>
                      <w:sz w:val="20"/>
                      <w:szCs w:val="20"/>
                    </w:rPr>
                  </w:pPr>
                  <w:r w:rsidRPr="00740C0E">
                    <w:rPr>
                      <w:rFonts w:cs="Arial"/>
                      <w:color w:val="000000"/>
                      <w:sz w:val="20"/>
                      <w:szCs w:val="20"/>
                    </w:rPr>
                    <w:t>MDR-TB: Treatment</w:t>
                  </w:r>
                  <w:r w:rsidRPr="00740C0E">
                    <w:rPr>
                      <w:rFonts w:cs="Arial"/>
                      <w:sz w:val="20"/>
                      <w:szCs w:val="20"/>
                    </w:rPr>
                    <w:t xml:space="preserve"> </w:t>
                  </w:r>
                </w:p>
                <w:p w14:paraId="33E03351" w14:textId="77777777" w:rsidR="00F26371" w:rsidRPr="00740C0E" w:rsidRDefault="00F26371" w:rsidP="00F26371">
                  <w:pPr>
                    <w:spacing w:after="0" w:line="240" w:lineRule="auto"/>
                    <w:rPr>
                      <w:rFonts w:cs="Arial"/>
                      <w:sz w:val="20"/>
                      <w:szCs w:val="20"/>
                    </w:rPr>
                  </w:pPr>
                  <w:r w:rsidRPr="00740C0E">
                    <w:rPr>
                      <w:rFonts w:cs="Arial"/>
                      <w:sz w:val="20"/>
                      <w:szCs w:val="20"/>
                    </w:rPr>
                    <w:t>TB care and prevention</w:t>
                  </w:r>
                </w:p>
                <w:p w14:paraId="3B1D7FD8" w14:textId="77777777" w:rsidR="00F26371" w:rsidRPr="00740C0E" w:rsidRDefault="00F26371" w:rsidP="00F26371">
                  <w:pPr>
                    <w:spacing w:after="0" w:line="240" w:lineRule="auto"/>
                    <w:rPr>
                      <w:rFonts w:cs="Arial"/>
                      <w:bCs/>
                      <w:color w:val="000000"/>
                      <w:sz w:val="20"/>
                      <w:szCs w:val="20"/>
                    </w:rPr>
                  </w:pPr>
                  <w:r w:rsidRPr="00740C0E">
                    <w:rPr>
                      <w:rFonts w:cs="Arial"/>
                      <w:bCs/>
                      <w:color w:val="000000"/>
                      <w:sz w:val="20"/>
                      <w:szCs w:val="20"/>
                    </w:rPr>
                    <w:t>RSSH health sector governance and planning</w:t>
                  </w:r>
                </w:p>
                <w:p w14:paraId="75BE5E01" w14:textId="77777777" w:rsidR="00F26371" w:rsidRPr="00740C0E" w:rsidRDefault="00F26371" w:rsidP="00F26371">
                  <w:pPr>
                    <w:spacing w:after="0" w:line="240" w:lineRule="auto"/>
                    <w:rPr>
                      <w:rFonts w:cs="Arial"/>
                      <w:bCs/>
                      <w:color w:val="000000"/>
                      <w:sz w:val="20"/>
                      <w:szCs w:val="20"/>
                    </w:rPr>
                  </w:pPr>
                  <w:r w:rsidRPr="00740C0E">
                    <w:rPr>
                      <w:rFonts w:cs="Arial"/>
                      <w:bCs/>
                      <w:color w:val="000000"/>
                      <w:sz w:val="20"/>
                      <w:szCs w:val="20"/>
                    </w:rPr>
                    <w:t>RSSH Integrated service delivery and quality improvement</w:t>
                  </w:r>
                </w:p>
                <w:p w14:paraId="232932B8" w14:textId="77777777" w:rsidR="00F26371" w:rsidRPr="00740C0E" w:rsidRDefault="00F26371" w:rsidP="00F26371">
                  <w:pPr>
                    <w:spacing w:after="0" w:line="240" w:lineRule="auto"/>
                    <w:rPr>
                      <w:rFonts w:cs="Arial"/>
                      <w:bCs/>
                      <w:color w:val="000000"/>
                      <w:sz w:val="20"/>
                      <w:szCs w:val="20"/>
                    </w:rPr>
                  </w:pPr>
                  <w:r w:rsidRPr="00740C0E">
                    <w:rPr>
                      <w:rFonts w:cs="Arial"/>
                      <w:bCs/>
                      <w:color w:val="000000"/>
                      <w:sz w:val="20"/>
                      <w:szCs w:val="20"/>
                    </w:rPr>
                    <w:t>RSSH Human resources for health, including community health workers</w:t>
                  </w:r>
                </w:p>
                <w:p w14:paraId="7E8B751D" w14:textId="77777777" w:rsidR="00F26371" w:rsidRPr="00740C0E" w:rsidRDefault="00F26371" w:rsidP="00F26371">
                  <w:pPr>
                    <w:spacing w:after="0" w:line="240" w:lineRule="auto"/>
                    <w:rPr>
                      <w:rFonts w:cs="Arial"/>
                      <w:bCs/>
                      <w:color w:val="000000"/>
                      <w:sz w:val="20"/>
                      <w:szCs w:val="20"/>
                    </w:rPr>
                  </w:pPr>
                  <w:r w:rsidRPr="00740C0E">
                    <w:rPr>
                      <w:rFonts w:cs="Arial"/>
                      <w:bCs/>
                      <w:color w:val="000000"/>
                      <w:sz w:val="20"/>
                      <w:szCs w:val="20"/>
                    </w:rPr>
                    <w:t>RSSH Health Management Information Systems and M&amp;E</w:t>
                  </w:r>
                </w:p>
                <w:p w14:paraId="4718C32F" w14:textId="77777777" w:rsidR="00F26371" w:rsidRPr="00740C0E" w:rsidRDefault="00F26371" w:rsidP="00F26371">
                  <w:pPr>
                    <w:spacing w:after="0" w:line="240" w:lineRule="auto"/>
                    <w:rPr>
                      <w:rFonts w:cs="Arial"/>
                      <w:bCs/>
                      <w:color w:val="000000"/>
                      <w:sz w:val="20"/>
                      <w:szCs w:val="20"/>
                    </w:rPr>
                  </w:pPr>
                  <w:r w:rsidRPr="00740C0E">
                    <w:rPr>
                      <w:rFonts w:cs="Arial"/>
                      <w:bCs/>
                      <w:color w:val="000000"/>
                      <w:sz w:val="20"/>
                      <w:szCs w:val="20"/>
                    </w:rPr>
                    <w:t>CSS / Community-based monitoring, Social mobilization, building community linkage and coordination</w:t>
                  </w:r>
                </w:p>
                <w:p w14:paraId="1C04C069" w14:textId="77777777" w:rsidR="00F26371" w:rsidRPr="00740C0E" w:rsidRDefault="00F26371" w:rsidP="00F26371">
                  <w:pPr>
                    <w:spacing w:after="0" w:line="240" w:lineRule="auto"/>
                    <w:rPr>
                      <w:sz w:val="20"/>
                      <w:szCs w:val="20"/>
                    </w:rPr>
                  </w:pPr>
                  <w:r w:rsidRPr="00740C0E">
                    <w:rPr>
                      <w:rFonts w:cs="Arial"/>
                      <w:bCs/>
                      <w:color w:val="000000"/>
                      <w:sz w:val="20"/>
                      <w:szCs w:val="20"/>
                    </w:rPr>
                    <w:t>Reducing human rights-related barriers to HIV services</w:t>
                  </w:r>
                </w:p>
              </w:tc>
            </w:tr>
            <w:tr w:rsidR="00F26371" w:rsidRPr="00740C0E" w14:paraId="62DE6806" w14:textId="77777777" w:rsidTr="00F26371">
              <w:tc>
                <w:tcPr>
                  <w:tcW w:w="1705" w:type="dxa"/>
                  <w:shd w:val="clear" w:color="auto" w:fill="00B050"/>
                </w:tcPr>
                <w:p w14:paraId="725EAB0A" w14:textId="77777777" w:rsidR="00F26371" w:rsidRPr="000E4166" w:rsidRDefault="00F26371" w:rsidP="00F26371">
                  <w:pPr>
                    <w:spacing w:after="0" w:line="240" w:lineRule="auto"/>
                    <w:rPr>
                      <w:rFonts w:cs="Arial"/>
                      <w:b/>
                      <w:sz w:val="20"/>
                      <w:szCs w:val="20"/>
                    </w:rPr>
                  </w:pPr>
                  <w:r w:rsidRPr="000E4166">
                    <w:rPr>
                      <w:rFonts w:cs="Arial"/>
                      <w:b/>
                      <w:sz w:val="20"/>
                      <w:szCs w:val="20"/>
                    </w:rPr>
                    <w:t>Sub-recipient</w:t>
                  </w:r>
                </w:p>
                <w:p w14:paraId="34D4836A" w14:textId="77777777" w:rsidR="00F26371" w:rsidRPr="000E4166" w:rsidRDefault="00F26371" w:rsidP="00F26371">
                  <w:pPr>
                    <w:spacing w:after="0" w:line="240" w:lineRule="auto"/>
                    <w:rPr>
                      <w:b/>
                      <w:sz w:val="20"/>
                      <w:szCs w:val="20"/>
                    </w:rPr>
                  </w:pPr>
                  <w:r w:rsidRPr="000E4166">
                    <w:rPr>
                      <w:rFonts w:cs="Arial"/>
                      <w:b/>
                      <w:sz w:val="20"/>
                      <w:szCs w:val="20"/>
                    </w:rPr>
                    <w:t>PAS Center</w:t>
                  </w:r>
                </w:p>
              </w:tc>
              <w:tc>
                <w:tcPr>
                  <w:tcW w:w="8430" w:type="dxa"/>
                </w:tcPr>
                <w:p w14:paraId="57C238D2" w14:textId="77777777" w:rsidR="00F26371" w:rsidRPr="00740C0E" w:rsidRDefault="00F26371" w:rsidP="00F26371">
                  <w:pPr>
                    <w:spacing w:after="0" w:line="240" w:lineRule="auto"/>
                    <w:rPr>
                      <w:rFonts w:cs="Arial"/>
                      <w:sz w:val="20"/>
                      <w:szCs w:val="20"/>
                    </w:rPr>
                  </w:pPr>
                  <w:r w:rsidRPr="00740C0E">
                    <w:rPr>
                      <w:rFonts w:cs="Arial"/>
                      <w:color w:val="000000"/>
                      <w:sz w:val="20"/>
                      <w:szCs w:val="20"/>
                    </w:rPr>
                    <w:t>MDR-TB: Key Populations</w:t>
                  </w:r>
                  <w:r w:rsidRPr="00740C0E">
                    <w:rPr>
                      <w:rFonts w:cs="Arial"/>
                      <w:sz w:val="20"/>
                      <w:szCs w:val="20"/>
                    </w:rPr>
                    <w:t xml:space="preserve"> </w:t>
                  </w:r>
                </w:p>
                <w:p w14:paraId="510ABCC9" w14:textId="77777777" w:rsidR="00F26371" w:rsidRPr="00740C0E" w:rsidRDefault="00F26371" w:rsidP="00F26371">
                  <w:pPr>
                    <w:spacing w:after="0" w:line="240" w:lineRule="auto"/>
                    <w:rPr>
                      <w:rFonts w:cs="Arial"/>
                      <w:sz w:val="20"/>
                      <w:szCs w:val="20"/>
                    </w:rPr>
                  </w:pPr>
                  <w:r w:rsidRPr="00740C0E">
                    <w:rPr>
                      <w:rFonts w:cs="Arial"/>
                      <w:color w:val="000000"/>
                      <w:sz w:val="20"/>
                      <w:szCs w:val="20"/>
                    </w:rPr>
                    <w:t>MDR-TB: Treatment</w:t>
                  </w:r>
                  <w:r w:rsidRPr="00740C0E">
                    <w:rPr>
                      <w:rFonts w:cs="Arial"/>
                      <w:sz w:val="20"/>
                      <w:szCs w:val="20"/>
                    </w:rPr>
                    <w:t xml:space="preserve"> </w:t>
                  </w:r>
                </w:p>
                <w:p w14:paraId="23F94576" w14:textId="77777777" w:rsidR="00F26371" w:rsidRPr="00740C0E" w:rsidRDefault="00F26371" w:rsidP="00F26371">
                  <w:pPr>
                    <w:spacing w:after="0" w:line="240" w:lineRule="auto"/>
                    <w:rPr>
                      <w:rFonts w:cs="Arial"/>
                      <w:sz w:val="20"/>
                      <w:szCs w:val="20"/>
                    </w:rPr>
                  </w:pPr>
                  <w:r w:rsidRPr="00740C0E">
                    <w:rPr>
                      <w:rFonts w:cs="Arial"/>
                      <w:sz w:val="20"/>
                      <w:szCs w:val="20"/>
                    </w:rPr>
                    <w:t>TB care and prevention</w:t>
                  </w:r>
                </w:p>
                <w:p w14:paraId="2CEA7C90" w14:textId="77777777" w:rsidR="00F26371" w:rsidRPr="00740C0E" w:rsidRDefault="00F26371" w:rsidP="00F26371">
                  <w:pPr>
                    <w:spacing w:after="0" w:line="240" w:lineRule="auto"/>
                    <w:rPr>
                      <w:rFonts w:cs="Arial"/>
                      <w:sz w:val="20"/>
                      <w:szCs w:val="20"/>
                    </w:rPr>
                  </w:pPr>
                  <w:r w:rsidRPr="00740C0E">
                    <w:rPr>
                      <w:rFonts w:cs="Arial"/>
                      <w:color w:val="000000"/>
                      <w:sz w:val="20"/>
                      <w:szCs w:val="20"/>
                    </w:rPr>
                    <w:t>PMTCT</w:t>
                  </w:r>
                </w:p>
                <w:p w14:paraId="3AB958BC" w14:textId="77777777" w:rsidR="00F26371" w:rsidRPr="00740C0E" w:rsidRDefault="00F26371" w:rsidP="00F26371">
                  <w:pPr>
                    <w:spacing w:after="0" w:line="240" w:lineRule="auto"/>
                    <w:rPr>
                      <w:rFonts w:cs="Arial"/>
                      <w:bCs/>
                      <w:color w:val="000000"/>
                      <w:sz w:val="20"/>
                      <w:szCs w:val="20"/>
                    </w:rPr>
                  </w:pPr>
                  <w:r w:rsidRPr="00740C0E">
                    <w:rPr>
                      <w:rFonts w:cs="Arial"/>
                      <w:sz w:val="20"/>
                      <w:szCs w:val="20"/>
                    </w:rPr>
                    <w:t>Differentiated ART service delivery and HIV care</w:t>
                  </w:r>
                </w:p>
                <w:p w14:paraId="738DF584" w14:textId="77777777" w:rsidR="00F26371" w:rsidRPr="00740C0E" w:rsidRDefault="00F26371" w:rsidP="00F26371">
                  <w:pPr>
                    <w:spacing w:after="0" w:line="240" w:lineRule="auto"/>
                    <w:rPr>
                      <w:rFonts w:cs="Arial"/>
                      <w:bCs/>
                      <w:color w:val="000000"/>
                      <w:sz w:val="20"/>
                      <w:szCs w:val="20"/>
                    </w:rPr>
                  </w:pPr>
                  <w:r w:rsidRPr="00740C0E">
                    <w:rPr>
                      <w:rFonts w:cs="Arial"/>
                      <w:bCs/>
                      <w:color w:val="000000"/>
                      <w:sz w:val="20"/>
                      <w:szCs w:val="20"/>
                    </w:rPr>
                    <w:t>RSSH health sector governance and planning</w:t>
                  </w:r>
                </w:p>
                <w:p w14:paraId="2810C543" w14:textId="77777777" w:rsidR="00F26371" w:rsidRPr="00740C0E" w:rsidRDefault="00F26371" w:rsidP="00F26371">
                  <w:pPr>
                    <w:spacing w:after="0" w:line="240" w:lineRule="auto"/>
                    <w:rPr>
                      <w:rFonts w:cs="Arial"/>
                      <w:bCs/>
                      <w:color w:val="000000"/>
                      <w:sz w:val="20"/>
                      <w:szCs w:val="20"/>
                    </w:rPr>
                  </w:pPr>
                  <w:r w:rsidRPr="00740C0E">
                    <w:rPr>
                      <w:rFonts w:cs="Arial"/>
                      <w:bCs/>
                      <w:color w:val="000000"/>
                      <w:sz w:val="20"/>
                      <w:szCs w:val="20"/>
                    </w:rPr>
                    <w:t>RSSH Integrated service delivery and quality improvement</w:t>
                  </w:r>
                </w:p>
                <w:p w14:paraId="266C5C01" w14:textId="77777777" w:rsidR="00F26371" w:rsidRPr="00740C0E" w:rsidRDefault="00F26371" w:rsidP="00F26371">
                  <w:pPr>
                    <w:spacing w:after="0" w:line="240" w:lineRule="auto"/>
                    <w:rPr>
                      <w:rFonts w:cs="Arial"/>
                      <w:bCs/>
                      <w:color w:val="000000"/>
                      <w:sz w:val="20"/>
                      <w:szCs w:val="20"/>
                    </w:rPr>
                  </w:pPr>
                  <w:r w:rsidRPr="00740C0E">
                    <w:rPr>
                      <w:rFonts w:cs="Arial"/>
                      <w:bCs/>
                      <w:color w:val="000000"/>
                      <w:sz w:val="20"/>
                      <w:szCs w:val="20"/>
                    </w:rPr>
                    <w:t>RSSH Human resources for health, including community health workers</w:t>
                  </w:r>
                </w:p>
                <w:p w14:paraId="261262D7" w14:textId="77777777" w:rsidR="00F26371" w:rsidRPr="00740C0E" w:rsidRDefault="00F26371" w:rsidP="00F26371">
                  <w:pPr>
                    <w:spacing w:after="0" w:line="240" w:lineRule="auto"/>
                    <w:rPr>
                      <w:rFonts w:cs="Arial"/>
                      <w:bCs/>
                      <w:color w:val="000000"/>
                      <w:sz w:val="20"/>
                      <w:szCs w:val="20"/>
                    </w:rPr>
                  </w:pPr>
                  <w:r w:rsidRPr="00740C0E">
                    <w:rPr>
                      <w:rFonts w:cs="Arial"/>
                      <w:bCs/>
                      <w:color w:val="000000"/>
                      <w:sz w:val="20"/>
                      <w:szCs w:val="20"/>
                    </w:rPr>
                    <w:t>RSSH Health Management Information Systems and M&amp;E</w:t>
                  </w:r>
                </w:p>
                <w:p w14:paraId="2A6688BB" w14:textId="77777777" w:rsidR="00F26371" w:rsidRPr="00740C0E" w:rsidRDefault="00F26371" w:rsidP="00F26371">
                  <w:pPr>
                    <w:spacing w:after="0" w:line="240" w:lineRule="auto"/>
                    <w:rPr>
                      <w:rFonts w:cs="Arial"/>
                      <w:bCs/>
                      <w:color w:val="000000"/>
                      <w:sz w:val="20"/>
                      <w:szCs w:val="20"/>
                    </w:rPr>
                  </w:pPr>
                  <w:r w:rsidRPr="00740C0E">
                    <w:rPr>
                      <w:rFonts w:cs="Arial"/>
                      <w:bCs/>
                      <w:color w:val="000000"/>
                      <w:sz w:val="20"/>
                      <w:szCs w:val="20"/>
                    </w:rPr>
                    <w:t>RSSH PSM</w:t>
                  </w:r>
                </w:p>
                <w:p w14:paraId="3A98315F" w14:textId="666CD8BD" w:rsidR="00F26371" w:rsidRPr="00740C0E" w:rsidRDefault="00F26371" w:rsidP="00F26371">
                  <w:pPr>
                    <w:spacing w:after="0" w:line="240" w:lineRule="auto"/>
                    <w:rPr>
                      <w:rFonts w:cs="Arial"/>
                      <w:bCs/>
                      <w:color w:val="000000"/>
                      <w:sz w:val="20"/>
                      <w:szCs w:val="20"/>
                    </w:rPr>
                  </w:pPr>
                  <w:r>
                    <w:rPr>
                      <w:rFonts w:cs="Arial"/>
                      <w:bCs/>
                      <w:color w:val="000000"/>
                      <w:sz w:val="20"/>
                      <w:szCs w:val="20"/>
                    </w:rPr>
                    <w:t xml:space="preserve">RSSH </w:t>
                  </w:r>
                  <w:r w:rsidRPr="00740C0E">
                    <w:rPr>
                      <w:rFonts w:cs="Arial"/>
                      <w:bCs/>
                      <w:color w:val="000000"/>
                      <w:sz w:val="20"/>
                      <w:szCs w:val="20"/>
                    </w:rPr>
                    <w:t>CSS / TB Community-based monitoring, Social mobilization, building community linkage and coordination</w:t>
                  </w:r>
                </w:p>
                <w:p w14:paraId="7BAACF44" w14:textId="77777777" w:rsidR="00F26371" w:rsidRPr="00740C0E" w:rsidRDefault="00F26371" w:rsidP="00F26371">
                  <w:pPr>
                    <w:spacing w:after="0" w:line="240" w:lineRule="auto"/>
                    <w:rPr>
                      <w:sz w:val="20"/>
                      <w:szCs w:val="20"/>
                    </w:rPr>
                  </w:pPr>
                  <w:r w:rsidRPr="00740C0E">
                    <w:rPr>
                      <w:rFonts w:cs="Arial"/>
                      <w:bCs/>
                      <w:color w:val="000000"/>
                      <w:sz w:val="20"/>
                      <w:szCs w:val="20"/>
                    </w:rPr>
                    <w:t>Reducing human rights-related barriers to TB services</w:t>
                  </w:r>
                </w:p>
              </w:tc>
            </w:tr>
          </w:tbl>
          <w:p w14:paraId="78E2DFA4" w14:textId="7F4B90FC" w:rsidR="00B54A6E" w:rsidRPr="00450045" w:rsidRDefault="00B54A6E" w:rsidP="00A23459">
            <w:pPr>
              <w:spacing w:after="0" w:line="240" w:lineRule="auto"/>
              <w:rPr>
                <w:rFonts w:cs="Arial"/>
                <w:color w:val="FF0000"/>
                <w:highlight w:val="yellow"/>
              </w:rPr>
            </w:pPr>
          </w:p>
          <w:p w14:paraId="18FCF4CD" w14:textId="5912604A" w:rsidR="00485066" w:rsidRPr="001D57CE" w:rsidRDefault="00253CE0" w:rsidP="006D029C">
            <w:pPr>
              <w:spacing w:after="0" w:line="240" w:lineRule="auto"/>
              <w:rPr>
                <w:rFonts w:cs="Arial"/>
              </w:rPr>
            </w:pPr>
            <w:r w:rsidRPr="00CC7D39">
              <w:rPr>
                <w:bCs/>
                <w:sz w:val="20"/>
                <w:szCs w:val="20"/>
                <w:lang w:val="en-GB"/>
              </w:rPr>
              <w:t>For a comprehensive outline of a</w:t>
            </w:r>
            <w:r w:rsidR="00450045">
              <w:rPr>
                <w:bCs/>
                <w:sz w:val="20"/>
                <w:szCs w:val="20"/>
                <w:lang w:val="en-GB"/>
              </w:rPr>
              <w:t>ll beneficiaries, implementers</w:t>
            </w:r>
            <w:r w:rsidRPr="00CC7D39">
              <w:rPr>
                <w:bCs/>
                <w:sz w:val="20"/>
                <w:szCs w:val="20"/>
                <w:lang w:val="en-GB"/>
              </w:rPr>
              <w:t xml:space="preserve"> and monitoring or overseeing stakeholders with assigned roles or responsibilities, see the attached Annex “Implementation Arrangements Map”. </w:t>
            </w:r>
          </w:p>
        </w:tc>
      </w:tr>
    </w:tbl>
    <w:p w14:paraId="77ECCEE2" w14:textId="67513B2D" w:rsidR="00485066" w:rsidRPr="001D57CE" w:rsidRDefault="00485066" w:rsidP="00485066">
      <w:pPr>
        <w:spacing w:after="0"/>
        <w:contextualSpacing/>
        <w:rPr>
          <w:rFonts w:cs="Arial"/>
          <w:bCs/>
          <w:iCs/>
        </w:rPr>
      </w:pPr>
    </w:p>
    <w:p w14:paraId="6B7B6961" w14:textId="191C1782" w:rsidR="00E442A2" w:rsidRPr="001D57CE" w:rsidRDefault="00B2724B" w:rsidP="00F42E40">
      <w:pPr>
        <w:pStyle w:val="ListParagraph"/>
        <w:numPr>
          <w:ilvl w:val="0"/>
          <w:numId w:val="21"/>
        </w:numPr>
        <w:spacing w:after="0" w:line="260" w:lineRule="atLeast"/>
        <w:jc w:val="both"/>
        <w:rPr>
          <w:rFonts w:cs="Arial"/>
        </w:rPr>
      </w:pPr>
      <w:r>
        <w:t>De</w:t>
      </w:r>
      <w:r w:rsidR="00E442A2" w:rsidRPr="001D57CE">
        <w:t xml:space="preserve">scribe the role that </w:t>
      </w:r>
      <w:r w:rsidR="00E442A2" w:rsidRPr="0096146C">
        <w:rPr>
          <w:b/>
        </w:rPr>
        <w:t>community-based organizations</w:t>
      </w:r>
      <w:r w:rsidR="00E442A2" w:rsidRPr="001D57CE">
        <w:t xml:space="preserve"> will play under the implementation arrangements.</w:t>
      </w:r>
    </w:p>
    <w:p w14:paraId="7886AAC4" w14:textId="77777777" w:rsidR="00E442A2" w:rsidRPr="008C21CF" w:rsidRDefault="00E442A2" w:rsidP="00E442A2">
      <w:pPr>
        <w:pStyle w:val="ListParagraph"/>
        <w:spacing w:after="0"/>
        <w:ind w:left="360"/>
        <w:rPr>
          <w:bCs/>
          <w:iCs/>
        </w:rPr>
      </w:pPr>
    </w:p>
    <w:tbl>
      <w:tblPr>
        <w:tblStyle w:val="TableGrid"/>
        <w:tblW w:w="0" w:type="auto"/>
        <w:tblLook w:val="04A0" w:firstRow="1" w:lastRow="0" w:firstColumn="1" w:lastColumn="0" w:noHBand="0" w:noVBand="1"/>
      </w:tblPr>
      <w:tblGrid>
        <w:gridCol w:w="10456"/>
      </w:tblGrid>
      <w:tr w:rsidR="00E442A2" w:rsidRPr="001D57CE" w14:paraId="052E012C" w14:textId="77777777" w:rsidTr="009B1BDA">
        <w:tc>
          <w:tcPr>
            <w:tcW w:w="10790" w:type="dxa"/>
          </w:tcPr>
          <w:p w14:paraId="1B99098E" w14:textId="5D8607D2" w:rsidR="00450045" w:rsidRPr="00C50369" w:rsidRDefault="00450045" w:rsidP="00450045">
            <w:pPr>
              <w:spacing w:before="120" w:line="240" w:lineRule="auto"/>
              <w:jc w:val="both"/>
              <w:rPr>
                <w:sz w:val="20"/>
                <w:szCs w:val="20"/>
                <w:lang w:val="en-GB"/>
              </w:rPr>
            </w:pPr>
            <w:r w:rsidRPr="00450045">
              <w:rPr>
                <w:sz w:val="20"/>
                <w:szCs w:val="20"/>
                <w:lang w:val="en-GB"/>
              </w:rPr>
              <w:t xml:space="preserve">The role of </w:t>
            </w:r>
            <w:r w:rsidR="006D029C">
              <w:rPr>
                <w:sz w:val="20"/>
                <w:szCs w:val="20"/>
                <w:lang w:val="en-GB"/>
              </w:rPr>
              <w:t xml:space="preserve">civil society organisation (CSOs) and particularly </w:t>
            </w:r>
            <w:r w:rsidRPr="00450045">
              <w:rPr>
                <w:sz w:val="20"/>
                <w:szCs w:val="20"/>
                <w:lang w:val="en-GB"/>
              </w:rPr>
              <w:t>community-based organizations (CBOs</w:t>
            </w:r>
            <w:r w:rsidR="006D029C">
              <w:rPr>
                <w:sz w:val="20"/>
                <w:szCs w:val="20"/>
                <w:lang w:val="en-GB"/>
              </w:rPr>
              <w:t>)</w:t>
            </w:r>
            <w:r w:rsidRPr="00450045">
              <w:rPr>
                <w:sz w:val="20"/>
                <w:szCs w:val="20"/>
                <w:lang w:val="en-GB"/>
              </w:rPr>
              <w:t xml:space="preserve"> of key populations</w:t>
            </w:r>
            <w:r w:rsidR="006D029C">
              <w:rPr>
                <w:sz w:val="20"/>
                <w:szCs w:val="20"/>
                <w:lang w:val="en-GB"/>
              </w:rPr>
              <w:t xml:space="preserve"> and</w:t>
            </w:r>
            <w:r w:rsidRPr="00450045">
              <w:rPr>
                <w:sz w:val="20"/>
                <w:szCs w:val="20"/>
                <w:lang w:val="en-GB"/>
              </w:rPr>
              <w:t xml:space="preserve"> PLHIV and people affected by TB is essential to support the national response to </w:t>
            </w:r>
            <w:r>
              <w:rPr>
                <w:sz w:val="20"/>
                <w:szCs w:val="20"/>
                <w:lang w:val="en-GB"/>
              </w:rPr>
              <w:t xml:space="preserve">TB and </w:t>
            </w:r>
            <w:r w:rsidRPr="00450045">
              <w:rPr>
                <w:sz w:val="20"/>
                <w:szCs w:val="20"/>
                <w:lang w:val="en-GB"/>
              </w:rPr>
              <w:t>HIV in Moldova</w:t>
            </w:r>
            <w:r>
              <w:rPr>
                <w:rFonts w:asciiTheme="minorHAnsi" w:eastAsia="Arial" w:hAnsiTheme="minorHAnsi" w:cstheme="minorHAnsi"/>
              </w:rPr>
              <w:t xml:space="preserve">. </w:t>
            </w:r>
            <w:r w:rsidRPr="00C50369">
              <w:rPr>
                <w:sz w:val="20"/>
                <w:szCs w:val="20"/>
                <w:lang w:val="en-GB"/>
              </w:rPr>
              <w:t>The active involvement of community-based organizations in the development process of both National TB/HIV Prog</w:t>
            </w:r>
            <w:r>
              <w:rPr>
                <w:sz w:val="20"/>
                <w:szCs w:val="20"/>
                <w:lang w:val="en-GB"/>
              </w:rPr>
              <w:t>rams and the GF Funding Request</w:t>
            </w:r>
            <w:r w:rsidRPr="00C50369">
              <w:rPr>
                <w:sz w:val="20"/>
                <w:szCs w:val="20"/>
                <w:lang w:val="en-GB"/>
              </w:rPr>
              <w:t xml:space="preserve"> has ensured that the needs and key services for communities and KPs are properly addressed and sustained within the course of the next three years. </w:t>
            </w:r>
            <w:r>
              <w:rPr>
                <w:sz w:val="20"/>
                <w:szCs w:val="20"/>
                <w:lang w:val="en-GB"/>
              </w:rPr>
              <w:t xml:space="preserve"> </w:t>
            </w:r>
            <w:r w:rsidRPr="00C50369">
              <w:rPr>
                <w:sz w:val="20"/>
                <w:szCs w:val="20"/>
                <w:lang w:val="en-GB"/>
              </w:rPr>
              <w:t>CSOs from both sides of the</w:t>
            </w:r>
            <w:r>
              <w:rPr>
                <w:sz w:val="20"/>
                <w:szCs w:val="20"/>
                <w:lang w:val="en-GB"/>
              </w:rPr>
              <w:t xml:space="preserve"> River Nistru represent over 40</w:t>
            </w:r>
            <w:r w:rsidRPr="00C50369">
              <w:rPr>
                <w:sz w:val="20"/>
                <w:szCs w:val="20"/>
                <w:lang w:val="en-GB"/>
              </w:rPr>
              <w:t>% of</w:t>
            </w:r>
            <w:r>
              <w:rPr>
                <w:sz w:val="20"/>
                <w:szCs w:val="20"/>
                <w:lang w:val="en-GB"/>
              </w:rPr>
              <w:t xml:space="preserve"> CCM</w:t>
            </w:r>
            <w:r w:rsidRPr="00C50369">
              <w:rPr>
                <w:sz w:val="20"/>
                <w:szCs w:val="20"/>
                <w:lang w:val="en-GB"/>
              </w:rPr>
              <w:t xml:space="preserve"> membership</w:t>
            </w:r>
            <w:r>
              <w:rPr>
                <w:sz w:val="20"/>
                <w:szCs w:val="20"/>
                <w:lang w:val="en-GB"/>
              </w:rPr>
              <w:t>.</w:t>
            </w:r>
            <w:r w:rsidRPr="00C50369">
              <w:rPr>
                <w:sz w:val="20"/>
                <w:szCs w:val="20"/>
                <w:lang w:val="en-GB"/>
              </w:rPr>
              <w:t xml:space="preserve"> KAPs (PWIDs, MSM, SWs, inmates and homeless people) and Communities of people living with HIV/TB and comorbidities play an important role in designing, implementing and monitoring interventions to be supported through the 2021-2023 GF allocation. </w:t>
            </w:r>
          </w:p>
          <w:p w14:paraId="7D792EAE" w14:textId="4153EF49" w:rsidR="00253CE0" w:rsidRPr="00C50369" w:rsidRDefault="00253CE0" w:rsidP="00C50369">
            <w:pPr>
              <w:spacing w:before="120" w:line="240" w:lineRule="auto"/>
              <w:jc w:val="both"/>
              <w:rPr>
                <w:sz w:val="20"/>
                <w:szCs w:val="20"/>
                <w:lang w:val="en-GB"/>
              </w:rPr>
            </w:pPr>
            <w:r w:rsidRPr="00C50369">
              <w:rPr>
                <w:sz w:val="20"/>
                <w:szCs w:val="20"/>
                <w:lang w:val="en-GB"/>
              </w:rPr>
              <w:t xml:space="preserve">The 2021-2023 grant activities are aligned with the prioritized country needs and based on the drafts of the National Plans for TB and HIV Control 2021-2025 and are aiming to partially or fully support important interventions needed by the KAPs and health systems, which cannot be yet fully taken over by the state budget.  Moreover, one of the key axes of the newly drafted NAP is </w:t>
            </w:r>
            <w:r w:rsidR="00C50369">
              <w:rPr>
                <w:sz w:val="20"/>
                <w:szCs w:val="20"/>
                <w:lang w:val="en-GB"/>
              </w:rPr>
              <w:t>to support</w:t>
            </w:r>
            <w:r w:rsidRPr="00C50369">
              <w:rPr>
                <w:sz w:val="20"/>
                <w:szCs w:val="20"/>
                <w:lang w:val="en-GB"/>
              </w:rPr>
              <w:t xml:space="preserve"> a vibrant community voice able to monitor the response and reduce human rights barriers. </w:t>
            </w:r>
          </w:p>
          <w:p w14:paraId="42A2015E" w14:textId="4626CE52" w:rsidR="00C50369" w:rsidRDefault="00450045" w:rsidP="00C50369">
            <w:pPr>
              <w:spacing w:before="120" w:line="240" w:lineRule="auto"/>
              <w:jc w:val="both"/>
              <w:rPr>
                <w:sz w:val="20"/>
                <w:szCs w:val="20"/>
                <w:lang w:val="en-GB"/>
              </w:rPr>
            </w:pPr>
            <w:r>
              <w:rPr>
                <w:sz w:val="20"/>
                <w:szCs w:val="20"/>
                <w:lang w:val="en-GB"/>
              </w:rPr>
              <w:lastRenderedPageBreak/>
              <w:t>CBOs will play</w:t>
            </w:r>
            <w:r w:rsidR="00A23459" w:rsidRPr="00C50369">
              <w:rPr>
                <w:sz w:val="20"/>
                <w:szCs w:val="20"/>
                <w:lang w:val="en-GB"/>
              </w:rPr>
              <w:t xml:space="preserve"> </w:t>
            </w:r>
            <w:r w:rsidRPr="00C50369">
              <w:rPr>
                <w:sz w:val="20"/>
                <w:szCs w:val="20"/>
                <w:lang w:val="en-GB"/>
              </w:rPr>
              <w:t>multiple roles</w:t>
            </w:r>
            <w:r>
              <w:rPr>
                <w:sz w:val="20"/>
                <w:szCs w:val="20"/>
                <w:lang w:val="en-GB"/>
              </w:rPr>
              <w:t xml:space="preserve"> in</w:t>
            </w:r>
            <w:r w:rsidRPr="00C50369">
              <w:rPr>
                <w:sz w:val="20"/>
                <w:szCs w:val="20"/>
                <w:lang w:val="en-GB"/>
              </w:rPr>
              <w:t xml:space="preserve"> </w:t>
            </w:r>
            <w:r>
              <w:rPr>
                <w:sz w:val="20"/>
                <w:szCs w:val="20"/>
                <w:lang w:val="en-GB"/>
              </w:rPr>
              <w:t>grant implementation</w:t>
            </w:r>
            <w:r w:rsidR="00A23459" w:rsidRPr="00C50369">
              <w:rPr>
                <w:sz w:val="20"/>
                <w:szCs w:val="20"/>
                <w:lang w:val="en-GB"/>
              </w:rPr>
              <w:t xml:space="preserve">: </w:t>
            </w:r>
            <w:r w:rsidR="00C50369">
              <w:rPr>
                <w:sz w:val="20"/>
                <w:szCs w:val="20"/>
                <w:lang w:val="en-GB"/>
              </w:rPr>
              <w:t xml:space="preserve">(1) </w:t>
            </w:r>
            <w:r w:rsidR="00A23459" w:rsidRPr="00C50369">
              <w:rPr>
                <w:sz w:val="20"/>
                <w:szCs w:val="20"/>
                <w:lang w:val="en-GB"/>
              </w:rPr>
              <w:t>implementer</w:t>
            </w:r>
            <w:r w:rsidR="00C50369">
              <w:rPr>
                <w:sz w:val="20"/>
                <w:szCs w:val="20"/>
                <w:lang w:val="en-GB"/>
              </w:rPr>
              <w:t xml:space="preserve">s (2) </w:t>
            </w:r>
            <w:r w:rsidR="00A23459" w:rsidRPr="00C50369">
              <w:rPr>
                <w:sz w:val="20"/>
                <w:szCs w:val="20"/>
                <w:lang w:val="en-GB"/>
              </w:rPr>
              <w:t>watchdog and advocates to ensure access to services an</w:t>
            </w:r>
            <w:r w:rsidR="00C50369">
              <w:rPr>
                <w:sz w:val="20"/>
                <w:szCs w:val="20"/>
                <w:lang w:val="en-GB"/>
              </w:rPr>
              <w:t>d</w:t>
            </w:r>
            <w:r w:rsidR="00A23459" w:rsidRPr="00C50369">
              <w:rPr>
                <w:sz w:val="20"/>
                <w:szCs w:val="20"/>
                <w:lang w:val="en-GB"/>
              </w:rPr>
              <w:t xml:space="preserve"> remove barriers, and </w:t>
            </w:r>
            <w:r w:rsidR="00C50369">
              <w:rPr>
                <w:sz w:val="20"/>
                <w:szCs w:val="20"/>
                <w:lang w:val="en-GB"/>
              </w:rPr>
              <w:t xml:space="preserve">(3) </w:t>
            </w:r>
            <w:r w:rsidR="00C50369" w:rsidRPr="00C50369">
              <w:rPr>
                <w:sz w:val="20"/>
                <w:szCs w:val="20"/>
                <w:lang w:val="en-GB"/>
              </w:rPr>
              <w:t>beneficiaries</w:t>
            </w:r>
            <w:r w:rsidR="00A23459" w:rsidRPr="00C50369">
              <w:rPr>
                <w:sz w:val="20"/>
                <w:szCs w:val="20"/>
                <w:lang w:val="en-GB"/>
              </w:rPr>
              <w:t xml:space="preserve"> of capacity strengthening efforts.  </w:t>
            </w:r>
          </w:p>
          <w:p w14:paraId="29D94BFA" w14:textId="04F6B4ED" w:rsidR="00253CE0" w:rsidRPr="00C50369" w:rsidRDefault="00253CE0" w:rsidP="00C50369">
            <w:pPr>
              <w:spacing w:before="120" w:line="240" w:lineRule="auto"/>
              <w:jc w:val="both"/>
              <w:rPr>
                <w:sz w:val="20"/>
                <w:szCs w:val="20"/>
                <w:lang w:val="en-GB"/>
              </w:rPr>
            </w:pPr>
            <w:r w:rsidRPr="00C50369">
              <w:rPr>
                <w:sz w:val="20"/>
                <w:szCs w:val="20"/>
                <w:lang w:val="en-GB"/>
              </w:rPr>
              <w:t>HIV and TB community-based organizations</w:t>
            </w:r>
            <w:r w:rsidR="002B2635">
              <w:rPr>
                <w:sz w:val="20"/>
                <w:szCs w:val="20"/>
                <w:lang w:val="en-GB"/>
              </w:rPr>
              <w:t xml:space="preserve"> will be key implementers of activities targeting key populations</w:t>
            </w:r>
            <w:r w:rsidRPr="00C50369">
              <w:rPr>
                <w:sz w:val="20"/>
                <w:szCs w:val="20"/>
                <w:lang w:val="en-GB"/>
              </w:rPr>
              <w:t xml:space="preserve"> </w:t>
            </w:r>
            <w:r w:rsidR="006810F9">
              <w:rPr>
                <w:sz w:val="20"/>
                <w:szCs w:val="20"/>
                <w:lang w:val="en-GB"/>
              </w:rPr>
              <w:t xml:space="preserve">for HIV </w:t>
            </w:r>
            <w:r w:rsidRPr="00C50369">
              <w:rPr>
                <w:sz w:val="20"/>
                <w:szCs w:val="20"/>
                <w:lang w:val="en-GB"/>
              </w:rPr>
              <w:t>prevention and ARV/OST/TB treatment adherence services for PLWH/TB, PWID, SWs, MSM, prisoners, and vulnerable populations such as TGs, people who use non-injecting drugs, mobile-populations</w:t>
            </w:r>
            <w:r w:rsidR="00620010">
              <w:rPr>
                <w:sz w:val="20"/>
                <w:szCs w:val="20"/>
                <w:lang w:val="en-GB"/>
              </w:rPr>
              <w:t xml:space="preserve">, </w:t>
            </w:r>
            <w:r w:rsidRPr="00C50369">
              <w:rPr>
                <w:sz w:val="20"/>
                <w:szCs w:val="20"/>
                <w:lang w:val="en-GB"/>
              </w:rPr>
              <w:t xml:space="preserve">community-based testing and self-testing to HIV in KAPs; behavior change interventions in PLWH/TB, PWID, SWs, MSM&amp;TG, and inmates; treatment adherence and support for patients on ARV, OST and TB medical care. Building on the NAP intend to sustain and scale-up current services for KAPs and </w:t>
            </w:r>
            <w:r w:rsidR="003744D9">
              <w:rPr>
                <w:sz w:val="20"/>
                <w:szCs w:val="20"/>
                <w:lang w:val="en-GB"/>
              </w:rPr>
              <w:t>introduce</w:t>
            </w:r>
            <w:r w:rsidRPr="00C50369">
              <w:rPr>
                <w:sz w:val="20"/>
                <w:szCs w:val="20"/>
                <w:lang w:val="en-GB"/>
              </w:rPr>
              <w:t xml:space="preserve"> innovative approaches, Moldova will use the 2021-2023 allocation to support services better tailored to KAPs needs: decentralized and closer to patients ART and TB treatment and care, as well as integrated HIV/TB/OST services; </w:t>
            </w:r>
            <w:r w:rsidR="003744D9">
              <w:rPr>
                <w:sz w:val="20"/>
                <w:szCs w:val="20"/>
                <w:lang w:val="en-GB"/>
              </w:rPr>
              <w:t>introducing</w:t>
            </w:r>
            <w:r w:rsidRPr="00C50369">
              <w:rPr>
                <w:sz w:val="20"/>
                <w:szCs w:val="20"/>
                <w:lang w:val="en-GB"/>
              </w:rPr>
              <w:t xml:space="preserve"> innovative approaches to ART adherence in different populations; implementation of differentiated HIV testing services, including self-testing; scaling-up communitarian PrEP; </w:t>
            </w:r>
            <w:r w:rsidR="003744D9">
              <w:rPr>
                <w:sz w:val="20"/>
                <w:szCs w:val="20"/>
                <w:lang w:val="en-GB"/>
              </w:rPr>
              <w:t>initiated</w:t>
            </w:r>
            <w:r w:rsidRPr="00C50369">
              <w:rPr>
                <w:sz w:val="20"/>
                <w:szCs w:val="20"/>
                <w:lang w:val="en-GB"/>
              </w:rPr>
              <w:t xml:space="preserve"> OST services on the left bank of the Nistru River; as well diversifying HRP through pharmacies and vending machines.  </w:t>
            </w:r>
          </w:p>
          <w:p w14:paraId="781A0572" w14:textId="0AEE6627" w:rsidR="006D029C" w:rsidRDefault="006D029C" w:rsidP="00C50369">
            <w:pPr>
              <w:spacing w:before="120" w:line="240" w:lineRule="auto"/>
              <w:jc w:val="both"/>
              <w:rPr>
                <w:sz w:val="20"/>
                <w:szCs w:val="20"/>
                <w:lang w:val="en-GB"/>
              </w:rPr>
            </w:pPr>
            <w:r w:rsidRPr="006810F9">
              <w:rPr>
                <w:sz w:val="20"/>
                <w:szCs w:val="20"/>
                <w:lang w:val="en-GB"/>
              </w:rPr>
              <w:t xml:space="preserve">In TB </w:t>
            </w:r>
            <w:r w:rsidR="006810F9">
              <w:rPr>
                <w:sz w:val="20"/>
                <w:szCs w:val="20"/>
                <w:lang w:val="en-GB"/>
              </w:rPr>
              <w:t xml:space="preserve">component </w:t>
            </w:r>
            <w:r w:rsidRPr="006810F9">
              <w:rPr>
                <w:sz w:val="20"/>
                <w:szCs w:val="20"/>
                <w:lang w:val="en-GB"/>
              </w:rPr>
              <w:t xml:space="preserve">the funding request will support increased involvement of </w:t>
            </w:r>
            <w:r w:rsidR="006810F9" w:rsidRPr="006810F9">
              <w:rPr>
                <w:sz w:val="20"/>
                <w:szCs w:val="20"/>
                <w:lang w:val="en-GB"/>
              </w:rPr>
              <w:t xml:space="preserve">CSOs and </w:t>
            </w:r>
            <w:r w:rsidRPr="006810F9">
              <w:rPr>
                <w:sz w:val="20"/>
                <w:szCs w:val="20"/>
                <w:lang w:val="en-GB"/>
              </w:rPr>
              <w:t>CBOs in</w:t>
            </w:r>
            <w:r w:rsidR="006810F9">
              <w:rPr>
                <w:sz w:val="20"/>
                <w:szCs w:val="20"/>
                <w:lang w:val="en-GB"/>
              </w:rPr>
              <w:t xml:space="preserve"> the following areas: active case finding and reaching key and </w:t>
            </w:r>
            <w:r w:rsidR="006810F9" w:rsidRPr="006810F9">
              <w:rPr>
                <w:sz w:val="20"/>
                <w:szCs w:val="20"/>
                <w:lang w:val="en-GB"/>
              </w:rPr>
              <w:t xml:space="preserve">vulnerable groups, </w:t>
            </w:r>
            <w:r w:rsidRPr="006810F9">
              <w:rPr>
                <w:sz w:val="20"/>
                <w:szCs w:val="20"/>
                <w:lang w:val="en-GB"/>
              </w:rPr>
              <w:t>in</w:t>
            </w:r>
            <w:r w:rsidR="006810F9" w:rsidRPr="006810F9">
              <w:rPr>
                <w:sz w:val="20"/>
                <w:szCs w:val="20"/>
                <w:lang w:val="en-GB"/>
              </w:rPr>
              <w:t xml:space="preserve"> supporting </w:t>
            </w:r>
            <w:r w:rsidRPr="006810F9">
              <w:rPr>
                <w:sz w:val="20"/>
                <w:szCs w:val="20"/>
                <w:lang w:val="en-GB"/>
              </w:rPr>
              <w:t>patients complete their treatment</w:t>
            </w:r>
            <w:r w:rsidR="006810F9" w:rsidRPr="006810F9">
              <w:rPr>
                <w:sz w:val="20"/>
                <w:szCs w:val="20"/>
                <w:lang w:val="en-GB"/>
              </w:rPr>
              <w:t xml:space="preserve"> and address their psychosocial and emotional needs</w:t>
            </w:r>
            <w:r w:rsidR="006810F9">
              <w:rPr>
                <w:sz w:val="20"/>
                <w:szCs w:val="20"/>
                <w:lang w:val="en-GB"/>
              </w:rPr>
              <w:t>,</w:t>
            </w:r>
            <w:r w:rsidR="006810F9" w:rsidRPr="006810F9">
              <w:rPr>
                <w:sz w:val="20"/>
                <w:szCs w:val="20"/>
                <w:lang w:val="en-GB"/>
              </w:rPr>
              <w:t xml:space="preserve"> VOT scale-up activities</w:t>
            </w:r>
            <w:r w:rsidR="006810F9">
              <w:rPr>
                <w:sz w:val="20"/>
                <w:szCs w:val="20"/>
                <w:lang w:val="en-GB"/>
              </w:rPr>
              <w:t>, CSO engagement in NTP-led activities, s</w:t>
            </w:r>
            <w:r w:rsidR="006810F9" w:rsidRPr="00C50369">
              <w:rPr>
                <w:sz w:val="20"/>
                <w:szCs w:val="20"/>
                <w:lang w:val="en-GB"/>
              </w:rPr>
              <w:t>ocial mobilization, building community linkage and coordination</w:t>
            </w:r>
            <w:r w:rsidR="006810F9" w:rsidRPr="006810F9">
              <w:rPr>
                <w:sz w:val="20"/>
                <w:szCs w:val="20"/>
                <w:lang w:val="en-GB"/>
              </w:rPr>
              <w:t xml:space="preserve"> community-based monitoring and documenting and removing barriers. </w:t>
            </w:r>
            <w:r w:rsidR="006810F9">
              <w:rPr>
                <w:sz w:val="20"/>
                <w:szCs w:val="20"/>
                <w:lang w:val="en-GB"/>
              </w:rPr>
              <w:t xml:space="preserve"> </w:t>
            </w:r>
          </w:p>
          <w:p w14:paraId="76D1924C" w14:textId="0FA211DA" w:rsidR="006810F9" w:rsidRPr="00C50369" w:rsidRDefault="006810F9" w:rsidP="00C50369">
            <w:pPr>
              <w:spacing w:before="120" w:line="240" w:lineRule="auto"/>
              <w:jc w:val="both"/>
              <w:rPr>
                <w:sz w:val="20"/>
                <w:szCs w:val="20"/>
                <w:lang w:val="en-GB"/>
              </w:rPr>
            </w:pPr>
            <w:r>
              <w:rPr>
                <w:sz w:val="20"/>
                <w:szCs w:val="20"/>
                <w:lang w:val="en-GB"/>
              </w:rPr>
              <w:t>As watchdog and advocates, CBOs have planned and included activities aiming at removing barriers, reducing stigma,</w:t>
            </w:r>
            <w:r w:rsidR="00620010">
              <w:rPr>
                <w:sz w:val="20"/>
                <w:szCs w:val="20"/>
                <w:lang w:val="en-GB"/>
              </w:rPr>
              <w:t xml:space="preserve"> monitoring rights-based approaches to aces to services,</w:t>
            </w:r>
            <w:r>
              <w:rPr>
                <w:sz w:val="20"/>
                <w:szCs w:val="20"/>
                <w:lang w:val="en-GB"/>
              </w:rPr>
              <w:t xml:space="preserve"> advocacy to increase sustainability of CSO-led program (social contracting and budget advocacy) </w:t>
            </w:r>
          </w:p>
          <w:p w14:paraId="4048EB62" w14:textId="77777777" w:rsidR="006810F9" w:rsidRDefault="006810F9" w:rsidP="006810F9">
            <w:pPr>
              <w:spacing w:before="120" w:line="240" w:lineRule="auto"/>
              <w:jc w:val="both"/>
              <w:rPr>
                <w:sz w:val="20"/>
                <w:szCs w:val="20"/>
                <w:lang w:val="en-GB"/>
              </w:rPr>
            </w:pPr>
            <w:r w:rsidRPr="00C50369">
              <w:rPr>
                <w:sz w:val="20"/>
                <w:szCs w:val="20"/>
                <w:lang w:val="en-GB"/>
              </w:rPr>
              <w:t xml:space="preserve">In all the above-mentioned interventions, KAPs and communities of people living with HIV, TB and other comorbidities/associated diseases will be both primary beneficiaries </w:t>
            </w:r>
            <w:r>
              <w:rPr>
                <w:sz w:val="20"/>
                <w:szCs w:val="20"/>
                <w:lang w:val="en-GB"/>
              </w:rPr>
              <w:t>of community strengthening activities</w:t>
            </w:r>
            <w:r w:rsidRPr="00C50369">
              <w:rPr>
                <w:sz w:val="20"/>
                <w:szCs w:val="20"/>
                <w:lang w:val="en-GB"/>
              </w:rPr>
              <w:t xml:space="preserve">.   </w:t>
            </w:r>
          </w:p>
          <w:p w14:paraId="372E4586" w14:textId="14DA3EB2" w:rsidR="00E442A2" w:rsidRPr="001D57CE" w:rsidRDefault="00253CE0" w:rsidP="00F26371">
            <w:pPr>
              <w:spacing w:before="120" w:line="240" w:lineRule="auto"/>
              <w:jc w:val="both"/>
              <w:rPr>
                <w:rFonts w:cs="Arial"/>
              </w:rPr>
            </w:pPr>
            <w:r w:rsidRPr="00C50369">
              <w:rPr>
                <w:sz w:val="20"/>
                <w:szCs w:val="20"/>
                <w:lang w:val="en-GB"/>
              </w:rPr>
              <w:t xml:space="preserve">These implementing arrangements would help the country to sustain the gains from the current and previous allocations and improve the quality and deliveries of services targeting key populations and communities of people affected by communicable diseases. </w:t>
            </w:r>
          </w:p>
        </w:tc>
      </w:tr>
    </w:tbl>
    <w:p w14:paraId="325816A0" w14:textId="4241C3CF" w:rsidR="00E442A2" w:rsidRDefault="00E442A2" w:rsidP="00485066">
      <w:pPr>
        <w:spacing w:after="0"/>
        <w:contextualSpacing/>
        <w:rPr>
          <w:rFonts w:cs="Arial"/>
          <w:bCs/>
          <w:iCs/>
        </w:rPr>
      </w:pPr>
    </w:p>
    <w:p w14:paraId="7913DB28" w14:textId="7B4A8BA8" w:rsidR="00906417" w:rsidRPr="008C21CF" w:rsidRDefault="00906417" w:rsidP="00F42E40">
      <w:pPr>
        <w:pStyle w:val="ListParagraph"/>
        <w:numPr>
          <w:ilvl w:val="0"/>
          <w:numId w:val="21"/>
        </w:numPr>
        <w:spacing w:before="120" w:after="0" w:line="240" w:lineRule="auto"/>
        <w:jc w:val="both"/>
        <w:rPr>
          <w:rFonts w:asciiTheme="majorHAnsi" w:hAnsiTheme="majorHAnsi" w:cstheme="majorHAnsi"/>
        </w:rPr>
      </w:pPr>
      <w:r w:rsidRPr="008C21CF">
        <w:rPr>
          <w:rFonts w:asciiTheme="majorHAnsi" w:hAnsiTheme="majorHAnsi" w:cstheme="majorHAnsi"/>
        </w:rPr>
        <w:t xml:space="preserve">Is the Principal Recipient an </w:t>
      </w:r>
      <w:r w:rsidRPr="0096146C">
        <w:rPr>
          <w:rFonts w:asciiTheme="majorHAnsi" w:hAnsiTheme="majorHAnsi" w:cstheme="majorHAnsi"/>
          <w:b/>
        </w:rPr>
        <w:t>international institution</w:t>
      </w:r>
      <w:r w:rsidRPr="008C21CF">
        <w:rPr>
          <w:rFonts w:asciiTheme="majorHAnsi" w:hAnsiTheme="majorHAnsi" w:cstheme="majorHAnsi"/>
        </w:rPr>
        <w:t xml:space="preserve"> (</w:t>
      </w:r>
      <w:r w:rsidR="00F112AD">
        <w:rPr>
          <w:rFonts w:asciiTheme="majorHAnsi" w:hAnsiTheme="majorHAnsi" w:cstheme="majorHAnsi"/>
        </w:rPr>
        <w:t>for example</w:t>
      </w:r>
      <w:r w:rsidR="002B6A8E">
        <w:rPr>
          <w:rFonts w:asciiTheme="majorHAnsi" w:hAnsiTheme="majorHAnsi" w:cstheme="majorHAnsi"/>
        </w:rPr>
        <w:t>, international NGO</w:t>
      </w:r>
      <w:r w:rsidR="00EC2673">
        <w:rPr>
          <w:rFonts w:asciiTheme="majorHAnsi" w:hAnsiTheme="majorHAnsi" w:cstheme="majorHAnsi"/>
        </w:rPr>
        <w:t xml:space="preserve"> or</w:t>
      </w:r>
      <w:r w:rsidR="001F7F10">
        <w:rPr>
          <w:rFonts w:asciiTheme="majorHAnsi" w:hAnsiTheme="majorHAnsi" w:cstheme="majorHAnsi"/>
        </w:rPr>
        <w:t xml:space="preserve"> </w:t>
      </w:r>
      <w:r w:rsidR="002B6A8E">
        <w:rPr>
          <w:rFonts w:asciiTheme="majorHAnsi" w:hAnsiTheme="majorHAnsi" w:cstheme="majorHAnsi"/>
        </w:rPr>
        <w:t>UN agency</w:t>
      </w:r>
      <w:r w:rsidRPr="008C21CF">
        <w:rPr>
          <w:rFonts w:asciiTheme="majorHAnsi" w:hAnsiTheme="majorHAnsi" w:cstheme="majorHAnsi"/>
        </w:rPr>
        <w:t>)</w:t>
      </w:r>
      <w:r w:rsidR="002B6A8E">
        <w:rPr>
          <w:rFonts w:asciiTheme="majorHAnsi" w:hAnsiTheme="majorHAnsi" w:cstheme="majorHAnsi"/>
        </w:rPr>
        <w:t>?</w:t>
      </w:r>
      <w:r w:rsidRPr="008C21CF">
        <w:rPr>
          <w:rFonts w:asciiTheme="majorHAnsi" w:hAnsiTheme="majorHAnsi" w:cstheme="majorHAnsi"/>
        </w:rPr>
        <w:t xml:space="preserve"> </w:t>
      </w:r>
    </w:p>
    <w:p w14:paraId="09CB819A" w14:textId="77777777" w:rsidR="00906417" w:rsidRPr="008C21CF" w:rsidRDefault="00906417" w:rsidP="00906417">
      <w:pPr>
        <w:pStyle w:val="ListParagraph"/>
        <w:spacing w:before="120" w:after="0" w:line="240" w:lineRule="auto"/>
        <w:ind w:left="360"/>
        <w:jc w:val="both"/>
        <w:rPr>
          <w:rFonts w:asciiTheme="majorHAnsi" w:hAnsiTheme="majorHAnsi" w:cstheme="majorHAnsi"/>
        </w:rPr>
      </w:pPr>
    </w:p>
    <w:p w14:paraId="5F379A61" w14:textId="28B24A52" w:rsidR="00906417" w:rsidRPr="008C21CF" w:rsidRDefault="00C71542" w:rsidP="00663D90">
      <w:pPr>
        <w:pStyle w:val="ListParagraph"/>
        <w:spacing w:before="120" w:after="0" w:line="240" w:lineRule="auto"/>
        <w:jc w:val="both"/>
        <w:rPr>
          <w:rFonts w:asciiTheme="majorHAnsi" w:hAnsiTheme="majorHAnsi" w:cstheme="majorHAnsi"/>
          <w:bCs/>
          <w:iCs/>
        </w:rPr>
      </w:pPr>
      <w:sdt>
        <w:sdtPr>
          <w:rPr>
            <w:rFonts w:asciiTheme="majorHAnsi" w:eastAsia="MS Gothic" w:hAnsiTheme="majorHAnsi" w:cstheme="majorHAnsi"/>
            <w:bCs/>
            <w:iCs/>
          </w:rPr>
          <w:id w:val="-869147715"/>
          <w14:checkbox>
            <w14:checked w14:val="0"/>
            <w14:checkedState w14:val="2612" w14:font="MS Gothic"/>
            <w14:uncheckedState w14:val="2610" w14:font="MS Gothic"/>
          </w14:checkbox>
        </w:sdtPr>
        <w:sdtContent>
          <w:r w:rsidR="00663D90">
            <w:rPr>
              <w:rFonts w:ascii="MS Gothic" w:eastAsia="MS Gothic" w:hAnsi="MS Gothic" w:cstheme="majorHAnsi" w:hint="eastAsia"/>
              <w:bCs/>
              <w:iCs/>
            </w:rPr>
            <w:t>☐</w:t>
          </w:r>
        </w:sdtContent>
      </w:sdt>
      <w:r w:rsidR="00906417" w:rsidRPr="008C21CF">
        <w:rPr>
          <w:rFonts w:asciiTheme="majorHAnsi" w:hAnsiTheme="majorHAnsi" w:cstheme="majorHAnsi"/>
          <w:bCs/>
          <w:iCs/>
        </w:rPr>
        <w:t xml:space="preserve"> Yes         </w:t>
      </w:r>
      <w:sdt>
        <w:sdtPr>
          <w:rPr>
            <w:rFonts w:asciiTheme="majorHAnsi" w:hAnsiTheme="majorHAnsi" w:cstheme="majorHAnsi"/>
            <w:bCs/>
            <w:iCs/>
          </w:rPr>
          <w:id w:val="996544432"/>
          <w14:checkbox>
            <w14:checked w14:val="1"/>
            <w14:checkedState w14:val="2612" w14:font="MS Gothic"/>
            <w14:uncheckedState w14:val="2610" w14:font="MS Gothic"/>
          </w14:checkbox>
        </w:sdtPr>
        <w:sdtContent>
          <w:r w:rsidR="004734A5">
            <w:rPr>
              <w:rFonts w:ascii="MS Gothic" w:eastAsia="MS Gothic" w:hAnsi="MS Gothic" w:cstheme="majorHAnsi" w:hint="eastAsia"/>
              <w:bCs/>
              <w:iCs/>
            </w:rPr>
            <w:t>☒</w:t>
          </w:r>
        </w:sdtContent>
      </w:sdt>
      <w:r w:rsidR="00906417" w:rsidRPr="008C21CF">
        <w:rPr>
          <w:rFonts w:asciiTheme="majorHAnsi" w:hAnsiTheme="majorHAnsi" w:cstheme="majorHAnsi"/>
          <w:bCs/>
          <w:iCs/>
        </w:rPr>
        <w:t xml:space="preserve"> No</w:t>
      </w:r>
    </w:p>
    <w:p w14:paraId="732A663C" w14:textId="77777777" w:rsidR="00906417" w:rsidRPr="008C21CF" w:rsidRDefault="00906417" w:rsidP="00906417">
      <w:pPr>
        <w:pStyle w:val="ListParagraph"/>
        <w:spacing w:before="120" w:after="0" w:line="240" w:lineRule="auto"/>
        <w:ind w:left="0"/>
        <w:jc w:val="both"/>
        <w:rPr>
          <w:rFonts w:asciiTheme="majorHAnsi" w:hAnsiTheme="majorHAnsi" w:cstheme="majorHAnsi"/>
        </w:rPr>
      </w:pPr>
    </w:p>
    <w:p w14:paraId="3CA0F453" w14:textId="5D040990" w:rsidR="00906417" w:rsidRPr="008C21CF" w:rsidRDefault="00906417" w:rsidP="005B21F7">
      <w:pPr>
        <w:pStyle w:val="ListParagraph"/>
        <w:spacing w:before="120" w:after="0" w:line="240" w:lineRule="auto"/>
        <w:ind w:left="360"/>
        <w:jc w:val="both"/>
        <w:rPr>
          <w:rFonts w:asciiTheme="majorHAnsi" w:hAnsiTheme="majorHAnsi" w:cstheme="majorHAnsi"/>
        </w:rPr>
      </w:pPr>
      <w:r w:rsidRPr="00B2724B">
        <w:rPr>
          <w:rFonts w:asciiTheme="majorHAnsi" w:hAnsiTheme="majorHAnsi" w:cstheme="majorHAnsi"/>
        </w:rPr>
        <w:t>If</w:t>
      </w:r>
      <w:r w:rsidRPr="008C21CF">
        <w:rPr>
          <w:rFonts w:asciiTheme="majorHAnsi" w:hAnsiTheme="majorHAnsi" w:cstheme="majorHAnsi"/>
          <w:b/>
        </w:rPr>
        <w:t xml:space="preserve"> yes</w:t>
      </w:r>
      <w:r w:rsidRPr="008C21CF">
        <w:rPr>
          <w:rFonts w:asciiTheme="majorHAnsi" w:hAnsiTheme="majorHAnsi" w:cstheme="majorHAnsi"/>
        </w:rPr>
        <w:t xml:space="preserve">, describe how the Principal Recipient’s responsibilities pertaining to the national disease response will eventually be </w:t>
      </w:r>
      <w:r w:rsidRPr="0096146C">
        <w:rPr>
          <w:rFonts w:asciiTheme="majorHAnsi" w:hAnsiTheme="majorHAnsi" w:cstheme="majorHAnsi"/>
          <w:b/>
        </w:rPr>
        <w:t xml:space="preserve">transferred to national </w:t>
      </w:r>
      <w:r w:rsidR="003844E1">
        <w:rPr>
          <w:rFonts w:asciiTheme="majorHAnsi" w:hAnsiTheme="majorHAnsi" w:cstheme="majorHAnsi"/>
          <w:b/>
        </w:rPr>
        <w:t>entities</w:t>
      </w:r>
      <w:r w:rsidRPr="008C21CF">
        <w:rPr>
          <w:rFonts w:asciiTheme="majorHAnsi" w:hAnsiTheme="majorHAnsi" w:cstheme="majorHAnsi"/>
        </w:rPr>
        <w:t xml:space="preserve">. </w:t>
      </w:r>
      <w:r w:rsidR="008140B4">
        <w:rPr>
          <w:rFonts w:asciiTheme="majorHAnsi" w:hAnsiTheme="majorHAnsi" w:cstheme="majorHAnsi"/>
        </w:rPr>
        <w:t>Also</w:t>
      </w:r>
      <w:r w:rsidR="00F112AD">
        <w:rPr>
          <w:rFonts w:asciiTheme="majorHAnsi" w:hAnsiTheme="majorHAnsi" w:cstheme="majorHAnsi"/>
        </w:rPr>
        <w:t>,</w:t>
      </w:r>
      <w:r w:rsidR="00B2724B">
        <w:rPr>
          <w:rFonts w:asciiTheme="majorHAnsi" w:hAnsiTheme="majorHAnsi" w:cstheme="majorHAnsi"/>
        </w:rPr>
        <w:t xml:space="preserve"> </w:t>
      </w:r>
      <w:r w:rsidR="00663D90">
        <w:rPr>
          <w:rFonts w:asciiTheme="majorHAnsi" w:hAnsiTheme="majorHAnsi" w:cstheme="majorHAnsi"/>
        </w:rPr>
        <w:t>(</w:t>
      </w:r>
      <w:r w:rsidR="00B2724B">
        <w:rPr>
          <w:rFonts w:asciiTheme="majorHAnsi" w:hAnsiTheme="majorHAnsi" w:cstheme="majorHAnsi"/>
        </w:rPr>
        <w:t>i)</w:t>
      </w:r>
      <w:r w:rsidR="008140B4" w:rsidRPr="008C21CF">
        <w:rPr>
          <w:rFonts w:asciiTheme="majorHAnsi" w:hAnsiTheme="majorHAnsi" w:cstheme="majorHAnsi"/>
        </w:rPr>
        <w:t xml:space="preserve"> </w:t>
      </w:r>
      <w:r w:rsidRPr="008C21CF">
        <w:rPr>
          <w:rFonts w:asciiTheme="majorHAnsi" w:hAnsiTheme="majorHAnsi" w:cstheme="majorHAnsi"/>
        </w:rPr>
        <w:t>outline the timeframe for transitioning these responsibilities</w:t>
      </w:r>
      <w:r w:rsidR="00B2724B">
        <w:rPr>
          <w:rFonts w:asciiTheme="majorHAnsi" w:hAnsiTheme="majorHAnsi" w:cstheme="majorHAnsi"/>
        </w:rPr>
        <w:t>,</w:t>
      </w:r>
      <w:r w:rsidRPr="008C21CF">
        <w:rPr>
          <w:rFonts w:asciiTheme="majorHAnsi" w:hAnsiTheme="majorHAnsi" w:cstheme="majorHAnsi"/>
        </w:rPr>
        <w:t xml:space="preserve"> and </w:t>
      </w:r>
      <w:r w:rsidR="00663D90">
        <w:rPr>
          <w:rFonts w:asciiTheme="majorHAnsi" w:hAnsiTheme="majorHAnsi" w:cstheme="majorHAnsi"/>
        </w:rPr>
        <w:t>(</w:t>
      </w:r>
      <w:r w:rsidR="00B2724B">
        <w:rPr>
          <w:rFonts w:asciiTheme="majorHAnsi" w:hAnsiTheme="majorHAnsi" w:cstheme="majorHAnsi"/>
        </w:rPr>
        <w:t xml:space="preserve">ii) </w:t>
      </w:r>
      <w:r w:rsidRPr="008C21CF">
        <w:rPr>
          <w:rFonts w:asciiTheme="majorHAnsi" w:hAnsiTheme="majorHAnsi" w:cstheme="majorHAnsi"/>
        </w:rPr>
        <w:t>explain how national capacities will be strengthened to lead the national disease response.</w:t>
      </w:r>
    </w:p>
    <w:p w14:paraId="05C9D69E" w14:textId="77777777" w:rsidR="00906417" w:rsidRPr="008C21CF" w:rsidRDefault="00906417" w:rsidP="00906417">
      <w:pPr>
        <w:spacing w:after="0"/>
        <w:contextualSpacing/>
        <w:rPr>
          <w:rFonts w:asciiTheme="majorHAnsi" w:hAnsiTheme="majorHAnsi" w:cstheme="majorHAnsi"/>
        </w:rPr>
      </w:pPr>
    </w:p>
    <w:tbl>
      <w:tblPr>
        <w:tblStyle w:val="TableGrid"/>
        <w:tblW w:w="0" w:type="auto"/>
        <w:tblLook w:val="04A0" w:firstRow="1" w:lastRow="0" w:firstColumn="1" w:lastColumn="0" w:noHBand="0" w:noVBand="1"/>
      </w:tblPr>
      <w:tblGrid>
        <w:gridCol w:w="10456"/>
      </w:tblGrid>
      <w:tr w:rsidR="00906417" w:rsidRPr="001D57CE" w14:paraId="4065924C" w14:textId="77777777" w:rsidTr="009B1BDA">
        <w:tc>
          <w:tcPr>
            <w:tcW w:w="10790" w:type="dxa"/>
          </w:tcPr>
          <w:p w14:paraId="2B3B234C" w14:textId="16EA9966" w:rsidR="00906417" w:rsidRPr="008C21CF" w:rsidRDefault="004A7E7B" w:rsidP="009B1BDA">
            <w:pPr>
              <w:rPr>
                <w:rFonts w:asciiTheme="majorHAnsi" w:hAnsiTheme="majorHAnsi" w:cstheme="majorHAnsi"/>
              </w:rPr>
            </w:pPr>
            <w:r>
              <w:rPr>
                <w:rFonts w:asciiTheme="majorHAnsi" w:hAnsiTheme="majorHAnsi" w:cstheme="majorHAnsi"/>
              </w:rPr>
              <w:t>N/A</w:t>
            </w:r>
          </w:p>
          <w:p w14:paraId="16C5E16B" w14:textId="77777777" w:rsidR="00906417" w:rsidRPr="008C21CF" w:rsidRDefault="00906417" w:rsidP="009B1BDA">
            <w:pPr>
              <w:rPr>
                <w:rFonts w:asciiTheme="majorHAnsi" w:hAnsiTheme="majorHAnsi" w:cstheme="majorHAnsi"/>
              </w:rPr>
            </w:pPr>
          </w:p>
        </w:tc>
      </w:tr>
    </w:tbl>
    <w:p w14:paraId="003B2C01" w14:textId="77777777" w:rsidR="00906417" w:rsidRPr="001D57CE" w:rsidRDefault="00906417" w:rsidP="00485066">
      <w:pPr>
        <w:spacing w:after="0"/>
        <w:contextualSpacing/>
        <w:rPr>
          <w:rFonts w:cs="Arial"/>
          <w:bCs/>
          <w:iCs/>
        </w:rPr>
      </w:pPr>
    </w:p>
    <w:p w14:paraId="6AD3EB19" w14:textId="0F16432E" w:rsidR="00BD1700" w:rsidRPr="000646CF" w:rsidRDefault="006326F8" w:rsidP="00F42E40">
      <w:pPr>
        <w:pStyle w:val="ListParagraph"/>
        <w:numPr>
          <w:ilvl w:val="0"/>
          <w:numId w:val="21"/>
        </w:numPr>
        <w:spacing w:after="0" w:line="260" w:lineRule="atLeast"/>
        <w:jc w:val="both"/>
        <w:rPr>
          <w:rStyle w:val="normaltextrun"/>
          <w:rFonts w:cs="Arial"/>
        </w:rPr>
      </w:pPr>
      <w:r w:rsidRPr="001D57CE">
        <w:rPr>
          <w:rStyle w:val="normaltextrun"/>
          <w:rFonts w:cs="Arial"/>
          <w:color w:val="000000"/>
          <w:shd w:val="clear" w:color="auto" w:fill="FFFFFF"/>
        </w:rPr>
        <w:t xml:space="preserve">Describe </w:t>
      </w:r>
      <w:r w:rsidR="001C0EA4">
        <w:rPr>
          <w:rStyle w:val="normaltextrun"/>
          <w:rFonts w:cs="Arial"/>
          <w:color w:val="000000"/>
          <w:shd w:val="clear" w:color="auto" w:fill="FFFFFF"/>
        </w:rPr>
        <w:t xml:space="preserve">the </w:t>
      </w:r>
      <w:r w:rsidR="001C0EA4" w:rsidRPr="00EC2673">
        <w:rPr>
          <w:rStyle w:val="normaltextrun"/>
          <w:rFonts w:cs="Arial"/>
          <w:b/>
          <w:color w:val="000000"/>
          <w:shd w:val="clear" w:color="auto" w:fill="FFFFFF"/>
        </w:rPr>
        <w:t>top three a</w:t>
      </w:r>
      <w:r w:rsidRPr="00EC2673">
        <w:rPr>
          <w:rStyle w:val="normaltextrun"/>
          <w:rFonts w:cs="Arial"/>
          <w:b/>
          <w:color w:val="000000"/>
          <w:shd w:val="clear" w:color="auto" w:fill="FFFFFF"/>
        </w:rPr>
        <w:t>nticipated implementation risks</w:t>
      </w:r>
      <w:r w:rsidRPr="001D57CE">
        <w:rPr>
          <w:rStyle w:val="normaltextrun"/>
          <w:rFonts w:cs="Arial"/>
          <w:color w:val="000000"/>
          <w:shd w:val="clear" w:color="auto" w:fill="FFFFFF"/>
        </w:rPr>
        <w:t xml:space="preserve"> that might negatively affect</w:t>
      </w:r>
      <w:r w:rsidR="00B6467A">
        <w:rPr>
          <w:rStyle w:val="normaltextrun"/>
          <w:rFonts w:cs="Arial"/>
          <w:color w:val="000000"/>
          <w:shd w:val="clear" w:color="auto" w:fill="FFFFFF"/>
        </w:rPr>
        <w:t xml:space="preserve">: </w:t>
      </w:r>
      <w:r w:rsidR="00663D90">
        <w:rPr>
          <w:rStyle w:val="normaltextrun"/>
          <w:rFonts w:cs="Arial"/>
          <w:color w:val="000000"/>
          <w:shd w:val="clear" w:color="auto" w:fill="FFFFFF"/>
        </w:rPr>
        <w:t>(</w:t>
      </w:r>
      <w:r w:rsidR="00B6467A">
        <w:rPr>
          <w:rStyle w:val="normaltextrun"/>
          <w:rFonts w:cs="Arial"/>
          <w:color w:val="000000"/>
          <w:shd w:val="clear" w:color="auto" w:fill="FFFFFF"/>
        </w:rPr>
        <w:t>i)</w:t>
      </w:r>
      <w:r w:rsidRPr="001D57CE">
        <w:rPr>
          <w:rStyle w:val="normaltextrun"/>
          <w:rFonts w:cs="Arial"/>
          <w:color w:val="000000"/>
          <w:shd w:val="clear" w:color="auto" w:fill="FFFFFF"/>
        </w:rPr>
        <w:t xml:space="preserve"> the delivery of the program objectives supported </w:t>
      </w:r>
      <w:r w:rsidR="00B6467A">
        <w:rPr>
          <w:rStyle w:val="normaltextrun"/>
          <w:rFonts w:cs="Arial"/>
          <w:color w:val="000000"/>
          <w:shd w:val="clear" w:color="auto" w:fill="FFFFFF"/>
        </w:rPr>
        <w:t>by the</w:t>
      </w:r>
      <w:r w:rsidR="00B6467A" w:rsidRPr="001D57CE">
        <w:rPr>
          <w:rStyle w:val="normaltextrun"/>
          <w:rFonts w:cs="Arial"/>
          <w:color w:val="000000"/>
          <w:shd w:val="clear" w:color="auto" w:fill="FFFFFF"/>
        </w:rPr>
        <w:t xml:space="preserve"> </w:t>
      </w:r>
      <w:r w:rsidRPr="001D57CE">
        <w:rPr>
          <w:rStyle w:val="normaltextrun"/>
          <w:rFonts w:cs="Arial"/>
          <w:color w:val="000000"/>
          <w:shd w:val="clear" w:color="auto" w:fill="FFFFFF"/>
        </w:rPr>
        <w:t>Global Fund</w:t>
      </w:r>
      <w:r w:rsidR="00B6467A">
        <w:rPr>
          <w:rStyle w:val="normaltextrun"/>
          <w:rFonts w:cs="Arial"/>
          <w:color w:val="000000"/>
          <w:shd w:val="clear" w:color="auto" w:fill="FFFFFF"/>
        </w:rPr>
        <w:t>;</w:t>
      </w:r>
      <w:r w:rsidRPr="001D57CE">
        <w:rPr>
          <w:rStyle w:val="normaltextrun"/>
          <w:rFonts w:cs="Arial"/>
          <w:color w:val="000000"/>
          <w:shd w:val="clear" w:color="auto" w:fill="FFFFFF"/>
        </w:rPr>
        <w:t> and/or</w:t>
      </w:r>
      <w:r w:rsidR="00B6467A">
        <w:rPr>
          <w:rStyle w:val="normaltextrun"/>
          <w:rFonts w:cs="Arial"/>
          <w:color w:val="000000"/>
          <w:shd w:val="clear" w:color="auto" w:fill="FFFFFF"/>
        </w:rPr>
        <w:t xml:space="preserve"> </w:t>
      </w:r>
      <w:r w:rsidR="00663D90">
        <w:rPr>
          <w:rStyle w:val="normaltextrun"/>
          <w:rFonts w:cs="Arial"/>
          <w:color w:val="000000"/>
          <w:shd w:val="clear" w:color="auto" w:fill="FFFFFF"/>
        </w:rPr>
        <w:t>(</w:t>
      </w:r>
      <w:r w:rsidR="00B6467A">
        <w:rPr>
          <w:rStyle w:val="normaltextrun"/>
          <w:rFonts w:cs="Arial"/>
          <w:color w:val="000000"/>
          <w:shd w:val="clear" w:color="auto" w:fill="FFFFFF"/>
        </w:rPr>
        <w:t>ii)</w:t>
      </w:r>
      <w:r w:rsidRPr="001D57CE">
        <w:rPr>
          <w:rStyle w:val="normaltextrun"/>
          <w:rFonts w:cs="Arial"/>
          <w:color w:val="000000"/>
          <w:shd w:val="clear" w:color="auto" w:fill="FFFFFF"/>
        </w:rPr>
        <w:t xml:space="preserve"> the broader health system. </w:t>
      </w:r>
      <w:r w:rsidR="00B6467A">
        <w:rPr>
          <w:rStyle w:val="normaltextrun"/>
          <w:rFonts w:cs="Arial"/>
          <w:color w:val="000000"/>
          <w:shd w:val="clear" w:color="auto" w:fill="FFFFFF"/>
        </w:rPr>
        <w:t>Then</w:t>
      </w:r>
      <w:r w:rsidR="00F112AD">
        <w:rPr>
          <w:rStyle w:val="normaltextrun"/>
          <w:rFonts w:cs="Arial"/>
          <w:color w:val="000000"/>
          <w:shd w:val="clear" w:color="auto" w:fill="FFFFFF"/>
        </w:rPr>
        <w:t>,</w:t>
      </w:r>
      <w:r w:rsidRPr="001D57CE">
        <w:rPr>
          <w:rStyle w:val="normaltextrun"/>
          <w:rFonts w:cs="Arial"/>
          <w:color w:val="000000"/>
          <w:shd w:val="clear" w:color="auto" w:fill="FFFFFF"/>
        </w:rPr>
        <w:t xml:space="preserve"> describe the mitigation measures that address these risks. </w:t>
      </w:r>
    </w:p>
    <w:p w14:paraId="266DC181" w14:textId="77777777" w:rsidR="000646CF" w:rsidRPr="000646CF" w:rsidRDefault="000646CF" w:rsidP="000646CF">
      <w:pPr>
        <w:pStyle w:val="ListParagraph"/>
        <w:spacing w:after="0" w:line="260" w:lineRule="atLeast"/>
        <w:ind w:left="360"/>
        <w:jc w:val="both"/>
        <w:rPr>
          <w:rFonts w:cs="Arial"/>
        </w:rPr>
      </w:pPr>
    </w:p>
    <w:tbl>
      <w:tblPr>
        <w:tblStyle w:val="TableGrid10"/>
        <w:tblW w:w="10435" w:type="dxa"/>
        <w:tblLayout w:type="fixed"/>
        <w:tblLook w:val="0000" w:firstRow="0" w:lastRow="0" w:firstColumn="0" w:lastColumn="0" w:noHBand="0" w:noVBand="0"/>
      </w:tblPr>
      <w:tblGrid>
        <w:gridCol w:w="4765"/>
        <w:gridCol w:w="5670"/>
      </w:tblGrid>
      <w:tr w:rsidR="003F4F26" w:rsidRPr="001D57CE" w14:paraId="10CE5D3F" w14:textId="77777777" w:rsidTr="00882DC3">
        <w:trPr>
          <w:trHeight w:val="377"/>
        </w:trPr>
        <w:tc>
          <w:tcPr>
            <w:tcW w:w="4765" w:type="dxa"/>
            <w:shd w:val="clear" w:color="auto" w:fill="D9D9D9" w:themeFill="background1" w:themeFillShade="D9"/>
            <w:vAlign w:val="center"/>
          </w:tcPr>
          <w:p w14:paraId="286D9ED0" w14:textId="77777777" w:rsidR="003F4F26" w:rsidRPr="008C21CF" w:rsidRDefault="003F4F26" w:rsidP="00882DC3">
            <w:pPr>
              <w:autoSpaceDE w:val="0"/>
              <w:autoSpaceDN w:val="0"/>
              <w:adjustRightInd w:val="0"/>
              <w:spacing w:after="0"/>
              <w:jc w:val="center"/>
              <w:rPr>
                <w:rFonts w:asciiTheme="majorHAnsi" w:hAnsiTheme="majorHAnsi" w:cstheme="majorHAnsi"/>
                <w:b/>
                <w:color w:val="000000"/>
              </w:rPr>
            </w:pPr>
            <w:r w:rsidRPr="008C21CF">
              <w:rPr>
                <w:rFonts w:asciiTheme="majorHAnsi" w:hAnsiTheme="majorHAnsi" w:cstheme="majorHAnsi"/>
                <w:b/>
                <w:bCs/>
                <w:color w:val="000000"/>
              </w:rPr>
              <w:t>Key Implementation Risks</w:t>
            </w:r>
          </w:p>
        </w:tc>
        <w:tc>
          <w:tcPr>
            <w:tcW w:w="5670" w:type="dxa"/>
            <w:shd w:val="clear" w:color="auto" w:fill="D9D9D9" w:themeFill="background1" w:themeFillShade="D9"/>
            <w:vAlign w:val="center"/>
          </w:tcPr>
          <w:p w14:paraId="10726D0E" w14:textId="2E3C1DBA" w:rsidR="003F4F26" w:rsidRPr="008C21CF" w:rsidRDefault="003F4F26" w:rsidP="00882DC3">
            <w:pPr>
              <w:autoSpaceDE w:val="0"/>
              <w:autoSpaceDN w:val="0"/>
              <w:adjustRightInd w:val="0"/>
              <w:spacing w:after="0"/>
              <w:jc w:val="center"/>
              <w:rPr>
                <w:rFonts w:asciiTheme="majorHAnsi" w:hAnsiTheme="majorHAnsi" w:cstheme="majorHAnsi"/>
                <w:b/>
                <w:color w:val="000000"/>
              </w:rPr>
            </w:pPr>
            <w:r w:rsidRPr="008C21CF">
              <w:rPr>
                <w:rFonts w:asciiTheme="majorHAnsi" w:hAnsiTheme="majorHAnsi" w:cstheme="majorHAnsi"/>
                <w:b/>
                <w:bCs/>
                <w:color w:val="000000"/>
              </w:rPr>
              <w:t>Corresponding Mitigati</w:t>
            </w:r>
            <w:r w:rsidR="006326F8" w:rsidRPr="008C21CF">
              <w:rPr>
                <w:rFonts w:asciiTheme="majorHAnsi" w:hAnsiTheme="majorHAnsi" w:cstheme="majorHAnsi"/>
                <w:b/>
                <w:bCs/>
                <w:color w:val="000000"/>
              </w:rPr>
              <w:t>on Measures</w:t>
            </w:r>
          </w:p>
        </w:tc>
      </w:tr>
      <w:tr w:rsidR="003F4F26" w:rsidRPr="00A23459" w14:paraId="7DF4C74C" w14:textId="77777777" w:rsidTr="003F4F26">
        <w:trPr>
          <w:trHeight w:val="400"/>
        </w:trPr>
        <w:tc>
          <w:tcPr>
            <w:tcW w:w="4765" w:type="dxa"/>
          </w:tcPr>
          <w:p w14:paraId="2EC5B113" w14:textId="602C91E5" w:rsidR="003F4F26" w:rsidRPr="00A23459" w:rsidRDefault="00253CE0" w:rsidP="005279BC">
            <w:pPr>
              <w:autoSpaceDE w:val="0"/>
              <w:autoSpaceDN w:val="0"/>
              <w:adjustRightInd w:val="0"/>
              <w:rPr>
                <w:rFonts w:asciiTheme="majorHAnsi" w:hAnsiTheme="majorHAnsi" w:cstheme="majorHAnsi"/>
                <w:i/>
                <w:sz w:val="20"/>
              </w:rPr>
            </w:pPr>
            <w:r w:rsidRPr="00A23459">
              <w:rPr>
                <w:rFonts w:asciiTheme="majorHAnsi" w:hAnsiTheme="majorHAnsi" w:cstheme="majorHAnsi"/>
                <w:iCs/>
                <w:sz w:val="20"/>
              </w:rPr>
              <w:t>Political instability, lack of political will to inclusively endorse the National TB&amp;HIV Programs for 2021-2025, and another time-taking phase of central health reforms.</w:t>
            </w:r>
          </w:p>
        </w:tc>
        <w:tc>
          <w:tcPr>
            <w:tcW w:w="5670" w:type="dxa"/>
          </w:tcPr>
          <w:p w14:paraId="471264D8" w14:textId="77777777" w:rsidR="00253CE0" w:rsidRPr="00A23459" w:rsidRDefault="00253CE0" w:rsidP="00253CE0">
            <w:pPr>
              <w:autoSpaceDE w:val="0"/>
              <w:autoSpaceDN w:val="0"/>
              <w:adjustRightInd w:val="0"/>
              <w:rPr>
                <w:rFonts w:asciiTheme="majorHAnsi" w:hAnsiTheme="majorHAnsi" w:cstheme="majorHAnsi"/>
                <w:sz w:val="20"/>
              </w:rPr>
            </w:pPr>
            <w:r w:rsidRPr="00A23459">
              <w:rPr>
                <w:rFonts w:asciiTheme="majorHAnsi" w:hAnsiTheme="majorHAnsi" w:cstheme="majorHAnsi"/>
                <w:sz w:val="20"/>
              </w:rPr>
              <w:t xml:space="preserve">MoHLSP shall ensure that normative framework put in practice to regulate and guide attaining of objectives of the National Public Health Strategy, as well as provision of key services to KPs and maintaining the gains of GF funding, are sustained. </w:t>
            </w:r>
          </w:p>
          <w:p w14:paraId="27B39DC5" w14:textId="77777777" w:rsidR="00253CE0" w:rsidRPr="00A23459" w:rsidRDefault="00253CE0" w:rsidP="00253CE0">
            <w:pPr>
              <w:autoSpaceDE w:val="0"/>
              <w:autoSpaceDN w:val="0"/>
              <w:adjustRightInd w:val="0"/>
              <w:rPr>
                <w:rFonts w:asciiTheme="majorHAnsi" w:hAnsiTheme="majorHAnsi" w:cstheme="majorHAnsi"/>
                <w:sz w:val="20"/>
              </w:rPr>
            </w:pPr>
            <w:r w:rsidRPr="00A23459">
              <w:rPr>
                <w:rFonts w:asciiTheme="majorHAnsi" w:hAnsiTheme="majorHAnsi" w:cstheme="majorHAnsi"/>
                <w:sz w:val="20"/>
              </w:rPr>
              <w:t>MoHLSP, will commit and ensure that any further/potential reform in the health sector will not negatively or largely affect the 2021-2023 implementation arrangements.</w:t>
            </w:r>
          </w:p>
          <w:p w14:paraId="7126F0E7" w14:textId="30B8463D" w:rsidR="003F4F26" w:rsidRPr="00A23459" w:rsidRDefault="00253CE0" w:rsidP="00253CE0">
            <w:pPr>
              <w:autoSpaceDE w:val="0"/>
              <w:autoSpaceDN w:val="0"/>
              <w:adjustRightInd w:val="0"/>
              <w:rPr>
                <w:rFonts w:asciiTheme="majorHAnsi" w:hAnsiTheme="majorHAnsi" w:cstheme="majorHAnsi"/>
                <w:sz w:val="20"/>
              </w:rPr>
            </w:pPr>
            <w:r w:rsidRPr="00A23459">
              <w:rPr>
                <w:rFonts w:asciiTheme="majorHAnsi" w:hAnsiTheme="majorHAnsi" w:cstheme="majorHAnsi"/>
                <w:sz w:val="20"/>
              </w:rPr>
              <w:t>The MoHLSP, National TB and HIV Programs, and the PR will inform the GF Secretariat about the potential/if any process of reforms, associated effects, and interventions planned to mitigate negative affects/if any</w:t>
            </w:r>
          </w:p>
        </w:tc>
      </w:tr>
      <w:tr w:rsidR="00BE0F0C" w:rsidRPr="00A23459" w14:paraId="6A26F3E3" w14:textId="77777777" w:rsidTr="003F4F26">
        <w:trPr>
          <w:trHeight w:val="400"/>
        </w:trPr>
        <w:tc>
          <w:tcPr>
            <w:tcW w:w="4765" w:type="dxa"/>
          </w:tcPr>
          <w:p w14:paraId="610B5A7F" w14:textId="61A6D4C9" w:rsidR="00BE0F0C" w:rsidRPr="00A23459" w:rsidRDefault="00253CE0" w:rsidP="005279BC">
            <w:pPr>
              <w:autoSpaceDE w:val="0"/>
              <w:autoSpaceDN w:val="0"/>
              <w:adjustRightInd w:val="0"/>
              <w:rPr>
                <w:rFonts w:asciiTheme="majorHAnsi" w:hAnsiTheme="majorHAnsi" w:cstheme="majorHAnsi"/>
                <w:i/>
                <w:sz w:val="20"/>
              </w:rPr>
            </w:pPr>
            <w:r w:rsidRPr="00A23459">
              <w:rPr>
                <w:rFonts w:asciiTheme="majorHAnsi" w:hAnsiTheme="majorHAnsi" w:cstheme="majorHAnsi"/>
                <w:iCs/>
                <w:sz w:val="20"/>
              </w:rPr>
              <w:lastRenderedPageBreak/>
              <w:t>Socio-economic instability, that might challenge committed funding for the implementation of National TB&amp;HIV Programs for 2021-2025, as well as the co-funding commitments under the country allocation.</w:t>
            </w:r>
          </w:p>
        </w:tc>
        <w:tc>
          <w:tcPr>
            <w:tcW w:w="5670" w:type="dxa"/>
          </w:tcPr>
          <w:p w14:paraId="46437124" w14:textId="77777777" w:rsidR="00253CE0" w:rsidRPr="00A23459" w:rsidRDefault="00253CE0" w:rsidP="00253CE0">
            <w:pPr>
              <w:autoSpaceDE w:val="0"/>
              <w:autoSpaceDN w:val="0"/>
              <w:adjustRightInd w:val="0"/>
              <w:rPr>
                <w:rFonts w:asciiTheme="majorHAnsi" w:hAnsiTheme="majorHAnsi" w:cstheme="majorHAnsi"/>
                <w:sz w:val="20"/>
              </w:rPr>
            </w:pPr>
            <w:r w:rsidRPr="00A23459">
              <w:rPr>
                <w:rFonts w:asciiTheme="majorHAnsi" w:hAnsiTheme="majorHAnsi" w:cstheme="majorHAnsi"/>
                <w:sz w:val="20"/>
              </w:rPr>
              <w:t>Based on the active Privileges and Immunities Agreement for the GF, ratified by the Parliament of the R. of Moldova, the MoHLSP will sign, under the 2021-2023 allocation, a binding Agreement with the GF on specific co-funding commitments, which shall be part of the Grant Agreement for country allocation. The binding agreement will be cosigned by the Ministry of Finance of Moldova.</w:t>
            </w:r>
          </w:p>
          <w:p w14:paraId="0B9B916F" w14:textId="24583FB5" w:rsidR="00BE0F0C" w:rsidRPr="00A23459" w:rsidRDefault="00253CE0" w:rsidP="00253CE0">
            <w:pPr>
              <w:autoSpaceDE w:val="0"/>
              <w:autoSpaceDN w:val="0"/>
              <w:adjustRightInd w:val="0"/>
              <w:rPr>
                <w:rFonts w:asciiTheme="majorHAnsi" w:hAnsiTheme="majorHAnsi" w:cstheme="majorHAnsi"/>
                <w:sz w:val="20"/>
              </w:rPr>
            </w:pPr>
            <w:r w:rsidRPr="00A23459">
              <w:rPr>
                <w:rFonts w:asciiTheme="majorHAnsi" w:hAnsiTheme="majorHAnsi" w:cstheme="majorHAnsi"/>
                <w:sz w:val="20"/>
              </w:rPr>
              <w:t xml:space="preserve">MoHLSP and central authorities shall commit to make the prevention fund of the NHIC more predictable and engage with local public authorities to plan and implement TB/HIV response funding needed at the local level.    </w:t>
            </w:r>
          </w:p>
        </w:tc>
      </w:tr>
      <w:tr w:rsidR="00BE0F0C" w:rsidRPr="00A23459" w14:paraId="28EAD993" w14:textId="77777777" w:rsidTr="003F4F26">
        <w:trPr>
          <w:trHeight w:val="400"/>
        </w:trPr>
        <w:tc>
          <w:tcPr>
            <w:tcW w:w="4765" w:type="dxa"/>
          </w:tcPr>
          <w:p w14:paraId="11A6897D" w14:textId="545A2EE2" w:rsidR="00BE0F0C" w:rsidRPr="00A23459" w:rsidRDefault="00253CE0" w:rsidP="005279BC">
            <w:pPr>
              <w:autoSpaceDE w:val="0"/>
              <w:autoSpaceDN w:val="0"/>
              <w:adjustRightInd w:val="0"/>
              <w:rPr>
                <w:rFonts w:asciiTheme="majorHAnsi" w:hAnsiTheme="majorHAnsi" w:cstheme="majorHAnsi"/>
                <w:i/>
                <w:sz w:val="20"/>
              </w:rPr>
            </w:pPr>
            <w:r w:rsidRPr="00A23459">
              <w:rPr>
                <w:rFonts w:asciiTheme="majorHAnsi" w:hAnsiTheme="majorHAnsi" w:cstheme="majorHAnsi"/>
                <w:iCs/>
                <w:sz w:val="20"/>
              </w:rPr>
              <w:t>COVID-19 like emergencies that might put additional burden on TB/HIV response and hinder service provision in accordance with tree-year action plan</w:t>
            </w:r>
          </w:p>
        </w:tc>
        <w:tc>
          <w:tcPr>
            <w:tcW w:w="5670" w:type="dxa"/>
          </w:tcPr>
          <w:p w14:paraId="1A7965FA" w14:textId="77777777" w:rsidR="00253CE0" w:rsidRPr="00A23459" w:rsidRDefault="00253CE0" w:rsidP="00253CE0">
            <w:pPr>
              <w:autoSpaceDE w:val="0"/>
              <w:autoSpaceDN w:val="0"/>
              <w:adjustRightInd w:val="0"/>
              <w:rPr>
                <w:rFonts w:asciiTheme="majorHAnsi" w:hAnsiTheme="majorHAnsi" w:cstheme="majorHAnsi"/>
                <w:sz w:val="20"/>
              </w:rPr>
            </w:pPr>
            <w:r w:rsidRPr="00A23459">
              <w:rPr>
                <w:rFonts w:asciiTheme="majorHAnsi" w:hAnsiTheme="majorHAnsi" w:cstheme="majorHAnsi"/>
                <w:sz w:val="20"/>
              </w:rPr>
              <w:t xml:space="preserve">Strategically use the C19RM funding for Moldova to deliver the requested equipment and commodities requested by the National and regional/Transnistrian TB and HIV Programs, including needs of communities, KPs and CSOs to respond to the COVID-19 challenge over a period of 10 months. </w:t>
            </w:r>
          </w:p>
          <w:p w14:paraId="3CF5487E" w14:textId="3E49F945" w:rsidR="00BE0F0C" w:rsidRPr="00A23459" w:rsidRDefault="00253CE0" w:rsidP="00253CE0">
            <w:pPr>
              <w:autoSpaceDE w:val="0"/>
              <w:autoSpaceDN w:val="0"/>
              <w:adjustRightInd w:val="0"/>
              <w:rPr>
                <w:rFonts w:asciiTheme="majorHAnsi" w:hAnsiTheme="majorHAnsi" w:cstheme="majorHAnsi"/>
                <w:sz w:val="20"/>
              </w:rPr>
            </w:pPr>
            <w:r w:rsidRPr="00A23459">
              <w:rPr>
                <w:rFonts w:asciiTheme="majorHAnsi" w:hAnsiTheme="majorHAnsi" w:cstheme="majorHAnsi"/>
                <w:sz w:val="20"/>
              </w:rPr>
              <w:t>MoHLSP will engage with bilateral partners and other donors to update and adjust the National COVID-19 Emergency Response Plan based on emerged challenges or realities</w:t>
            </w:r>
          </w:p>
        </w:tc>
      </w:tr>
    </w:tbl>
    <w:p w14:paraId="144A166C" w14:textId="641BE764" w:rsidR="00485066" w:rsidRPr="00663D90" w:rsidRDefault="00485066" w:rsidP="00F42E40">
      <w:pPr>
        <w:pStyle w:val="ListParagraph"/>
        <w:numPr>
          <w:ilvl w:val="0"/>
          <w:numId w:val="21"/>
        </w:numPr>
        <w:spacing w:before="120" w:after="0" w:line="240" w:lineRule="auto"/>
        <w:jc w:val="both"/>
        <w:rPr>
          <w:rFonts w:asciiTheme="majorHAnsi" w:hAnsiTheme="majorHAnsi" w:cstheme="majorHAnsi"/>
          <w:bCs/>
          <w:iCs/>
        </w:rPr>
      </w:pPr>
      <w:r w:rsidRPr="008C21CF">
        <w:rPr>
          <w:rFonts w:asciiTheme="majorHAnsi" w:hAnsiTheme="majorHAnsi" w:cstheme="majorHAnsi"/>
        </w:rPr>
        <w:t xml:space="preserve">Does the funding request envisage a </w:t>
      </w:r>
      <w:r w:rsidRPr="0096146C">
        <w:rPr>
          <w:rFonts w:asciiTheme="majorHAnsi" w:hAnsiTheme="majorHAnsi" w:cstheme="majorHAnsi"/>
          <w:b/>
        </w:rPr>
        <w:t>joint investment platform</w:t>
      </w:r>
      <w:r w:rsidRPr="008C21CF">
        <w:rPr>
          <w:rFonts w:asciiTheme="majorHAnsi" w:hAnsiTheme="majorHAnsi" w:cstheme="majorHAnsi"/>
        </w:rPr>
        <w:t xml:space="preserve"> with other </w:t>
      </w:r>
      <w:r w:rsidR="003A4972">
        <w:rPr>
          <w:rFonts w:asciiTheme="majorHAnsi" w:hAnsiTheme="majorHAnsi" w:cstheme="majorHAnsi"/>
        </w:rPr>
        <w:t>institution</w:t>
      </w:r>
      <w:r w:rsidR="003A4972" w:rsidRPr="008C21CF">
        <w:rPr>
          <w:rFonts w:asciiTheme="majorHAnsi" w:hAnsiTheme="majorHAnsi" w:cstheme="majorHAnsi"/>
        </w:rPr>
        <w:t>s</w:t>
      </w:r>
      <w:r w:rsidRPr="008C21CF">
        <w:rPr>
          <w:rFonts w:asciiTheme="majorHAnsi" w:hAnsiTheme="majorHAnsi" w:cstheme="majorHAnsi"/>
        </w:rPr>
        <w:t xml:space="preserve">? </w:t>
      </w:r>
    </w:p>
    <w:p w14:paraId="1D88E390" w14:textId="77777777" w:rsidR="00663D90" w:rsidRPr="00D44D0D" w:rsidRDefault="00663D90" w:rsidP="00663D90">
      <w:pPr>
        <w:pStyle w:val="ListParagraph"/>
        <w:spacing w:before="120" w:after="0" w:line="240" w:lineRule="auto"/>
        <w:ind w:left="360"/>
        <w:jc w:val="both"/>
        <w:rPr>
          <w:rFonts w:asciiTheme="majorHAnsi" w:hAnsiTheme="majorHAnsi" w:cstheme="majorHAnsi"/>
          <w:bCs/>
          <w:iCs/>
        </w:rPr>
      </w:pPr>
    </w:p>
    <w:p w14:paraId="297BAF88" w14:textId="6F2FCA7E" w:rsidR="00AA45C3" w:rsidRDefault="00C71542" w:rsidP="00D44D0D">
      <w:pPr>
        <w:pStyle w:val="ListParagraph"/>
        <w:spacing w:before="120" w:after="0" w:line="240" w:lineRule="auto"/>
        <w:ind w:left="360" w:firstLine="360"/>
        <w:jc w:val="both"/>
        <w:rPr>
          <w:rFonts w:asciiTheme="majorHAnsi" w:hAnsiTheme="majorHAnsi" w:cstheme="majorHAnsi"/>
          <w:bCs/>
          <w:iCs/>
        </w:rPr>
      </w:pPr>
      <w:sdt>
        <w:sdtPr>
          <w:rPr>
            <w:rFonts w:asciiTheme="majorHAnsi" w:eastAsia="MS Gothic" w:hAnsiTheme="majorHAnsi" w:cstheme="majorHAnsi"/>
            <w:bCs/>
            <w:iCs/>
          </w:rPr>
          <w:id w:val="1973173543"/>
          <w14:checkbox>
            <w14:checked w14:val="0"/>
            <w14:checkedState w14:val="2612" w14:font="MS Gothic"/>
            <w14:uncheckedState w14:val="2610" w14:font="MS Gothic"/>
          </w14:checkbox>
        </w:sdtPr>
        <w:sdtContent>
          <w:r w:rsidR="00AA45C3" w:rsidRPr="008C21CF">
            <w:rPr>
              <w:rFonts w:ascii="MS Gothic" w:eastAsia="MS Gothic" w:hAnsi="MS Gothic" w:cstheme="majorHAnsi"/>
              <w:bCs/>
              <w:iCs/>
            </w:rPr>
            <w:t>☐</w:t>
          </w:r>
        </w:sdtContent>
      </w:sdt>
      <w:r w:rsidR="00485066" w:rsidRPr="008C21CF">
        <w:rPr>
          <w:rFonts w:asciiTheme="majorHAnsi" w:hAnsiTheme="majorHAnsi" w:cstheme="majorHAnsi"/>
          <w:bCs/>
          <w:iCs/>
        </w:rPr>
        <w:t xml:space="preserve"> Yes         </w:t>
      </w:r>
      <w:sdt>
        <w:sdtPr>
          <w:rPr>
            <w:rFonts w:asciiTheme="majorHAnsi" w:hAnsiTheme="majorHAnsi" w:cstheme="majorHAnsi"/>
            <w:bCs/>
            <w:iCs/>
          </w:rPr>
          <w:id w:val="1360627992"/>
          <w14:checkbox>
            <w14:checked w14:val="1"/>
            <w14:checkedState w14:val="2612" w14:font="MS Gothic"/>
            <w14:uncheckedState w14:val="2610" w14:font="MS Gothic"/>
          </w14:checkbox>
        </w:sdtPr>
        <w:sdtContent>
          <w:r w:rsidR="00226000">
            <w:rPr>
              <w:rFonts w:ascii="MS Gothic" w:eastAsia="MS Gothic" w:hAnsi="MS Gothic" w:cstheme="majorHAnsi" w:hint="eastAsia"/>
              <w:bCs/>
              <w:iCs/>
            </w:rPr>
            <w:t>☒</w:t>
          </w:r>
        </w:sdtContent>
      </w:sdt>
      <w:r w:rsidR="00485066" w:rsidRPr="008C21CF">
        <w:rPr>
          <w:rFonts w:asciiTheme="majorHAnsi" w:hAnsiTheme="majorHAnsi" w:cstheme="majorHAnsi"/>
          <w:bCs/>
          <w:iCs/>
        </w:rPr>
        <w:t xml:space="preserve"> No</w:t>
      </w:r>
    </w:p>
    <w:p w14:paraId="2B25D274" w14:textId="77777777" w:rsidR="00663D90" w:rsidRPr="00D44D0D" w:rsidRDefault="00663D90" w:rsidP="00D44D0D">
      <w:pPr>
        <w:pStyle w:val="ListParagraph"/>
        <w:spacing w:before="120" w:after="0" w:line="240" w:lineRule="auto"/>
        <w:ind w:left="360" w:firstLine="360"/>
        <w:jc w:val="both"/>
        <w:rPr>
          <w:rFonts w:asciiTheme="majorHAnsi" w:hAnsiTheme="majorHAnsi" w:cstheme="majorHAnsi"/>
          <w:bCs/>
          <w:iCs/>
        </w:rPr>
      </w:pPr>
    </w:p>
    <w:p w14:paraId="276A559D" w14:textId="4259CD7B" w:rsidR="00794CE6" w:rsidRPr="008C21CF" w:rsidRDefault="00794CE6" w:rsidP="006C0196">
      <w:pPr>
        <w:spacing w:after="0" w:line="240" w:lineRule="auto"/>
        <w:ind w:firstLine="360"/>
        <w:jc w:val="both"/>
        <w:rPr>
          <w:rFonts w:asciiTheme="majorHAnsi" w:hAnsiTheme="majorHAnsi" w:cstheme="majorHAnsi"/>
          <w:bCs/>
          <w:iCs/>
        </w:rPr>
      </w:pPr>
      <w:r w:rsidRPr="00B2724B">
        <w:rPr>
          <w:rFonts w:asciiTheme="majorHAnsi" w:hAnsiTheme="majorHAnsi" w:cstheme="majorHAnsi"/>
        </w:rPr>
        <w:t>If</w:t>
      </w:r>
      <w:r w:rsidRPr="008C21CF">
        <w:rPr>
          <w:rFonts w:asciiTheme="majorHAnsi" w:hAnsiTheme="majorHAnsi" w:cstheme="majorHAnsi"/>
          <w:b/>
        </w:rPr>
        <w:t xml:space="preserve"> yes</w:t>
      </w:r>
      <w:r w:rsidRPr="008C21CF">
        <w:rPr>
          <w:rFonts w:asciiTheme="majorHAnsi" w:hAnsiTheme="majorHAnsi" w:cstheme="majorHAnsi"/>
        </w:rPr>
        <w:t>, describe specific arrangements and modalities.</w:t>
      </w:r>
    </w:p>
    <w:p w14:paraId="48DAB4F2" w14:textId="77777777" w:rsidR="00485066" w:rsidRPr="008C21CF" w:rsidRDefault="00485066" w:rsidP="00485066">
      <w:pPr>
        <w:pStyle w:val="ListParagraph"/>
        <w:spacing w:before="120" w:after="0" w:line="240" w:lineRule="auto"/>
        <w:ind w:left="360"/>
        <w:jc w:val="both"/>
        <w:rPr>
          <w:rFonts w:asciiTheme="majorHAnsi" w:hAnsiTheme="majorHAnsi" w:cstheme="majorHAnsi"/>
          <w:bCs/>
          <w:iCs/>
        </w:rPr>
      </w:pPr>
    </w:p>
    <w:tbl>
      <w:tblPr>
        <w:tblStyle w:val="TableGrid"/>
        <w:tblW w:w="0" w:type="auto"/>
        <w:tblLook w:val="04A0" w:firstRow="1" w:lastRow="0" w:firstColumn="1" w:lastColumn="0" w:noHBand="0" w:noVBand="1"/>
      </w:tblPr>
      <w:tblGrid>
        <w:gridCol w:w="10456"/>
      </w:tblGrid>
      <w:tr w:rsidR="00485066" w:rsidRPr="001D57CE" w14:paraId="4F316570" w14:textId="77777777" w:rsidTr="005279BC">
        <w:tc>
          <w:tcPr>
            <w:tcW w:w="10790" w:type="dxa"/>
          </w:tcPr>
          <w:p w14:paraId="095C735F" w14:textId="0328389F" w:rsidR="00485066" w:rsidRPr="008C21CF" w:rsidRDefault="00C50369" w:rsidP="005279BC">
            <w:pPr>
              <w:rPr>
                <w:rFonts w:asciiTheme="majorHAnsi" w:hAnsiTheme="majorHAnsi" w:cstheme="majorHAnsi"/>
              </w:rPr>
            </w:pPr>
            <w:r>
              <w:rPr>
                <w:rFonts w:asciiTheme="majorHAnsi" w:hAnsiTheme="majorHAnsi" w:cstheme="majorHAnsi"/>
              </w:rPr>
              <w:t>N/A</w:t>
            </w:r>
          </w:p>
          <w:p w14:paraId="36A6DC12" w14:textId="77777777" w:rsidR="00485066" w:rsidRPr="008C21CF" w:rsidRDefault="00485066" w:rsidP="005279BC">
            <w:pPr>
              <w:rPr>
                <w:rFonts w:asciiTheme="majorHAnsi" w:hAnsiTheme="majorHAnsi" w:cstheme="majorHAnsi"/>
              </w:rPr>
            </w:pPr>
          </w:p>
        </w:tc>
      </w:tr>
    </w:tbl>
    <w:p w14:paraId="350D5D6B" w14:textId="77777777" w:rsidR="00485066" w:rsidRPr="008C21CF" w:rsidRDefault="00485066" w:rsidP="00485066">
      <w:pPr>
        <w:pStyle w:val="ListParagraph"/>
        <w:spacing w:after="0" w:line="240" w:lineRule="auto"/>
        <w:ind w:left="360"/>
        <w:jc w:val="both"/>
        <w:rPr>
          <w:rFonts w:asciiTheme="majorHAnsi" w:hAnsiTheme="majorHAnsi" w:cstheme="majorHAnsi"/>
          <w:bCs/>
          <w:iCs/>
        </w:rPr>
      </w:pPr>
    </w:p>
    <w:p w14:paraId="4ACA8E52" w14:textId="77777777" w:rsidR="005422B6" w:rsidRPr="00B271DB" w:rsidRDefault="005422B6">
      <w:pPr>
        <w:spacing w:after="160" w:line="0" w:lineRule="auto"/>
        <w:rPr>
          <w:rFonts w:cs="Arial"/>
        </w:rPr>
      </w:pPr>
    </w:p>
    <w:p w14:paraId="2891EDF1" w14:textId="0EA5130E" w:rsidR="00485066" w:rsidRPr="003860E7" w:rsidRDefault="00824D66" w:rsidP="00824D66">
      <w:pPr>
        <w:pStyle w:val="Heading1"/>
        <w:numPr>
          <w:ilvl w:val="0"/>
          <w:numId w:val="0"/>
        </w:numPr>
        <w:pBdr>
          <w:top w:val="single" w:sz="6" w:space="1" w:color="D9D9D9" w:themeColor="background1" w:themeShade="D9"/>
          <w:left w:val="single" w:sz="6" w:space="4" w:color="D9D9D9" w:themeColor="background1" w:themeShade="D9"/>
          <w:bottom w:val="single" w:sz="6" w:space="1" w:color="D9D9D9" w:themeColor="background1" w:themeShade="D9"/>
          <w:right w:val="single" w:sz="6" w:space="4" w:color="D9D9D9" w:themeColor="background1" w:themeShade="D9"/>
        </w:pBdr>
        <w:shd w:val="clear" w:color="auto" w:fill="D9D9D9" w:themeFill="background1" w:themeFillShade="D9"/>
        <w:spacing w:before="0" w:after="0"/>
        <w:ind w:left="567" w:hanging="567"/>
        <w:rPr>
          <w:b/>
          <w:sz w:val="30"/>
        </w:rPr>
      </w:pPr>
      <w:r>
        <w:rPr>
          <w:b/>
          <w:sz w:val="30"/>
        </w:rPr>
        <w:t xml:space="preserve">Section 3: </w:t>
      </w:r>
      <w:r w:rsidR="00485066" w:rsidRPr="003860E7">
        <w:rPr>
          <w:b/>
          <w:sz w:val="30"/>
        </w:rPr>
        <w:t>Co-Financing, Sustainability and Transition</w:t>
      </w:r>
    </w:p>
    <w:p w14:paraId="2447389A" w14:textId="73F48D3C" w:rsidR="002B6A8E" w:rsidRDefault="002B6A8E" w:rsidP="002B6A8E"/>
    <w:p w14:paraId="4016BDCF" w14:textId="7AA1D5CC" w:rsidR="002D5A90" w:rsidRPr="00A76BD8" w:rsidRDefault="00CA7D8E" w:rsidP="00A76BD8">
      <w:pPr>
        <w:jc w:val="both"/>
      </w:pPr>
      <w:bookmarkStart w:id="21" w:name="_Hlk13737743"/>
      <w:r>
        <w:t xml:space="preserve">To respond to the questions below, refer to the </w:t>
      </w:r>
      <w:r w:rsidR="002B6A8E" w:rsidRPr="00F36913">
        <w:rPr>
          <w:i/>
        </w:rPr>
        <w:t>Instructions</w:t>
      </w:r>
      <w:r w:rsidRPr="00CA7D8E">
        <w:t xml:space="preserve">, </w:t>
      </w:r>
      <w:r w:rsidRPr="00A76BD8">
        <w:t xml:space="preserve">the domestic financing </w:t>
      </w:r>
      <w:r w:rsidRPr="007364E8">
        <w:t xml:space="preserve">section of the </w:t>
      </w:r>
      <w:r w:rsidRPr="003844E1">
        <w:t>allocation letter</w:t>
      </w:r>
      <w:r w:rsidR="00A76BD8" w:rsidRPr="007364E8">
        <w:t>,</w:t>
      </w:r>
      <w:r w:rsidR="00411CF4" w:rsidRPr="007364E8">
        <w:t xml:space="preserve"> the</w:t>
      </w:r>
      <w:r w:rsidR="00A76BD8" w:rsidRPr="007364E8">
        <w:t xml:space="preserve"> </w:t>
      </w:r>
      <w:hyperlink r:id="rId43" w:history="1">
        <w:r w:rsidR="00411CF4" w:rsidRPr="007364E8">
          <w:rPr>
            <w:rStyle w:val="Hyperlink"/>
            <w:rFonts w:cs="Arial"/>
          </w:rPr>
          <w:t>Sustainability, Transition and Co-Financing Guidance Note</w:t>
        </w:r>
      </w:hyperlink>
      <w:r w:rsidR="00411CF4" w:rsidRPr="007364E8">
        <w:rPr>
          <w:rStyle w:val="Hyperlink"/>
          <w:rFonts w:cs="Arial"/>
        </w:rPr>
        <w:t>,</w:t>
      </w:r>
      <w:r w:rsidR="00411CF4" w:rsidRPr="007364E8">
        <w:rPr>
          <w:rStyle w:val="Hyperlink"/>
          <w:rFonts w:cs="Arial"/>
          <w:u w:val="none"/>
        </w:rPr>
        <w:t xml:space="preserve"> </w:t>
      </w:r>
      <w:r w:rsidR="00B74DAA" w:rsidRPr="007364E8">
        <w:rPr>
          <w:b/>
        </w:rPr>
        <w:t>Funding Landscape T</w:t>
      </w:r>
      <w:r w:rsidR="00A76BD8" w:rsidRPr="007364E8">
        <w:rPr>
          <w:b/>
        </w:rPr>
        <w:t>able(s)</w:t>
      </w:r>
      <w:r w:rsidR="00A76BD8" w:rsidRPr="007364E8">
        <w:t xml:space="preserve">, </w:t>
      </w:r>
      <w:r w:rsidR="00A76BD8" w:rsidRPr="007364E8">
        <w:rPr>
          <w:b/>
        </w:rPr>
        <w:t>Programmatic Gap Table(s)</w:t>
      </w:r>
      <w:r w:rsidR="00A76BD8" w:rsidRPr="007364E8">
        <w:t xml:space="preserve">, </w:t>
      </w:r>
      <w:r w:rsidR="00A76BD8" w:rsidRPr="007364E8">
        <w:rPr>
          <w:b/>
        </w:rPr>
        <w:t>Transition Workplan</w:t>
      </w:r>
      <w:r w:rsidR="00A76BD8" w:rsidRPr="007364E8">
        <w:t xml:space="preserve"> and </w:t>
      </w:r>
      <w:r w:rsidR="00A76BD8" w:rsidRPr="007364E8">
        <w:rPr>
          <w:b/>
        </w:rPr>
        <w:t>Transition Readiness Assessment</w:t>
      </w:r>
      <w:r w:rsidR="00B74DAA" w:rsidRPr="007364E8">
        <w:rPr>
          <w:b/>
        </w:rPr>
        <w:t xml:space="preserve"> </w:t>
      </w:r>
      <w:r w:rsidR="00B74DAA" w:rsidRPr="007364E8">
        <w:t>(if available)</w:t>
      </w:r>
      <w:r w:rsidR="00851B7F">
        <w:rPr>
          <w:rStyle w:val="FootnoteReference"/>
        </w:rPr>
        <w:footnoteReference w:id="68"/>
      </w:r>
      <w:r w:rsidR="002B6A8E" w:rsidRPr="007364E8">
        <w:t>.</w:t>
      </w:r>
      <w:r w:rsidR="002B6A8E" w:rsidRPr="00A76BD8">
        <w:t xml:space="preserve"> </w:t>
      </w:r>
      <w:bookmarkEnd w:id="21"/>
    </w:p>
    <w:p w14:paraId="0161FC03" w14:textId="7775A55B" w:rsidR="00485066" w:rsidRPr="008C21CF" w:rsidRDefault="00485066" w:rsidP="002D5A90">
      <w:pPr>
        <w:spacing w:after="0" w:line="240" w:lineRule="auto"/>
        <w:jc w:val="both"/>
        <w:rPr>
          <w:rFonts w:asciiTheme="majorHAnsi" w:hAnsiTheme="majorHAnsi" w:cstheme="majorHAnsi"/>
        </w:rPr>
      </w:pPr>
    </w:p>
    <w:p w14:paraId="55B8BD21" w14:textId="702FE2D6" w:rsidR="00485066" w:rsidRPr="00824D66" w:rsidRDefault="00824D66" w:rsidP="00824D66">
      <w:pPr>
        <w:shd w:val="clear" w:color="auto" w:fill="D9D9D9" w:themeFill="background1" w:themeFillShade="D9"/>
        <w:spacing w:line="240" w:lineRule="auto"/>
        <w:rPr>
          <w:rFonts w:asciiTheme="majorHAnsi" w:hAnsiTheme="majorHAnsi" w:cstheme="majorHAnsi"/>
          <w:b/>
        </w:rPr>
      </w:pPr>
      <w:r>
        <w:rPr>
          <w:rFonts w:asciiTheme="majorHAnsi" w:hAnsiTheme="majorHAnsi" w:cstheme="majorHAnsi"/>
          <w:b/>
          <w:shd w:val="clear" w:color="auto" w:fill="D9D9D9" w:themeFill="background1" w:themeFillShade="D9"/>
        </w:rPr>
        <w:t xml:space="preserve">3.1 </w:t>
      </w:r>
      <w:r w:rsidR="00485066" w:rsidRPr="00824D66">
        <w:rPr>
          <w:rFonts w:asciiTheme="majorHAnsi" w:hAnsiTheme="majorHAnsi" w:cstheme="majorHAnsi"/>
          <w:b/>
          <w:shd w:val="clear" w:color="auto" w:fill="D9D9D9" w:themeFill="background1" w:themeFillShade="D9"/>
        </w:rPr>
        <w:t>Co-Financing</w:t>
      </w:r>
    </w:p>
    <w:p w14:paraId="2B3C81E7" w14:textId="77777777" w:rsidR="00485066" w:rsidRPr="008C21CF" w:rsidRDefault="00485066" w:rsidP="00485066">
      <w:pPr>
        <w:pStyle w:val="ListParagraph"/>
        <w:spacing w:before="120" w:after="0" w:line="240" w:lineRule="auto"/>
        <w:ind w:left="360"/>
        <w:jc w:val="both"/>
        <w:rPr>
          <w:rFonts w:asciiTheme="majorHAnsi" w:eastAsia="SimSun" w:hAnsiTheme="majorHAnsi" w:cstheme="majorHAnsi"/>
          <w:lang w:eastAsia="zh-CN"/>
        </w:rPr>
      </w:pPr>
    </w:p>
    <w:p w14:paraId="63B6894F" w14:textId="520C6AD4" w:rsidR="00485066" w:rsidRPr="00971DBD" w:rsidRDefault="00485066" w:rsidP="00F42E40">
      <w:pPr>
        <w:pStyle w:val="ListParagraph"/>
        <w:numPr>
          <w:ilvl w:val="0"/>
          <w:numId w:val="19"/>
        </w:numPr>
        <w:spacing w:after="0" w:line="240" w:lineRule="auto"/>
        <w:ind w:left="360"/>
        <w:contextualSpacing w:val="0"/>
        <w:jc w:val="both"/>
        <w:rPr>
          <w:rFonts w:asciiTheme="majorHAnsi" w:eastAsia="SimSun" w:hAnsiTheme="majorHAnsi" w:cstheme="majorHAnsi"/>
          <w:lang w:eastAsia="zh-CN"/>
        </w:rPr>
      </w:pPr>
      <w:r w:rsidRPr="008C21CF">
        <w:rPr>
          <w:rFonts w:asciiTheme="majorHAnsi" w:eastAsia="Times New Roman" w:hAnsiTheme="majorHAnsi" w:cstheme="majorHAnsi"/>
        </w:rPr>
        <w:t xml:space="preserve">Have </w:t>
      </w:r>
      <w:r w:rsidRPr="0096146C">
        <w:rPr>
          <w:rFonts w:asciiTheme="majorHAnsi" w:eastAsia="Times New Roman" w:hAnsiTheme="majorHAnsi" w:cstheme="majorHAnsi"/>
          <w:b/>
        </w:rPr>
        <w:t>co-financing commitments</w:t>
      </w:r>
      <w:r w:rsidRPr="008C21CF">
        <w:rPr>
          <w:rFonts w:asciiTheme="majorHAnsi" w:eastAsia="Times New Roman" w:hAnsiTheme="majorHAnsi" w:cstheme="majorHAnsi"/>
        </w:rPr>
        <w:t xml:space="preserve"> for the </w:t>
      </w:r>
      <w:r w:rsidR="00A9213B" w:rsidRPr="0096146C">
        <w:rPr>
          <w:rFonts w:asciiTheme="majorHAnsi" w:eastAsia="Times New Roman" w:hAnsiTheme="majorHAnsi" w:cstheme="majorHAnsi"/>
          <w:b/>
        </w:rPr>
        <w:t>current</w:t>
      </w:r>
      <w:r w:rsidRPr="008C21CF">
        <w:rPr>
          <w:rFonts w:asciiTheme="majorHAnsi" w:eastAsia="Times New Roman" w:hAnsiTheme="majorHAnsi" w:cstheme="majorHAnsi"/>
        </w:rPr>
        <w:t xml:space="preserve"> allocation period been realized?</w:t>
      </w:r>
    </w:p>
    <w:p w14:paraId="416B2593" w14:textId="77777777" w:rsidR="00971DBD" w:rsidRPr="00B74DAA" w:rsidRDefault="00971DBD" w:rsidP="00971DBD">
      <w:pPr>
        <w:pStyle w:val="ListParagraph"/>
        <w:spacing w:after="0" w:line="240" w:lineRule="auto"/>
        <w:ind w:left="360"/>
        <w:contextualSpacing w:val="0"/>
        <w:jc w:val="both"/>
        <w:rPr>
          <w:rFonts w:asciiTheme="majorHAnsi" w:eastAsia="SimSun" w:hAnsiTheme="majorHAnsi" w:cstheme="majorHAnsi"/>
          <w:lang w:eastAsia="zh-CN"/>
        </w:rPr>
      </w:pPr>
    </w:p>
    <w:p w14:paraId="6CBE9A2D" w14:textId="5E8FE558" w:rsidR="00485066" w:rsidRPr="008C21CF" w:rsidRDefault="00C71542" w:rsidP="00971DBD">
      <w:pPr>
        <w:pStyle w:val="ListParagraph"/>
        <w:spacing w:after="0" w:line="240" w:lineRule="auto"/>
        <w:ind w:left="360" w:firstLine="360"/>
        <w:contextualSpacing w:val="0"/>
        <w:jc w:val="both"/>
        <w:rPr>
          <w:rFonts w:asciiTheme="majorHAnsi" w:hAnsiTheme="majorHAnsi" w:cstheme="majorHAnsi"/>
          <w:bCs/>
          <w:iCs/>
        </w:rPr>
      </w:pPr>
      <w:sdt>
        <w:sdtPr>
          <w:rPr>
            <w:rFonts w:asciiTheme="majorHAnsi" w:hAnsiTheme="majorHAnsi" w:cstheme="majorHAnsi"/>
            <w:bCs/>
            <w:iCs/>
          </w:rPr>
          <w:id w:val="924852934"/>
          <w14:checkbox>
            <w14:checked w14:val="1"/>
            <w14:checkedState w14:val="2612" w14:font="MS Gothic"/>
            <w14:uncheckedState w14:val="2610" w14:font="MS Gothic"/>
          </w14:checkbox>
        </w:sdtPr>
        <w:sdtContent>
          <w:r w:rsidR="00226000">
            <w:rPr>
              <w:rFonts w:ascii="MS Gothic" w:eastAsia="MS Gothic" w:hAnsi="MS Gothic" w:cstheme="majorHAnsi" w:hint="eastAsia"/>
              <w:bCs/>
              <w:iCs/>
            </w:rPr>
            <w:t>☒</w:t>
          </w:r>
        </w:sdtContent>
      </w:sdt>
      <w:r w:rsidR="00485066" w:rsidRPr="008C21CF">
        <w:rPr>
          <w:rFonts w:asciiTheme="majorHAnsi" w:hAnsiTheme="majorHAnsi" w:cstheme="majorHAnsi"/>
          <w:bCs/>
          <w:iCs/>
        </w:rPr>
        <w:t xml:space="preserve"> Yes         </w:t>
      </w:r>
      <w:sdt>
        <w:sdtPr>
          <w:rPr>
            <w:rFonts w:asciiTheme="majorHAnsi" w:hAnsiTheme="majorHAnsi" w:cstheme="majorHAnsi"/>
            <w:bCs/>
            <w:iCs/>
          </w:rPr>
          <w:id w:val="1334948662"/>
          <w14:checkbox>
            <w14:checked w14:val="0"/>
            <w14:checkedState w14:val="2612" w14:font="MS Gothic"/>
            <w14:uncheckedState w14:val="2610" w14:font="MS Gothic"/>
          </w14:checkbox>
        </w:sdtPr>
        <w:sdtContent>
          <w:r w:rsidR="00485066" w:rsidRPr="001D57CE">
            <w:rPr>
              <w:rFonts w:ascii="Segoe UI Symbol" w:hAnsi="Segoe UI Symbol" w:cs="Segoe UI Symbol"/>
              <w:bCs/>
              <w:iCs/>
            </w:rPr>
            <w:t>☐</w:t>
          </w:r>
        </w:sdtContent>
      </w:sdt>
      <w:r w:rsidR="00485066" w:rsidRPr="008C21CF">
        <w:rPr>
          <w:rFonts w:asciiTheme="majorHAnsi" w:hAnsiTheme="majorHAnsi" w:cstheme="majorHAnsi"/>
          <w:bCs/>
          <w:iCs/>
        </w:rPr>
        <w:t xml:space="preserve"> No</w:t>
      </w:r>
    </w:p>
    <w:p w14:paraId="672DA190" w14:textId="77777777" w:rsidR="00485066" w:rsidRPr="008C21CF" w:rsidRDefault="00485066" w:rsidP="00971DBD">
      <w:pPr>
        <w:pStyle w:val="ListParagraph"/>
        <w:spacing w:after="0" w:line="240" w:lineRule="auto"/>
        <w:ind w:left="996"/>
        <w:contextualSpacing w:val="0"/>
        <w:jc w:val="both"/>
        <w:rPr>
          <w:rFonts w:asciiTheme="majorHAnsi" w:eastAsia="Times New Roman" w:hAnsiTheme="majorHAnsi" w:cstheme="majorHAnsi"/>
        </w:rPr>
      </w:pPr>
    </w:p>
    <w:p w14:paraId="5C9BFCD5" w14:textId="6A2895C5" w:rsidR="00485066" w:rsidRPr="008C21CF" w:rsidRDefault="00485066" w:rsidP="00971DBD">
      <w:pPr>
        <w:spacing w:after="0" w:line="240" w:lineRule="auto"/>
        <w:ind w:left="360"/>
        <w:jc w:val="both"/>
        <w:rPr>
          <w:rFonts w:asciiTheme="majorHAnsi" w:eastAsia="Times New Roman" w:hAnsiTheme="majorHAnsi" w:cstheme="majorHAnsi"/>
        </w:rPr>
      </w:pPr>
      <w:r w:rsidRPr="00B2724B">
        <w:rPr>
          <w:rFonts w:asciiTheme="majorHAnsi" w:eastAsia="Times New Roman" w:hAnsiTheme="majorHAnsi" w:cstheme="majorHAnsi"/>
        </w:rPr>
        <w:t>If</w:t>
      </w:r>
      <w:r w:rsidRPr="008C21CF">
        <w:rPr>
          <w:rFonts w:asciiTheme="majorHAnsi" w:eastAsia="Times New Roman" w:hAnsiTheme="majorHAnsi" w:cstheme="majorHAnsi"/>
          <w:b/>
        </w:rPr>
        <w:t xml:space="preserve"> yes</w:t>
      </w:r>
      <w:r w:rsidRPr="008C21CF">
        <w:rPr>
          <w:rFonts w:asciiTheme="majorHAnsi" w:eastAsia="Times New Roman" w:hAnsiTheme="majorHAnsi" w:cstheme="majorHAnsi"/>
        </w:rPr>
        <w:t xml:space="preserve">, attach supporting documentation demonstrating the extent to which co-financing commitments have been met. </w:t>
      </w:r>
    </w:p>
    <w:p w14:paraId="486BFDD7" w14:textId="77777777" w:rsidR="00AA45C3" w:rsidRDefault="00AA45C3" w:rsidP="00971DBD">
      <w:pPr>
        <w:spacing w:after="0" w:line="240" w:lineRule="auto"/>
        <w:ind w:left="360"/>
        <w:rPr>
          <w:rFonts w:asciiTheme="majorHAnsi" w:eastAsia="Times New Roman" w:hAnsiTheme="majorHAnsi" w:cstheme="majorHAnsi"/>
          <w:b/>
        </w:rPr>
      </w:pPr>
    </w:p>
    <w:p w14:paraId="06DE97B2" w14:textId="49EC31C7" w:rsidR="00485066" w:rsidRPr="008C21CF" w:rsidRDefault="00485066" w:rsidP="00971DBD">
      <w:pPr>
        <w:spacing w:after="0" w:line="240" w:lineRule="auto"/>
        <w:ind w:left="360"/>
        <w:rPr>
          <w:rFonts w:asciiTheme="majorHAnsi" w:eastAsia="Times New Roman" w:hAnsiTheme="majorHAnsi" w:cstheme="majorHAnsi"/>
        </w:rPr>
      </w:pPr>
      <w:r w:rsidRPr="00B2724B">
        <w:rPr>
          <w:rFonts w:asciiTheme="majorHAnsi" w:eastAsia="Times New Roman" w:hAnsiTheme="majorHAnsi" w:cstheme="majorHAnsi"/>
        </w:rPr>
        <w:t xml:space="preserve">If </w:t>
      </w:r>
      <w:r w:rsidRPr="008C21CF">
        <w:rPr>
          <w:rFonts w:asciiTheme="majorHAnsi" w:eastAsia="Times New Roman" w:hAnsiTheme="majorHAnsi" w:cstheme="majorHAnsi"/>
          <w:b/>
        </w:rPr>
        <w:t>no</w:t>
      </w:r>
      <w:r w:rsidRPr="008C21CF">
        <w:rPr>
          <w:rFonts w:asciiTheme="majorHAnsi" w:eastAsia="Times New Roman" w:hAnsiTheme="majorHAnsi" w:cstheme="majorHAnsi"/>
        </w:rPr>
        <w:t xml:space="preserve">, </w:t>
      </w:r>
      <w:r w:rsidR="00084B50">
        <w:rPr>
          <w:rFonts w:asciiTheme="majorHAnsi" w:eastAsia="Times New Roman" w:hAnsiTheme="majorHAnsi" w:cstheme="majorHAnsi"/>
        </w:rPr>
        <w:t>explain why</w:t>
      </w:r>
      <w:r w:rsidRPr="008C21CF">
        <w:rPr>
          <w:rFonts w:asciiTheme="majorHAnsi" w:eastAsia="Times New Roman" w:hAnsiTheme="majorHAnsi" w:cstheme="majorHAnsi"/>
        </w:rPr>
        <w:t xml:space="preserve"> and outline the impact of this situation on the program</w:t>
      </w:r>
      <w:r w:rsidR="008F6B82" w:rsidRPr="008C21CF">
        <w:rPr>
          <w:rFonts w:asciiTheme="majorHAnsi" w:eastAsia="Times New Roman" w:hAnsiTheme="majorHAnsi" w:cstheme="majorHAnsi"/>
        </w:rPr>
        <w:t>.</w:t>
      </w:r>
    </w:p>
    <w:p w14:paraId="1EBAE844" w14:textId="77777777" w:rsidR="00572198" w:rsidRPr="008C21CF" w:rsidRDefault="00572198" w:rsidP="00971DBD">
      <w:pPr>
        <w:spacing w:after="0" w:line="240" w:lineRule="auto"/>
        <w:rPr>
          <w:rFonts w:asciiTheme="majorHAnsi" w:eastAsia="Times New Roman" w:hAnsiTheme="majorHAnsi" w:cstheme="majorHAnsi"/>
        </w:rPr>
      </w:pPr>
    </w:p>
    <w:tbl>
      <w:tblPr>
        <w:tblStyle w:val="TableGrid"/>
        <w:tblW w:w="0" w:type="auto"/>
        <w:tblLook w:val="04A0" w:firstRow="1" w:lastRow="0" w:firstColumn="1" w:lastColumn="0" w:noHBand="0" w:noVBand="1"/>
      </w:tblPr>
      <w:tblGrid>
        <w:gridCol w:w="10456"/>
      </w:tblGrid>
      <w:tr w:rsidR="00485066" w:rsidRPr="001D57CE" w14:paraId="1C80D382" w14:textId="77777777" w:rsidTr="005279BC">
        <w:tc>
          <w:tcPr>
            <w:tcW w:w="10790" w:type="dxa"/>
          </w:tcPr>
          <w:p w14:paraId="11A8171F" w14:textId="72624425" w:rsidR="00253CE0" w:rsidRPr="00A82FB8" w:rsidRDefault="00253CE0" w:rsidP="00A82FB8">
            <w:pPr>
              <w:spacing w:after="0" w:line="240" w:lineRule="auto"/>
              <w:rPr>
                <w:rFonts w:cs="Arial"/>
                <w:iCs/>
                <w:color w:val="000000"/>
                <w:sz w:val="20"/>
                <w:szCs w:val="20"/>
              </w:rPr>
            </w:pPr>
            <w:r w:rsidRPr="00A82FB8">
              <w:rPr>
                <w:rFonts w:cs="Arial"/>
                <w:iCs/>
                <w:color w:val="000000"/>
                <w:sz w:val="20"/>
                <w:szCs w:val="20"/>
              </w:rPr>
              <w:t>For the current allocation, the 2018 co-financing commitments were met by the Republic of Moldova and the CCM has accordingly reported to the GF on that in October 2019. In accordance with the reporting deadlines, the 2019 country Report is to be submitted to the GF Secretariat in October 2020. (See attached the</w:t>
            </w:r>
            <w:r w:rsidR="00BB3300" w:rsidRPr="00A82FB8">
              <w:rPr>
                <w:rFonts w:cs="Arial"/>
                <w:iCs/>
                <w:color w:val="000000"/>
                <w:sz w:val="20"/>
                <w:szCs w:val="20"/>
              </w:rPr>
              <w:t xml:space="preserve"> Annex 8</w:t>
            </w:r>
            <w:r w:rsidRPr="00A82FB8">
              <w:rPr>
                <w:rFonts w:cs="Arial"/>
                <w:iCs/>
                <w:color w:val="000000"/>
                <w:sz w:val="20"/>
                <w:szCs w:val="20"/>
              </w:rPr>
              <w:t xml:space="preserve"> Country Report for 2018). </w:t>
            </w:r>
          </w:p>
          <w:p w14:paraId="3EDD3FCB" w14:textId="77777777" w:rsidR="00A82FB8" w:rsidRPr="00A82FB8" w:rsidRDefault="00A82FB8" w:rsidP="00A82FB8">
            <w:pPr>
              <w:spacing w:after="0" w:line="240" w:lineRule="auto"/>
              <w:rPr>
                <w:rFonts w:cs="Arial"/>
                <w:iCs/>
                <w:color w:val="000000"/>
                <w:sz w:val="20"/>
                <w:szCs w:val="20"/>
              </w:rPr>
            </w:pPr>
          </w:p>
          <w:p w14:paraId="5D25DD38" w14:textId="77777777" w:rsidR="00A82FB8" w:rsidRPr="00A82FB8" w:rsidRDefault="00BB3300" w:rsidP="00A82FB8">
            <w:pPr>
              <w:spacing w:after="0" w:line="240" w:lineRule="auto"/>
              <w:jc w:val="both"/>
              <w:rPr>
                <w:rFonts w:cs="Arial"/>
                <w:iCs/>
                <w:color w:val="000000"/>
                <w:sz w:val="20"/>
                <w:szCs w:val="20"/>
              </w:rPr>
            </w:pPr>
            <w:r w:rsidRPr="00A82FB8">
              <w:rPr>
                <w:rFonts w:cs="Arial"/>
                <w:iCs/>
                <w:color w:val="000000"/>
                <w:sz w:val="20"/>
                <w:szCs w:val="20"/>
              </w:rPr>
              <w:lastRenderedPageBreak/>
              <w:t xml:space="preserve">Thanks to joint efforts with the GF, Moldova succeeded to: </w:t>
            </w:r>
          </w:p>
          <w:p w14:paraId="772147DB" w14:textId="77777777" w:rsidR="00A82FB8" w:rsidRPr="00A82FB8" w:rsidRDefault="00BB3300" w:rsidP="00A82FB8">
            <w:pPr>
              <w:spacing w:after="0" w:line="240" w:lineRule="auto"/>
              <w:jc w:val="both"/>
              <w:rPr>
                <w:rFonts w:cs="Arial"/>
                <w:iCs/>
                <w:color w:val="000000"/>
                <w:sz w:val="20"/>
                <w:szCs w:val="20"/>
              </w:rPr>
            </w:pPr>
            <w:r w:rsidRPr="00A82FB8">
              <w:rPr>
                <w:rFonts w:cs="Arial"/>
                <w:iCs/>
                <w:color w:val="000000"/>
                <w:sz w:val="20"/>
                <w:szCs w:val="20"/>
              </w:rPr>
              <w:t xml:space="preserve">1) mobilize more national resources – from the Ministry of Justice and local authorities, including the de-facto structures in Tiraspol, </w:t>
            </w:r>
            <w:r w:rsidR="00A82FB8" w:rsidRPr="00A82FB8">
              <w:rPr>
                <w:rFonts w:cs="Arial"/>
                <w:iCs/>
                <w:color w:val="000000"/>
                <w:sz w:val="20"/>
                <w:szCs w:val="20"/>
              </w:rPr>
              <w:t>channeled</w:t>
            </w:r>
            <w:r w:rsidRPr="00A82FB8">
              <w:rPr>
                <w:rFonts w:cs="Arial"/>
                <w:iCs/>
                <w:color w:val="000000"/>
                <w:sz w:val="20"/>
                <w:szCs w:val="20"/>
              </w:rPr>
              <w:t xml:space="preserve"> for the TB/HIV treatment/control which reached 100% of coverage of first line ARV </w:t>
            </w:r>
            <w:r w:rsidR="00A82FB8" w:rsidRPr="00A82FB8">
              <w:rPr>
                <w:rFonts w:cs="Arial"/>
                <w:iCs/>
                <w:color w:val="000000"/>
                <w:sz w:val="20"/>
                <w:szCs w:val="20"/>
              </w:rPr>
              <w:t>treatment</w:t>
            </w:r>
            <w:r w:rsidRPr="00A82FB8">
              <w:rPr>
                <w:rFonts w:cs="Arial"/>
                <w:iCs/>
                <w:color w:val="000000"/>
                <w:sz w:val="20"/>
                <w:szCs w:val="20"/>
              </w:rPr>
              <w:t xml:space="preserve"> regimens in 2020; </w:t>
            </w:r>
          </w:p>
          <w:p w14:paraId="10B1782C" w14:textId="77777777" w:rsidR="00A82FB8" w:rsidRPr="00A82FB8" w:rsidRDefault="00BB3300" w:rsidP="00A82FB8">
            <w:pPr>
              <w:spacing w:after="0" w:line="240" w:lineRule="auto"/>
              <w:jc w:val="both"/>
              <w:rPr>
                <w:rFonts w:cs="Arial"/>
                <w:iCs/>
                <w:color w:val="000000"/>
                <w:sz w:val="20"/>
                <w:szCs w:val="20"/>
              </w:rPr>
            </w:pPr>
            <w:r w:rsidRPr="00A82FB8">
              <w:rPr>
                <w:rFonts w:cs="Arial"/>
                <w:iCs/>
                <w:color w:val="000000"/>
                <w:sz w:val="20"/>
                <w:szCs w:val="20"/>
              </w:rPr>
              <w:t xml:space="preserve">2) update and implement national and regional HIV treatment protocols with transition to optimized and DTG-containing treatment regimens and adopt latest WHO recommended to accelerate transition to all-oral new DR TB treatment regimens; </w:t>
            </w:r>
          </w:p>
          <w:p w14:paraId="3B965592" w14:textId="77777777" w:rsidR="00A82FB8" w:rsidRPr="00A82FB8" w:rsidRDefault="00BB3300" w:rsidP="00A82FB8">
            <w:pPr>
              <w:spacing w:after="0" w:line="240" w:lineRule="auto"/>
              <w:jc w:val="both"/>
              <w:rPr>
                <w:rFonts w:cs="Arial"/>
                <w:iCs/>
                <w:color w:val="000000"/>
                <w:sz w:val="20"/>
                <w:szCs w:val="20"/>
              </w:rPr>
            </w:pPr>
            <w:r w:rsidRPr="00A82FB8">
              <w:rPr>
                <w:rFonts w:cs="Arial"/>
                <w:iCs/>
                <w:color w:val="000000"/>
                <w:sz w:val="20"/>
                <w:szCs w:val="20"/>
              </w:rPr>
              <w:t xml:space="preserve">3) introduce rapid HIV testing at the community level and maintain a high level of rapid molecular testing for all presumptive cases of TB at district level, in penitentiaries and ART Centers; </w:t>
            </w:r>
          </w:p>
          <w:p w14:paraId="6AE3DD10" w14:textId="77777777" w:rsidR="00A82FB8" w:rsidRPr="00A82FB8" w:rsidRDefault="00BB3300" w:rsidP="00A82FB8">
            <w:pPr>
              <w:spacing w:after="0" w:line="240" w:lineRule="auto"/>
              <w:jc w:val="both"/>
              <w:rPr>
                <w:rFonts w:cs="Arial"/>
                <w:iCs/>
                <w:color w:val="000000"/>
                <w:sz w:val="20"/>
                <w:szCs w:val="20"/>
              </w:rPr>
            </w:pPr>
            <w:r w:rsidRPr="00A82FB8">
              <w:rPr>
                <w:rFonts w:cs="Arial"/>
                <w:iCs/>
                <w:color w:val="000000"/>
                <w:sz w:val="20"/>
                <w:szCs w:val="20"/>
              </w:rPr>
              <w:t>4) provide treatment support to all patients with MDR-TB through community centers, CSO-led community support to key populations 5) integrate the positions of social worker, psychologist and DOT supporter in phthysiopulmonogy service at district level 6) allocate resources and contract HIV prevention and services from the NHIC funds,</w:t>
            </w:r>
          </w:p>
          <w:p w14:paraId="01E937C0" w14:textId="45575B09" w:rsidR="00A82FB8" w:rsidRPr="00A82FB8" w:rsidRDefault="00A82FB8" w:rsidP="00A82FB8">
            <w:pPr>
              <w:spacing w:after="0" w:line="240" w:lineRule="auto"/>
              <w:jc w:val="both"/>
              <w:rPr>
                <w:rFonts w:cs="Arial"/>
                <w:iCs/>
                <w:color w:val="000000"/>
                <w:sz w:val="20"/>
                <w:szCs w:val="20"/>
              </w:rPr>
            </w:pPr>
            <w:r w:rsidRPr="00A82FB8">
              <w:rPr>
                <w:rFonts w:cs="Arial"/>
                <w:iCs/>
                <w:color w:val="000000"/>
                <w:sz w:val="20"/>
                <w:szCs w:val="20"/>
              </w:rPr>
              <w:t>5</w:t>
            </w:r>
            <w:r w:rsidR="00BB3300" w:rsidRPr="00A82FB8">
              <w:rPr>
                <w:rFonts w:cs="Arial"/>
                <w:iCs/>
                <w:color w:val="000000"/>
                <w:sz w:val="20"/>
                <w:szCs w:val="20"/>
              </w:rPr>
              <w:t>) continue and scale-</w:t>
            </w:r>
            <w:r w:rsidRPr="00A82FB8">
              <w:rPr>
                <w:rFonts w:cs="Arial"/>
                <w:iCs/>
                <w:color w:val="000000"/>
                <w:sz w:val="20"/>
                <w:szCs w:val="20"/>
              </w:rPr>
              <w:t>up</w:t>
            </w:r>
            <w:r w:rsidR="00BB3300" w:rsidRPr="00A82FB8">
              <w:rPr>
                <w:rFonts w:cs="Arial"/>
                <w:iCs/>
                <w:color w:val="000000"/>
                <w:sz w:val="20"/>
                <w:szCs w:val="20"/>
              </w:rPr>
              <w:t xml:space="preserve"> innovative HIV prevention services (through pharmacies) and mobile clinics; </w:t>
            </w:r>
          </w:p>
          <w:p w14:paraId="2A7464DD" w14:textId="13164126" w:rsidR="00BB3300" w:rsidRPr="00A82FB8" w:rsidRDefault="00A82FB8" w:rsidP="00A82FB8">
            <w:pPr>
              <w:spacing w:after="0" w:line="240" w:lineRule="auto"/>
              <w:jc w:val="both"/>
              <w:rPr>
                <w:rFonts w:cs="Arial"/>
                <w:iCs/>
                <w:color w:val="000000"/>
                <w:sz w:val="20"/>
                <w:szCs w:val="20"/>
              </w:rPr>
            </w:pPr>
            <w:r w:rsidRPr="00A82FB8">
              <w:rPr>
                <w:rFonts w:cs="Arial"/>
                <w:iCs/>
                <w:color w:val="000000"/>
                <w:sz w:val="20"/>
                <w:szCs w:val="20"/>
              </w:rPr>
              <w:t>6</w:t>
            </w:r>
            <w:r w:rsidR="00BB3300" w:rsidRPr="00A82FB8">
              <w:rPr>
                <w:rFonts w:cs="Arial"/>
                <w:iCs/>
                <w:color w:val="000000"/>
                <w:sz w:val="20"/>
                <w:szCs w:val="20"/>
              </w:rPr>
              <w:t xml:space="preserve">) develop and rollout an electronic system, which monitors all HIV prevention and treatment adherence services funded by the GF and the NHIC.   </w:t>
            </w:r>
          </w:p>
          <w:p w14:paraId="57CE03B4" w14:textId="77777777" w:rsidR="00A82FB8" w:rsidRPr="00A82FB8" w:rsidRDefault="00A82FB8" w:rsidP="00A82FB8">
            <w:pPr>
              <w:spacing w:after="0" w:line="240" w:lineRule="auto"/>
              <w:jc w:val="both"/>
              <w:rPr>
                <w:rFonts w:cs="Arial"/>
                <w:iCs/>
                <w:color w:val="000000"/>
                <w:sz w:val="20"/>
                <w:szCs w:val="20"/>
              </w:rPr>
            </w:pPr>
          </w:p>
          <w:p w14:paraId="2A8C532A" w14:textId="4E432A8B" w:rsidR="00BB3300" w:rsidRPr="00A82FB8" w:rsidRDefault="00BB3300" w:rsidP="00A82FB8">
            <w:pPr>
              <w:spacing w:after="0" w:line="240" w:lineRule="auto"/>
              <w:jc w:val="both"/>
              <w:rPr>
                <w:rFonts w:cs="Arial"/>
                <w:iCs/>
                <w:color w:val="000000"/>
                <w:sz w:val="20"/>
                <w:szCs w:val="20"/>
              </w:rPr>
            </w:pPr>
            <w:r w:rsidRPr="00A82FB8">
              <w:rPr>
                <w:rFonts w:cs="Arial"/>
                <w:iCs/>
                <w:color w:val="000000"/>
                <w:sz w:val="20"/>
                <w:szCs w:val="20"/>
              </w:rPr>
              <w:t xml:space="preserve">National investments in health overall, and HIV and TB programs response specifically, have increased on a yearly basis, as planned. Moreover, measuring the actual investments in 2018-2019 of EUR 27.56 million against the co-funding commitment of EUR </w:t>
            </w:r>
            <w:r w:rsidR="00A82FB8" w:rsidRPr="00A82FB8">
              <w:rPr>
                <w:rFonts w:cs="Arial"/>
                <w:iCs/>
                <w:color w:val="000000"/>
                <w:sz w:val="20"/>
                <w:szCs w:val="20"/>
              </w:rPr>
              <w:t>26.46 million</w:t>
            </w:r>
            <w:r w:rsidRPr="00A82FB8">
              <w:rPr>
                <w:rFonts w:cs="Arial"/>
                <w:iCs/>
                <w:color w:val="000000"/>
                <w:sz w:val="20"/>
                <w:szCs w:val="20"/>
              </w:rPr>
              <w:t xml:space="preserve"> committed by the Government of Moldova under the 2018-2020 allocation</w:t>
            </w:r>
            <w:r w:rsidR="00A82FB8" w:rsidRPr="00A82FB8">
              <w:rPr>
                <w:rFonts w:cs="Arial"/>
                <w:iCs/>
                <w:color w:val="000000"/>
                <w:sz w:val="20"/>
                <w:szCs w:val="20"/>
              </w:rPr>
              <w:t>.</w:t>
            </w:r>
            <w:r w:rsidRPr="00A82FB8">
              <w:rPr>
                <w:rFonts w:cs="Arial"/>
                <w:iCs/>
                <w:color w:val="000000"/>
                <w:sz w:val="20"/>
                <w:szCs w:val="20"/>
              </w:rPr>
              <w:t xml:space="preserve"> </w:t>
            </w:r>
            <w:r w:rsidR="00C74839" w:rsidRPr="00A82FB8">
              <w:rPr>
                <w:rFonts w:cs="Arial"/>
                <w:iCs/>
                <w:color w:val="000000"/>
                <w:sz w:val="20"/>
                <w:szCs w:val="20"/>
              </w:rPr>
              <w:t>Thus,</w:t>
            </w:r>
            <w:r w:rsidR="00A82FB8" w:rsidRPr="00A82FB8">
              <w:rPr>
                <w:rFonts w:cs="Arial"/>
                <w:iCs/>
                <w:color w:val="000000"/>
                <w:sz w:val="20"/>
                <w:szCs w:val="20"/>
              </w:rPr>
              <w:t xml:space="preserve"> </w:t>
            </w:r>
            <w:r w:rsidR="00C74839">
              <w:rPr>
                <w:rFonts w:cs="Arial"/>
                <w:iCs/>
                <w:color w:val="000000"/>
                <w:sz w:val="20"/>
                <w:szCs w:val="20"/>
              </w:rPr>
              <w:t>t</w:t>
            </w:r>
            <w:r w:rsidR="00A82FB8" w:rsidRPr="00A82FB8">
              <w:rPr>
                <w:rFonts w:cs="Arial"/>
                <w:iCs/>
                <w:color w:val="000000"/>
                <w:sz w:val="20"/>
                <w:szCs w:val="20"/>
              </w:rPr>
              <w:t xml:space="preserve">he Government of Moldova has honored its previous commitments and is on track to honor it for the 2020, despite challenging context related to Covid-19 pandemic. </w:t>
            </w:r>
            <w:r w:rsidRPr="00A82FB8">
              <w:rPr>
                <w:rFonts w:cs="Arial"/>
                <w:iCs/>
                <w:color w:val="000000"/>
                <w:sz w:val="20"/>
                <w:szCs w:val="20"/>
              </w:rPr>
              <w:t xml:space="preserve"> </w:t>
            </w:r>
          </w:p>
          <w:p w14:paraId="645F37DD" w14:textId="77777777" w:rsidR="00BB3300" w:rsidRPr="00A82FB8" w:rsidRDefault="00BB3300" w:rsidP="00BB3300">
            <w:pPr>
              <w:jc w:val="both"/>
              <w:rPr>
                <w:rFonts w:eastAsia="Times New Roman" w:cs="Arial"/>
                <w:color w:val="000000"/>
                <w:sz w:val="20"/>
                <w:szCs w:val="20"/>
              </w:rPr>
            </w:pPr>
          </w:p>
          <w:tbl>
            <w:tblPr>
              <w:tblStyle w:val="ListTable3-Accent6"/>
              <w:tblW w:w="7980" w:type="dxa"/>
              <w:tblLook w:val="04A0" w:firstRow="1" w:lastRow="0" w:firstColumn="1" w:lastColumn="0" w:noHBand="0" w:noVBand="1"/>
            </w:tblPr>
            <w:tblGrid>
              <w:gridCol w:w="1800"/>
              <w:gridCol w:w="1380"/>
              <w:gridCol w:w="960"/>
              <w:gridCol w:w="960"/>
              <w:gridCol w:w="960"/>
              <w:gridCol w:w="960"/>
              <w:gridCol w:w="960"/>
            </w:tblGrid>
            <w:tr w:rsidR="00BB3300" w:rsidRPr="00A82FB8" w14:paraId="299BA958" w14:textId="77777777" w:rsidTr="00A82FB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800" w:type="dxa"/>
                  <w:vMerge w:val="restart"/>
                  <w:shd w:val="clear" w:color="auto" w:fill="FFC000"/>
                  <w:noWrap/>
                  <w:hideMark/>
                </w:tcPr>
                <w:p w14:paraId="33EF0FAC" w14:textId="77777777" w:rsidR="00BB3300" w:rsidRPr="001636CD" w:rsidRDefault="00BB3300" w:rsidP="00BB3300">
                  <w:pPr>
                    <w:rPr>
                      <w:rFonts w:eastAsia="Times New Roman" w:cs="Arial"/>
                      <w:color w:val="000000"/>
                      <w:sz w:val="20"/>
                      <w:szCs w:val="20"/>
                    </w:rPr>
                  </w:pPr>
                  <w:r w:rsidRPr="001636CD">
                    <w:rPr>
                      <w:rFonts w:eastAsia="Times New Roman" w:cs="Arial"/>
                      <w:color w:val="000000"/>
                      <w:sz w:val="20"/>
                      <w:szCs w:val="20"/>
                    </w:rPr>
                    <w:t>Program</w:t>
                  </w:r>
                </w:p>
              </w:tc>
              <w:tc>
                <w:tcPr>
                  <w:tcW w:w="6180" w:type="dxa"/>
                  <w:gridSpan w:val="6"/>
                  <w:shd w:val="clear" w:color="auto" w:fill="FFC000"/>
                  <w:noWrap/>
                  <w:hideMark/>
                </w:tcPr>
                <w:p w14:paraId="75391305" w14:textId="4C2BEE69" w:rsidR="00BB3300" w:rsidRPr="001636CD" w:rsidRDefault="00BB3300" w:rsidP="00BB3300">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636CD">
                    <w:rPr>
                      <w:rFonts w:eastAsia="Times New Roman" w:cs="Arial"/>
                      <w:color w:val="000000"/>
                      <w:sz w:val="20"/>
                      <w:szCs w:val="20"/>
                    </w:rPr>
                    <w:t>Government co-financing overview (</w:t>
                  </w:r>
                  <w:r w:rsidR="00A82FB8" w:rsidRPr="00A82FB8">
                    <w:rPr>
                      <w:rFonts w:eastAsia="Times New Roman" w:cs="Arial"/>
                      <w:color w:val="000000"/>
                      <w:sz w:val="20"/>
                      <w:szCs w:val="20"/>
                    </w:rPr>
                    <w:t xml:space="preserve">million </w:t>
                  </w:r>
                  <w:r w:rsidRPr="001636CD">
                    <w:rPr>
                      <w:rFonts w:eastAsia="Times New Roman" w:cs="Arial"/>
                      <w:color w:val="000000"/>
                      <w:sz w:val="20"/>
                      <w:szCs w:val="20"/>
                    </w:rPr>
                    <w:t>EUR)</w:t>
                  </w:r>
                </w:p>
              </w:tc>
            </w:tr>
            <w:tr w:rsidR="00BB3300" w:rsidRPr="00A82FB8" w14:paraId="67CD61B2" w14:textId="77777777" w:rsidTr="00A82F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FFC000"/>
                  <w:hideMark/>
                </w:tcPr>
                <w:p w14:paraId="53BC58A1" w14:textId="77777777" w:rsidR="00BB3300" w:rsidRPr="001636CD" w:rsidRDefault="00BB3300" w:rsidP="00BB3300">
                  <w:pPr>
                    <w:rPr>
                      <w:rFonts w:eastAsia="Times New Roman" w:cs="Arial"/>
                      <w:color w:val="000000"/>
                      <w:sz w:val="20"/>
                      <w:szCs w:val="20"/>
                    </w:rPr>
                  </w:pPr>
                </w:p>
              </w:tc>
              <w:tc>
                <w:tcPr>
                  <w:tcW w:w="3300" w:type="dxa"/>
                  <w:gridSpan w:val="3"/>
                  <w:shd w:val="clear" w:color="auto" w:fill="FFC000"/>
                  <w:noWrap/>
                  <w:hideMark/>
                </w:tcPr>
                <w:p w14:paraId="7BA0F326" w14:textId="2391C6CC" w:rsidR="00BB3300" w:rsidRPr="00A82FB8" w:rsidRDefault="00BB3300" w:rsidP="00A82FB8">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rPr>
                  </w:pPr>
                  <w:r w:rsidRPr="00A82FB8">
                    <w:rPr>
                      <w:rFonts w:eastAsia="Times New Roman" w:cs="Arial"/>
                      <w:b/>
                      <w:color w:val="000000"/>
                      <w:sz w:val="20"/>
                      <w:szCs w:val="20"/>
                    </w:rPr>
                    <w:t xml:space="preserve">Estimated </w:t>
                  </w:r>
                </w:p>
              </w:tc>
              <w:tc>
                <w:tcPr>
                  <w:tcW w:w="2880" w:type="dxa"/>
                  <w:gridSpan w:val="3"/>
                  <w:shd w:val="clear" w:color="auto" w:fill="FFC000"/>
                  <w:noWrap/>
                  <w:hideMark/>
                </w:tcPr>
                <w:p w14:paraId="689CF0C3" w14:textId="77777777" w:rsidR="00BB3300" w:rsidRPr="00A82FB8" w:rsidRDefault="00BB3300" w:rsidP="00BB3300">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rPr>
                  </w:pPr>
                  <w:r w:rsidRPr="00A82FB8">
                    <w:rPr>
                      <w:rFonts w:eastAsia="Times New Roman" w:cs="Arial"/>
                      <w:b/>
                      <w:color w:val="000000"/>
                      <w:sz w:val="20"/>
                      <w:szCs w:val="20"/>
                    </w:rPr>
                    <w:t>Actual</w:t>
                  </w:r>
                </w:p>
              </w:tc>
            </w:tr>
            <w:tr w:rsidR="00BB3300" w:rsidRPr="00A82FB8" w14:paraId="0D1E244F" w14:textId="77777777" w:rsidTr="00A82FB8">
              <w:trPr>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D29E957" w14:textId="77777777" w:rsidR="00BB3300" w:rsidRPr="001636CD" w:rsidRDefault="00BB3300" w:rsidP="00BB3300">
                  <w:pPr>
                    <w:rPr>
                      <w:rFonts w:eastAsia="Times New Roman" w:cs="Arial"/>
                      <w:color w:val="000000"/>
                      <w:sz w:val="20"/>
                      <w:szCs w:val="20"/>
                    </w:rPr>
                  </w:pPr>
                  <w:r w:rsidRPr="001636CD">
                    <w:rPr>
                      <w:rFonts w:eastAsia="Times New Roman" w:cs="Arial"/>
                      <w:color w:val="000000"/>
                      <w:sz w:val="20"/>
                      <w:szCs w:val="20"/>
                    </w:rPr>
                    <w:t> </w:t>
                  </w:r>
                </w:p>
              </w:tc>
              <w:tc>
                <w:tcPr>
                  <w:tcW w:w="1380" w:type="dxa"/>
                  <w:noWrap/>
                  <w:hideMark/>
                </w:tcPr>
                <w:p w14:paraId="5BE99C39" w14:textId="77777777" w:rsidR="00BB3300" w:rsidRPr="00A82FB8" w:rsidRDefault="00BB3300" w:rsidP="00BB3300">
                  <w:pPr>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rPr>
                  </w:pPr>
                  <w:r w:rsidRPr="00A82FB8">
                    <w:rPr>
                      <w:rFonts w:eastAsia="Times New Roman" w:cs="Arial"/>
                      <w:b/>
                      <w:color w:val="000000"/>
                      <w:sz w:val="20"/>
                      <w:szCs w:val="20"/>
                    </w:rPr>
                    <w:t>2018</w:t>
                  </w:r>
                </w:p>
              </w:tc>
              <w:tc>
                <w:tcPr>
                  <w:tcW w:w="960" w:type="dxa"/>
                  <w:noWrap/>
                  <w:hideMark/>
                </w:tcPr>
                <w:p w14:paraId="2C1B2CF2" w14:textId="77777777" w:rsidR="00BB3300" w:rsidRPr="00A82FB8" w:rsidRDefault="00BB3300" w:rsidP="00BB3300">
                  <w:pPr>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rPr>
                  </w:pPr>
                  <w:r w:rsidRPr="00A82FB8">
                    <w:rPr>
                      <w:rFonts w:eastAsia="Times New Roman" w:cs="Arial"/>
                      <w:b/>
                      <w:color w:val="000000"/>
                      <w:sz w:val="20"/>
                      <w:szCs w:val="20"/>
                    </w:rPr>
                    <w:t>2019</w:t>
                  </w:r>
                </w:p>
              </w:tc>
              <w:tc>
                <w:tcPr>
                  <w:tcW w:w="960" w:type="dxa"/>
                  <w:noWrap/>
                  <w:hideMark/>
                </w:tcPr>
                <w:p w14:paraId="29980B85" w14:textId="77777777" w:rsidR="00BB3300" w:rsidRPr="00A82FB8" w:rsidRDefault="00BB3300" w:rsidP="00BB3300">
                  <w:pPr>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rPr>
                  </w:pPr>
                  <w:r w:rsidRPr="00A82FB8">
                    <w:rPr>
                      <w:rFonts w:eastAsia="Times New Roman" w:cs="Arial"/>
                      <w:b/>
                      <w:color w:val="000000"/>
                      <w:sz w:val="20"/>
                      <w:szCs w:val="20"/>
                    </w:rPr>
                    <w:t>2020</w:t>
                  </w:r>
                </w:p>
              </w:tc>
              <w:tc>
                <w:tcPr>
                  <w:tcW w:w="960" w:type="dxa"/>
                  <w:noWrap/>
                  <w:hideMark/>
                </w:tcPr>
                <w:p w14:paraId="48FEAB5B" w14:textId="77777777" w:rsidR="00BB3300" w:rsidRPr="00A82FB8" w:rsidRDefault="00BB3300" w:rsidP="00BB3300">
                  <w:pPr>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rPr>
                  </w:pPr>
                  <w:r w:rsidRPr="00A82FB8">
                    <w:rPr>
                      <w:rFonts w:eastAsia="Times New Roman" w:cs="Arial"/>
                      <w:b/>
                      <w:color w:val="000000"/>
                      <w:sz w:val="20"/>
                      <w:szCs w:val="20"/>
                    </w:rPr>
                    <w:t>2018</w:t>
                  </w:r>
                </w:p>
              </w:tc>
              <w:tc>
                <w:tcPr>
                  <w:tcW w:w="960" w:type="dxa"/>
                  <w:noWrap/>
                  <w:hideMark/>
                </w:tcPr>
                <w:p w14:paraId="6D00AB2E" w14:textId="77777777" w:rsidR="00BB3300" w:rsidRPr="00A82FB8" w:rsidRDefault="00BB3300" w:rsidP="00BB3300">
                  <w:pPr>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rPr>
                  </w:pPr>
                  <w:r w:rsidRPr="00A82FB8">
                    <w:rPr>
                      <w:rFonts w:eastAsia="Times New Roman" w:cs="Arial"/>
                      <w:b/>
                      <w:color w:val="000000"/>
                      <w:sz w:val="20"/>
                      <w:szCs w:val="20"/>
                    </w:rPr>
                    <w:t>2019</w:t>
                  </w:r>
                </w:p>
              </w:tc>
              <w:tc>
                <w:tcPr>
                  <w:tcW w:w="960" w:type="dxa"/>
                  <w:noWrap/>
                  <w:hideMark/>
                </w:tcPr>
                <w:p w14:paraId="4DB3FDD8" w14:textId="77777777" w:rsidR="00BB3300" w:rsidRPr="00A82FB8" w:rsidRDefault="00BB3300" w:rsidP="00BB3300">
                  <w:pPr>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rPr>
                  </w:pPr>
                  <w:r w:rsidRPr="00A82FB8">
                    <w:rPr>
                      <w:rFonts w:eastAsia="Times New Roman" w:cs="Arial"/>
                      <w:b/>
                      <w:color w:val="000000"/>
                      <w:sz w:val="20"/>
                      <w:szCs w:val="20"/>
                    </w:rPr>
                    <w:t>2020</w:t>
                  </w:r>
                </w:p>
              </w:tc>
            </w:tr>
            <w:tr w:rsidR="00BB3300" w:rsidRPr="00A82FB8" w14:paraId="06AF361F" w14:textId="77777777" w:rsidTr="00A82F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863A032" w14:textId="77777777" w:rsidR="00BB3300" w:rsidRPr="001636CD" w:rsidRDefault="00BB3300" w:rsidP="00BB3300">
                  <w:pPr>
                    <w:rPr>
                      <w:rFonts w:eastAsia="Times New Roman" w:cs="Arial"/>
                      <w:color w:val="000000"/>
                      <w:sz w:val="20"/>
                      <w:szCs w:val="20"/>
                    </w:rPr>
                  </w:pPr>
                  <w:r w:rsidRPr="001636CD">
                    <w:rPr>
                      <w:rFonts w:eastAsia="Times New Roman" w:cs="Arial"/>
                      <w:color w:val="000000"/>
                      <w:sz w:val="20"/>
                      <w:szCs w:val="20"/>
                    </w:rPr>
                    <w:t>HIV</w:t>
                  </w:r>
                </w:p>
              </w:tc>
              <w:tc>
                <w:tcPr>
                  <w:tcW w:w="1380" w:type="dxa"/>
                  <w:noWrap/>
                  <w:hideMark/>
                </w:tcPr>
                <w:p w14:paraId="01059288" w14:textId="77777777" w:rsidR="00BB3300" w:rsidRPr="001636CD" w:rsidRDefault="00BB3300" w:rsidP="00BB330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636CD">
                    <w:rPr>
                      <w:rFonts w:eastAsia="Times New Roman" w:cs="Arial"/>
                      <w:color w:val="000000"/>
                      <w:sz w:val="20"/>
                      <w:szCs w:val="20"/>
                    </w:rPr>
                    <w:t>3.29</w:t>
                  </w:r>
                </w:p>
              </w:tc>
              <w:tc>
                <w:tcPr>
                  <w:tcW w:w="960" w:type="dxa"/>
                  <w:noWrap/>
                  <w:hideMark/>
                </w:tcPr>
                <w:p w14:paraId="4DD32241" w14:textId="77777777" w:rsidR="00BB3300" w:rsidRPr="001636CD" w:rsidRDefault="00BB3300" w:rsidP="00BB330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636CD">
                    <w:rPr>
                      <w:rFonts w:eastAsia="Times New Roman" w:cs="Arial"/>
                      <w:color w:val="000000"/>
                      <w:sz w:val="20"/>
                      <w:szCs w:val="20"/>
                    </w:rPr>
                    <w:t>4.05</w:t>
                  </w:r>
                </w:p>
              </w:tc>
              <w:tc>
                <w:tcPr>
                  <w:tcW w:w="960" w:type="dxa"/>
                  <w:noWrap/>
                  <w:hideMark/>
                </w:tcPr>
                <w:p w14:paraId="37D5EFF5" w14:textId="77777777" w:rsidR="00BB3300" w:rsidRPr="001636CD" w:rsidRDefault="00BB3300" w:rsidP="00BB330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636CD">
                    <w:rPr>
                      <w:rFonts w:eastAsia="Times New Roman" w:cs="Arial"/>
                      <w:color w:val="000000"/>
                      <w:sz w:val="20"/>
                      <w:szCs w:val="20"/>
                    </w:rPr>
                    <w:t>4.75</w:t>
                  </w:r>
                </w:p>
              </w:tc>
              <w:tc>
                <w:tcPr>
                  <w:tcW w:w="960" w:type="dxa"/>
                  <w:noWrap/>
                  <w:hideMark/>
                </w:tcPr>
                <w:p w14:paraId="25634EDD" w14:textId="77777777" w:rsidR="00BB3300" w:rsidRPr="001636CD" w:rsidRDefault="00BB3300" w:rsidP="00BB330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636CD">
                    <w:rPr>
                      <w:rFonts w:eastAsia="Times New Roman" w:cs="Arial"/>
                      <w:color w:val="000000"/>
                      <w:sz w:val="20"/>
                      <w:szCs w:val="20"/>
                    </w:rPr>
                    <w:t>3.53</w:t>
                  </w:r>
                </w:p>
              </w:tc>
              <w:tc>
                <w:tcPr>
                  <w:tcW w:w="960" w:type="dxa"/>
                  <w:noWrap/>
                  <w:hideMark/>
                </w:tcPr>
                <w:p w14:paraId="6DD54B59" w14:textId="77777777" w:rsidR="00BB3300" w:rsidRPr="001636CD" w:rsidRDefault="00BB3300" w:rsidP="00BB330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636CD">
                    <w:rPr>
                      <w:rFonts w:eastAsia="Times New Roman" w:cs="Arial"/>
                      <w:color w:val="000000"/>
                      <w:sz w:val="20"/>
                      <w:szCs w:val="20"/>
                    </w:rPr>
                    <w:t>4.58</w:t>
                  </w:r>
                </w:p>
              </w:tc>
              <w:tc>
                <w:tcPr>
                  <w:tcW w:w="960" w:type="dxa"/>
                  <w:noWrap/>
                  <w:hideMark/>
                </w:tcPr>
                <w:p w14:paraId="2AB89815" w14:textId="77777777" w:rsidR="00BB3300" w:rsidRPr="001636CD" w:rsidRDefault="00BB3300" w:rsidP="00BB330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636CD">
                    <w:rPr>
                      <w:rFonts w:eastAsia="Times New Roman" w:cs="Arial"/>
                      <w:color w:val="000000"/>
                      <w:sz w:val="20"/>
                      <w:szCs w:val="20"/>
                    </w:rPr>
                    <w:t>4.82</w:t>
                  </w:r>
                </w:p>
              </w:tc>
            </w:tr>
            <w:tr w:rsidR="00BB3300" w:rsidRPr="00A82FB8" w14:paraId="23C7BD7A" w14:textId="77777777" w:rsidTr="00A82FB8">
              <w:trPr>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ABC0A99" w14:textId="77777777" w:rsidR="00BB3300" w:rsidRPr="001636CD" w:rsidRDefault="00BB3300" w:rsidP="00BB3300">
                  <w:pPr>
                    <w:rPr>
                      <w:rFonts w:eastAsia="Times New Roman" w:cs="Arial"/>
                      <w:color w:val="000000"/>
                      <w:sz w:val="20"/>
                      <w:szCs w:val="20"/>
                    </w:rPr>
                  </w:pPr>
                  <w:r w:rsidRPr="001636CD">
                    <w:rPr>
                      <w:rFonts w:eastAsia="Times New Roman" w:cs="Arial"/>
                      <w:color w:val="000000"/>
                      <w:sz w:val="20"/>
                      <w:szCs w:val="20"/>
                    </w:rPr>
                    <w:t xml:space="preserve">Tuberculosis </w:t>
                  </w:r>
                </w:p>
              </w:tc>
              <w:tc>
                <w:tcPr>
                  <w:tcW w:w="1380" w:type="dxa"/>
                  <w:hideMark/>
                </w:tcPr>
                <w:p w14:paraId="6AEF400F" w14:textId="77777777" w:rsidR="00BB3300" w:rsidRPr="001636CD" w:rsidRDefault="00BB3300" w:rsidP="00BB330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636CD">
                    <w:rPr>
                      <w:rFonts w:eastAsia="Times New Roman" w:cs="Arial"/>
                      <w:color w:val="000000"/>
                      <w:sz w:val="20"/>
                      <w:szCs w:val="20"/>
                    </w:rPr>
                    <w:t>10.02</w:t>
                  </w:r>
                </w:p>
              </w:tc>
              <w:tc>
                <w:tcPr>
                  <w:tcW w:w="960" w:type="dxa"/>
                  <w:hideMark/>
                </w:tcPr>
                <w:p w14:paraId="77796D4B" w14:textId="77777777" w:rsidR="00BB3300" w:rsidRPr="001636CD" w:rsidRDefault="00BB3300" w:rsidP="00BB330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636CD">
                    <w:rPr>
                      <w:rFonts w:eastAsia="Times New Roman" w:cs="Arial"/>
                      <w:color w:val="000000"/>
                      <w:sz w:val="20"/>
                      <w:szCs w:val="20"/>
                    </w:rPr>
                    <w:t>10.2</w:t>
                  </w:r>
                </w:p>
              </w:tc>
              <w:tc>
                <w:tcPr>
                  <w:tcW w:w="960" w:type="dxa"/>
                  <w:hideMark/>
                </w:tcPr>
                <w:p w14:paraId="0862BB2E" w14:textId="77777777" w:rsidR="00BB3300" w:rsidRPr="001636CD" w:rsidRDefault="00BB3300" w:rsidP="00BB330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636CD">
                    <w:rPr>
                      <w:rFonts w:eastAsia="Times New Roman" w:cs="Arial"/>
                      <w:color w:val="000000"/>
                      <w:sz w:val="20"/>
                      <w:szCs w:val="20"/>
                    </w:rPr>
                    <w:t>10.34</w:t>
                  </w:r>
                </w:p>
              </w:tc>
              <w:tc>
                <w:tcPr>
                  <w:tcW w:w="960" w:type="dxa"/>
                  <w:hideMark/>
                </w:tcPr>
                <w:p w14:paraId="4EB37A99" w14:textId="77777777" w:rsidR="00BB3300" w:rsidRPr="001636CD" w:rsidRDefault="00BB3300" w:rsidP="00BB330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636CD">
                    <w:rPr>
                      <w:rFonts w:eastAsia="Times New Roman" w:cs="Arial"/>
                      <w:color w:val="000000"/>
                      <w:sz w:val="20"/>
                      <w:szCs w:val="20"/>
                    </w:rPr>
                    <w:t>9.37</w:t>
                  </w:r>
                </w:p>
              </w:tc>
              <w:tc>
                <w:tcPr>
                  <w:tcW w:w="960" w:type="dxa"/>
                  <w:hideMark/>
                </w:tcPr>
                <w:p w14:paraId="567323D6" w14:textId="77777777" w:rsidR="00BB3300" w:rsidRPr="001636CD" w:rsidRDefault="00BB3300" w:rsidP="00BB330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636CD">
                    <w:rPr>
                      <w:rFonts w:eastAsia="Times New Roman" w:cs="Arial"/>
                      <w:color w:val="000000"/>
                      <w:sz w:val="20"/>
                      <w:szCs w:val="20"/>
                    </w:rPr>
                    <w:t>8.98</w:t>
                  </w:r>
                </w:p>
              </w:tc>
              <w:tc>
                <w:tcPr>
                  <w:tcW w:w="960" w:type="dxa"/>
                  <w:hideMark/>
                </w:tcPr>
                <w:p w14:paraId="1A32A3EF" w14:textId="77777777" w:rsidR="00BB3300" w:rsidRPr="001636CD" w:rsidRDefault="00BB3300" w:rsidP="00BB330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636CD">
                    <w:rPr>
                      <w:rFonts w:eastAsia="Times New Roman" w:cs="Arial"/>
                      <w:color w:val="000000"/>
                      <w:sz w:val="20"/>
                      <w:szCs w:val="20"/>
                    </w:rPr>
                    <w:t>10.19</w:t>
                  </w:r>
                </w:p>
              </w:tc>
            </w:tr>
            <w:tr w:rsidR="00BB3300" w:rsidRPr="00A82FB8" w14:paraId="27FB8FFD" w14:textId="77777777" w:rsidTr="00A82F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0BCA6E5" w14:textId="77777777" w:rsidR="00BB3300" w:rsidRPr="001636CD" w:rsidRDefault="00BB3300" w:rsidP="00BB3300">
                  <w:pPr>
                    <w:rPr>
                      <w:rFonts w:eastAsia="Times New Roman" w:cs="Arial"/>
                      <w:color w:val="000000"/>
                      <w:sz w:val="20"/>
                      <w:szCs w:val="20"/>
                    </w:rPr>
                  </w:pPr>
                  <w:r w:rsidRPr="001636CD">
                    <w:rPr>
                      <w:rFonts w:eastAsia="Times New Roman" w:cs="Arial"/>
                      <w:color w:val="000000"/>
                      <w:sz w:val="20"/>
                      <w:szCs w:val="20"/>
                    </w:rPr>
                    <w:t xml:space="preserve">Total </w:t>
                  </w:r>
                </w:p>
              </w:tc>
              <w:tc>
                <w:tcPr>
                  <w:tcW w:w="1380" w:type="dxa"/>
                  <w:hideMark/>
                </w:tcPr>
                <w:p w14:paraId="205B742A" w14:textId="77777777" w:rsidR="00BB3300" w:rsidRPr="00A82FB8" w:rsidRDefault="00BB3300" w:rsidP="00BB3300">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rPr>
                  </w:pPr>
                  <w:r w:rsidRPr="00A82FB8">
                    <w:rPr>
                      <w:rFonts w:eastAsia="Times New Roman" w:cs="Arial"/>
                      <w:b/>
                      <w:color w:val="000000"/>
                      <w:sz w:val="20"/>
                      <w:szCs w:val="20"/>
                    </w:rPr>
                    <w:t>13.31</w:t>
                  </w:r>
                </w:p>
              </w:tc>
              <w:tc>
                <w:tcPr>
                  <w:tcW w:w="960" w:type="dxa"/>
                  <w:hideMark/>
                </w:tcPr>
                <w:p w14:paraId="6F8421FB" w14:textId="77777777" w:rsidR="00BB3300" w:rsidRPr="00A82FB8" w:rsidRDefault="00BB3300" w:rsidP="00BB3300">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rPr>
                  </w:pPr>
                  <w:r w:rsidRPr="00A82FB8">
                    <w:rPr>
                      <w:rFonts w:eastAsia="Times New Roman" w:cs="Arial"/>
                      <w:b/>
                      <w:color w:val="000000"/>
                      <w:sz w:val="20"/>
                      <w:szCs w:val="20"/>
                    </w:rPr>
                    <w:t>14.25</w:t>
                  </w:r>
                </w:p>
              </w:tc>
              <w:tc>
                <w:tcPr>
                  <w:tcW w:w="960" w:type="dxa"/>
                  <w:hideMark/>
                </w:tcPr>
                <w:p w14:paraId="3B189943" w14:textId="77777777" w:rsidR="00BB3300" w:rsidRPr="00A82FB8" w:rsidRDefault="00BB3300" w:rsidP="00BB3300">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rPr>
                  </w:pPr>
                  <w:r w:rsidRPr="00A82FB8">
                    <w:rPr>
                      <w:rFonts w:eastAsia="Times New Roman" w:cs="Arial"/>
                      <w:b/>
                      <w:color w:val="000000"/>
                      <w:sz w:val="20"/>
                      <w:szCs w:val="20"/>
                    </w:rPr>
                    <w:t>15.09</w:t>
                  </w:r>
                </w:p>
              </w:tc>
              <w:tc>
                <w:tcPr>
                  <w:tcW w:w="960" w:type="dxa"/>
                  <w:noWrap/>
                  <w:hideMark/>
                </w:tcPr>
                <w:p w14:paraId="39BC7B94" w14:textId="77777777" w:rsidR="00BB3300" w:rsidRPr="00A82FB8" w:rsidRDefault="00BB3300" w:rsidP="00BB3300">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rPr>
                  </w:pPr>
                  <w:r w:rsidRPr="00A82FB8">
                    <w:rPr>
                      <w:rFonts w:eastAsia="Times New Roman" w:cs="Arial"/>
                      <w:b/>
                      <w:color w:val="000000"/>
                      <w:sz w:val="20"/>
                      <w:szCs w:val="20"/>
                    </w:rPr>
                    <w:t>12.9</w:t>
                  </w:r>
                </w:p>
              </w:tc>
              <w:tc>
                <w:tcPr>
                  <w:tcW w:w="960" w:type="dxa"/>
                  <w:noWrap/>
                  <w:hideMark/>
                </w:tcPr>
                <w:p w14:paraId="0EDDA73F" w14:textId="77777777" w:rsidR="00BB3300" w:rsidRPr="00A82FB8" w:rsidRDefault="00BB3300" w:rsidP="00BB3300">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rPr>
                  </w:pPr>
                  <w:r w:rsidRPr="00A82FB8">
                    <w:rPr>
                      <w:rFonts w:eastAsia="Times New Roman" w:cs="Arial"/>
                      <w:b/>
                      <w:color w:val="000000"/>
                      <w:sz w:val="20"/>
                      <w:szCs w:val="20"/>
                    </w:rPr>
                    <w:t>13.56</w:t>
                  </w:r>
                </w:p>
              </w:tc>
              <w:tc>
                <w:tcPr>
                  <w:tcW w:w="960" w:type="dxa"/>
                  <w:noWrap/>
                  <w:hideMark/>
                </w:tcPr>
                <w:p w14:paraId="6865E47D" w14:textId="77777777" w:rsidR="00BB3300" w:rsidRPr="00A82FB8" w:rsidRDefault="00BB3300" w:rsidP="00BB3300">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rPr>
                  </w:pPr>
                  <w:r w:rsidRPr="00A82FB8">
                    <w:rPr>
                      <w:rFonts w:eastAsia="Times New Roman" w:cs="Arial"/>
                      <w:b/>
                      <w:color w:val="000000"/>
                      <w:sz w:val="20"/>
                      <w:szCs w:val="20"/>
                    </w:rPr>
                    <w:t>15.02</w:t>
                  </w:r>
                </w:p>
              </w:tc>
            </w:tr>
          </w:tbl>
          <w:p w14:paraId="78CFAB0F" w14:textId="77777777" w:rsidR="00BB3300" w:rsidRPr="00A82FB8" w:rsidRDefault="00BB3300" w:rsidP="00BB3300">
            <w:pPr>
              <w:jc w:val="both"/>
              <w:rPr>
                <w:rFonts w:eastAsia="Times New Roman" w:cs="Arial"/>
                <w:color w:val="000000"/>
                <w:sz w:val="20"/>
                <w:szCs w:val="20"/>
              </w:rPr>
            </w:pPr>
            <w:r w:rsidRPr="00A82FB8">
              <w:rPr>
                <w:rFonts w:eastAsia="Times New Roman" w:cs="Arial"/>
                <w:color w:val="000000"/>
                <w:sz w:val="20"/>
                <w:szCs w:val="20"/>
              </w:rPr>
              <w:t xml:space="preserve">Note: the budget for 2020 is the approved amount. In 2021 the actual will be reported </w:t>
            </w:r>
          </w:p>
          <w:p w14:paraId="712E42D4" w14:textId="77777777" w:rsidR="00BB3300" w:rsidRPr="00A82FB8" w:rsidRDefault="00BB3300" w:rsidP="00A82FB8">
            <w:pPr>
              <w:spacing w:after="0" w:line="240" w:lineRule="auto"/>
              <w:jc w:val="both"/>
              <w:rPr>
                <w:rFonts w:cs="Arial"/>
                <w:iCs/>
                <w:color w:val="000000"/>
                <w:sz w:val="20"/>
                <w:szCs w:val="20"/>
              </w:rPr>
            </w:pPr>
          </w:p>
          <w:p w14:paraId="16C6AD76" w14:textId="77777777" w:rsidR="00BB3300" w:rsidRPr="00A82FB8" w:rsidRDefault="00BB3300" w:rsidP="00A82FB8">
            <w:pPr>
              <w:spacing w:after="0" w:line="240" w:lineRule="auto"/>
              <w:jc w:val="both"/>
              <w:rPr>
                <w:rFonts w:cs="Arial"/>
                <w:iCs/>
                <w:color w:val="000000"/>
                <w:sz w:val="20"/>
                <w:szCs w:val="20"/>
              </w:rPr>
            </w:pPr>
            <w:r w:rsidRPr="00A82FB8">
              <w:rPr>
                <w:rFonts w:cs="Arial"/>
                <w:iCs/>
                <w:color w:val="000000"/>
                <w:sz w:val="20"/>
                <w:szCs w:val="20"/>
              </w:rPr>
              <w:t xml:space="preserve">Our investments in the two diseases in the period 2018-2020 have been focused on: </w:t>
            </w:r>
          </w:p>
          <w:p w14:paraId="5EF957D0" w14:textId="77777777" w:rsidR="00BB3300" w:rsidRPr="00A82FB8" w:rsidRDefault="00BB3300" w:rsidP="00A82FB8">
            <w:pPr>
              <w:pStyle w:val="ListParagraph"/>
              <w:numPr>
                <w:ilvl w:val="0"/>
                <w:numId w:val="82"/>
              </w:numPr>
              <w:spacing w:after="0" w:line="240" w:lineRule="auto"/>
              <w:jc w:val="both"/>
              <w:rPr>
                <w:rFonts w:cs="Arial"/>
                <w:iCs/>
                <w:color w:val="000000"/>
                <w:sz w:val="20"/>
                <w:szCs w:val="20"/>
              </w:rPr>
            </w:pPr>
            <w:r w:rsidRPr="00A82FB8">
              <w:rPr>
                <w:rFonts w:cs="Arial"/>
                <w:iCs/>
                <w:color w:val="000000"/>
                <w:sz w:val="20"/>
                <w:szCs w:val="20"/>
              </w:rPr>
              <w:t>Procurement of all first-line antiretroviral drugs and first-line anti-TB drugs;</w:t>
            </w:r>
          </w:p>
          <w:p w14:paraId="1EAABF80" w14:textId="77777777" w:rsidR="00BB3300" w:rsidRPr="00A82FB8" w:rsidRDefault="00BB3300" w:rsidP="00A82FB8">
            <w:pPr>
              <w:pStyle w:val="ListParagraph"/>
              <w:numPr>
                <w:ilvl w:val="0"/>
                <w:numId w:val="82"/>
              </w:numPr>
              <w:spacing w:after="0" w:line="240" w:lineRule="auto"/>
              <w:jc w:val="both"/>
              <w:rPr>
                <w:rFonts w:cs="Arial"/>
                <w:iCs/>
                <w:color w:val="000000"/>
                <w:sz w:val="20"/>
                <w:szCs w:val="20"/>
              </w:rPr>
            </w:pPr>
            <w:r w:rsidRPr="00A82FB8">
              <w:rPr>
                <w:rFonts w:cs="Arial"/>
                <w:iCs/>
                <w:color w:val="000000"/>
                <w:sz w:val="20"/>
                <w:szCs w:val="20"/>
              </w:rPr>
              <w:t>Purchase of second-line medicines and lab tests for monitoring ARV treatment (2018 - 50%; 2019 - 60%; 2020 – 70%);</w:t>
            </w:r>
          </w:p>
          <w:p w14:paraId="17814B6C" w14:textId="77777777" w:rsidR="00BB3300" w:rsidRPr="00A82FB8" w:rsidRDefault="00BB3300" w:rsidP="00A82FB8">
            <w:pPr>
              <w:pStyle w:val="ListParagraph"/>
              <w:numPr>
                <w:ilvl w:val="0"/>
                <w:numId w:val="82"/>
              </w:numPr>
              <w:spacing w:after="0" w:line="240" w:lineRule="auto"/>
              <w:jc w:val="both"/>
              <w:rPr>
                <w:rFonts w:cs="Arial"/>
                <w:iCs/>
                <w:color w:val="000000"/>
                <w:sz w:val="20"/>
                <w:szCs w:val="20"/>
              </w:rPr>
            </w:pPr>
            <w:r w:rsidRPr="00A82FB8">
              <w:rPr>
                <w:rFonts w:cs="Arial"/>
                <w:iCs/>
                <w:color w:val="000000"/>
                <w:sz w:val="20"/>
                <w:szCs w:val="20"/>
              </w:rPr>
              <w:t xml:space="preserve">Purchase pf the first-line ARV medicines for the Eastern region, of 30% in 2018, 60% in 2019, and 100% in 2020. </w:t>
            </w:r>
          </w:p>
          <w:p w14:paraId="5637315E" w14:textId="77777777" w:rsidR="00BB3300" w:rsidRPr="00A82FB8" w:rsidRDefault="00BB3300" w:rsidP="00A82FB8">
            <w:pPr>
              <w:pStyle w:val="ListParagraph"/>
              <w:numPr>
                <w:ilvl w:val="0"/>
                <w:numId w:val="82"/>
              </w:numPr>
              <w:spacing w:after="0" w:line="240" w:lineRule="auto"/>
              <w:jc w:val="both"/>
              <w:rPr>
                <w:rFonts w:cs="Arial"/>
                <w:iCs/>
                <w:color w:val="000000"/>
                <w:sz w:val="20"/>
                <w:szCs w:val="20"/>
              </w:rPr>
            </w:pPr>
            <w:r w:rsidRPr="00A82FB8">
              <w:rPr>
                <w:rFonts w:cs="Arial"/>
                <w:iCs/>
                <w:color w:val="000000"/>
                <w:sz w:val="20"/>
                <w:szCs w:val="20"/>
              </w:rPr>
              <w:t>Purchase of second-line anti-TB medication is also increasing (2018 – 46%; 2019 - 50%; 2020 - 63%).</w:t>
            </w:r>
          </w:p>
          <w:p w14:paraId="7962DC95" w14:textId="50144263" w:rsidR="00253CE0" w:rsidRPr="00C71542" w:rsidRDefault="00BB3300" w:rsidP="00A82FB8">
            <w:pPr>
              <w:pStyle w:val="ListParagraph"/>
              <w:numPr>
                <w:ilvl w:val="0"/>
                <w:numId w:val="82"/>
              </w:numPr>
              <w:spacing w:after="0" w:line="240" w:lineRule="auto"/>
              <w:jc w:val="both"/>
              <w:rPr>
                <w:rFonts w:cs="Arial"/>
                <w:sz w:val="20"/>
                <w:szCs w:val="20"/>
              </w:rPr>
            </w:pPr>
            <w:r w:rsidRPr="00A82FB8">
              <w:rPr>
                <w:rFonts w:cs="Arial"/>
                <w:iCs/>
                <w:color w:val="000000"/>
                <w:sz w:val="20"/>
                <w:szCs w:val="20"/>
              </w:rPr>
              <w:t>Social contracting for Provision of HIV preventive services In 2017 and 2018 as part of sustainability and transition, the National Health Insurance Company allocated equivalent of 100,000 and 77,000 euros to contract two HIV prevention grants per year, with a cumulative coverage of 1,148 PWID, 263 SW and 425 MSM</w:t>
            </w:r>
            <w:r w:rsidR="00A82FB8" w:rsidRPr="00A82FB8">
              <w:rPr>
                <w:rFonts w:cs="Arial"/>
                <w:iCs/>
                <w:color w:val="000000"/>
                <w:sz w:val="20"/>
                <w:szCs w:val="20"/>
              </w:rPr>
              <w:t xml:space="preserve"> (ref </w:t>
            </w:r>
            <w:r w:rsidRPr="00A82FB8">
              <w:footnoteReference w:id="69"/>
            </w:r>
            <w:r w:rsidR="00A82FB8" w:rsidRPr="00A82FB8">
              <w:rPr>
                <w:rFonts w:cs="Arial"/>
                <w:iCs/>
                <w:color w:val="000000"/>
                <w:sz w:val="20"/>
                <w:szCs w:val="20"/>
              </w:rPr>
              <w:t>)</w:t>
            </w:r>
            <w:r w:rsidR="00C71542">
              <w:rPr>
                <w:rFonts w:cs="Arial"/>
                <w:iCs/>
                <w:color w:val="000000"/>
                <w:sz w:val="20"/>
                <w:szCs w:val="20"/>
              </w:rPr>
              <w:t xml:space="preserve">. </w:t>
            </w:r>
          </w:p>
          <w:p w14:paraId="34439DD1" w14:textId="77777777" w:rsidR="00C71542" w:rsidRPr="00C71542" w:rsidRDefault="00C71542" w:rsidP="00CA750B">
            <w:pPr>
              <w:pStyle w:val="ListParagraph"/>
              <w:spacing w:after="0" w:line="240" w:lineRule="auto"/>
              <w:jc w:val="both"/>
              <w:rPr>
                <w:rFonts w:cs="Arial"/>
                <w:sz w:val="20"/>
                <w:szCs w:val="20"/>
              </w:rPr>
            </w:pPr>
          </w:p>
          <w:p w14:paraId="09D83427" w14:textId="015F9940" w:rsidR="00C71542" w:rsidRPr="007F53E8" w:rsidRDefault="00C71542" w:rsidP="00C71542">
            <w:pPr>
              <w:jc w:val="both"/>
              <w:rPr>
                <w:rFonts w:eastAsia="Times New Roman" w:cs="Arial"/>
              </w:rPr>
            </w:pPr>
            <w:r w:rsidRPr="007F53E8">
              <w:rPr>
                <w:rFonts w:eastAsia="Times New Roman" w:cs="Arial"/>
              </w:rPr>
              <w:t>Like in previous allocations, Moldova and the GF can make use of several instruments to report and monitor the country co-financing commitments. In this respect, we are providing the Global Fund the following reports that are already public or are scheduled to be duly shared with the donor</w:t>
            </w:r>
            <w:r w:rsidR="00882DA1" w:rsidRPr="007F53E8">
              <w:rPr>
                <w:rFonts w:eastAsia="Times New Roman" w:cs="Arial"/>
              </w:rPr>
              <w:t xml:space="preserve">. They </w:t>
            </w:r>
            <w:r w:rsidRPr="007F53E8">
              <w:rPr>
                <w:rFonts w:eastAsia="Times New Roman" w:cs="Arial"/>
              </w:rPr>
              <w:t xml:space="preserve">provide verifiable and reliable documentation and evidence on disbursement of domestic funds and or implementation of agreed upon activities:  </w:t>
            </w:r>
          </w:p>
          <w:p w14:paraId="4655695A" w14:textId="77777777" w:rsidR="00C71542" w:rsidRPr="007F53E8" w:rsidRDefault="00C71542" w:rsidP="00C71542">
            <w:pPr>
              <w:pStyle w:val="ListParagraph"/>
              <w:numPr>
                <w:ilvl w:val="0"/>
                <w:numId w:val="85"/>
              </w:numPr>
              <w:jc w:val="both"/>
              <w:rPr>
                <w:rFonts w:eastAsia="Times New Roman" w:cs="Arial"/>
              </w:rPr>
            </w:pPr>
            <w:r w:rsidRPr="007F53E8">
              <w:rPr>
                <w:rFonts w:eastAsia="Times New Roman" w:cs="Arial"/>
              </w:rPr>
              <w:t>The 2018 Country Report on Co-funding Commitments, assumed by the MoHLSP and submitted to the GF by the CCM in October 2019.</w:t>
            </w:r>
          </w:p>
          <w:p w14:paraId="55B774FA" w14:textId="77777777" w:rsidR="00C71542" w:rsidRPr="007F53E8" w:rsidRDefault="00C71542" w:rsidP="00C71542">
            <w:pPr>
              <w:pStyle w:val="ListParagraph"/>
              <w:numPr>
                <w:ilvl w:val="0"/>
                <w:numId w:val="85"/>
              </w:numPr>
              <w:jc w:val="both"/>
              <w:rPr>
                <w:rFonts w:eastAsia="Times New Roman" w:cs="Arial"/>
              </w:rPr>
            </w:pPr>
            <w:r w:rsidRPr="007F53E8">
              <w:rPr>
                <w:rFonts w:eastAsia="Times New Roman" w:cs="Arial"/>
              </w:rPr>
              <w:t>The 2019 and 2020 Country Reports on Co-funding Commitments shall be submitted for GF consideration in October 2020 and, respectively, in October 2021.</w:t>
            </w:r>
          </w:p>
          <w:p w14:paraId="7A0F83B7" w14:textId="77777777" w:rsidR="00C71542" w:rsidRPr="007F53E8" w:rsidRDefault="00C71542" w:rsidP="00C71542">
            <w:pPr>
              <w:pStyle w:val="ListParagraph"/>
              <w:numPr>
                <w:ilvl w:val="0"/>
                <w:numId w:val="85"/>
              </w:numPr>
              <w:jc w:val="both"/>
              <w:rPr>
                <w:rFonts w:eastAsia="Times New Roman" w:cs="Arial"/>
              </w:rPr>
            </w:pPr>
            <w:r w:rsidRPr="007F53E8">
              <w:rPr>
                <w:rFonts w:eastAsia="Times New Roman" w:cs="Arial"/>
              </w:rPr>
              <w:t>The Moldova GAM Report for 2018, 2019.</w:t>
            </w:r>
          </w:p>
          <w:p w14:paraId="789E483C" w14:textId="0017999D" w:rsidR="00C71542" w:rsidRPr="00C71542" w:rsidRDefault="00C71542" w:rsidP="00C71542">
            <w:pPr>
              <w:pStyle w:val="ListParagraph"/>
              <w:numPr>
                <w:ilvl w:val="0"/>
                <w:numId w:val="85"/>
              </w:numPr>
              <w:jc w:val="both"/>
              <w:rPr>
                <w:rFonts w:eastAsia="Times New Roman" w:cs="Arial"/>
                <w:color w:val="FF0000"/>
              </w:rPr>
            </w:pPr>
            <w:r w:rsidRPr="007F53E8">
              <w:rPr>
                <w:rFonts w:eastAsia="Times New Roman" w:cs="Arial"/>
              </w:rPr>
              <w:t>For the TB response, the 2021-2023 Funding Request incorporates the development of an operational tool to track public expenditures in TB.</w:t>
            </w:r>
          </w:p>
        </w:tc>
      </w:tr>
    </w:tbl>
    <w:p w14:paraId="72E099AF" w14:textId="77777777" w:rsidR="00824D66" w:rsidRPr="00824D66" w:rsidRDefault="00824D66" w:rsidP="00824D66">
      <w:pPr>
        <w:pStyle w:val="ListParagraph"/>
        <w:spacing w:before="120" w:after="0" w:line="240" w:lineRule="auto"/>
        <w:ind w:left="360"/>
        <w:jc w:val="both"/>
        <w:rPr>
          <w:rFonts w:asciiTheme="majorHAnsi" w:eastAsia="SimSun" w:hAnsiTheme="majorHAnsi" w:cstheme="majorHAnsi"/>
          <w:lang w:eastAsia="zh-CN"/>
        </w:rPr>
      </w:pPr>
    </w:p>
    <w:p w14:paraId="29B5683E" w14:textId="5AAEAB01" w:rsidR="00485066" w:rsidRPr="00971DBD" w:rsidRDefault="00485066" w:rsidP="00F42E40">
      <w:pPr>
        <w:pStyle w:val="ListParagraph"/>
        <w:numPr>
          <w:ilvl w:val="0"/>
          <w:numId w:val="19"/>
        </w:numPr>
        <w:spacing w:before="120" w:after="0" w:line="240" w:lineRule="auto"/>
        <w:ind w:left="360"/>
        <w:jc w:val="both"/>
        <w:rPr>
          <w:rFonts w:asciiTheme="majorHAnsi" w:eastAsia="SimSun" w:hAnsiTheme="majorHAnsi" w:cstheme="majorHAnsi"/>
          <w:lang w:eastAsia="zh-CN"/>
        </w:rPr>
      </w:pPr>
      <w:r w:rsidRPr="008C21CF">
        <w:rPr>
          <w:rFonts w:asciiTheme="majorHAnsi" w:eastAsia="Times New Roman" w:hAnsiTheme="majorHAnsi" w:cstheme="majorHAnsi"/>
        </w:rPr>
        <w:t xml:space="preserve">Do </w:t>
      </w:r>
      <w:r w:rsidRPr="0096146C">
        <w:rPr>
          <w:rFonts w:asciiTheme="majorHAnsi" w:eastAsia="Times New Roman" w:hAnsiTheme="majorHAnsi" w:cstheme="majorHAnsi"/>
          <w:b/>
        </w:rPr>
        <w:t xml:space="preserve">co-financing commitments </w:t>
      </w:r>
      <w:r w:rsidRPr="008C21CF">
        <w:rPr>
          <w:rFonts w:asciiTheme="majorHAnsi" w:eastAsia="Times New Roman" w:hAnsiTheme="majorHAnsi" w:cstheme="majorHAnsi"/>
        </w:rPr>
        <w:t xml:space="preserve">for the </w:t>
      </w:r>
      <w:r w:rsidR="00A9213B" w:rsidRPr="0096146C">
        <w:rPr>
          <w:rFonts w:asciiTheme="majorHAnsi" w:eastAsia="Times New Roman" w:hAnsiTheme="majorHAnsi" w:cstheme="majorHAnsi"/>
          <w:b/>
        </w:rPr>
        <w:t>next</w:t>
      </w:r>
      <w:r w:rsidRPr="008C21CF">
        <w:rPr>
          <w:rFonts w:asciiTheme="majorHAnsi" w:eastAsia="Times New Roman" w:hAnsiTheme="majorHAnsi" w:cstheme="majorHAnsi"/>
        </w:rPr>
        <w:t xml:space="preserve"> allocation period meet minimum requirements to fully access the co-financing incentive? </w:t>
      </w:r>
    </w:p>
    <w:p w14:paraId="79E3371A" w14:textId="77777777" w:rsidR="00971DBD" w:rsidRPr="00B74DAA" w:rsidRDefault="00971DBD" w:rsidP="00971DBD">
      <w:pPr>
        <w:pStyle w:val="ListParagraph"/>
        <w:spacing w:before="120" w:after="0" w:line="240" w:lineRule="auto"/>
        <w:ind w:left="360"/>
        <w:jc w:val="both"/>
        <w:rPr>
          <w:rFonts w:asciiTheme="majorHAnsi" w:eastAsia="SimSun" w:hAnsiTheme="majorHAnsi" w:cstheme="majorHAnsi"/>
          <w:lang w:eastAsia="zh-CN"/>
        </w:rPr>
      </w:pPr>
    </w:p>
    <w:p w14:paraId="2F6CCEEB" w14:textId="3043AA08" w:rsidR="00485066" w:rsidRPr="008C21CF" w:rsidRDefault="00C71542" w:rsidP="00B74DAA">
      <w:pPr>
        <w:pStyle w:val="ListParagraph"/>
        <w:spacing w:before="120" w:after="0" w:line="240" w:lineRule="auto"/>
        <w:ind w:left="360" w:firstLine="360"/>
        <w:jc w:val="both"/>
        <w:rPr>
          <w:rFonts w:asciiTheme="majorHAnsi" w:hAnsiTheme="majorHAnsi" w:cstheme="majorHAnsi"/>
          <w:bCs/>
          <w:iCs/>
        </w:rPr>
      </w:pPr>
      <w:sdt>
        <w:sdtPr>
          <w:rPr>
            <w:rFonts w:asciiTheme="majorHAnsi" w:hAnsiTheme="majorHAnsi" w:cstheme="majorHAnsi"/>
            <w:bCs/>
            <w:iCs/>
          </w:rPr>
          <w:id w:val="-1936279169"/>
          <w14:checkbox>
            <w14:checked w14:val="1"/>
            <w14:checkedState w14:val="2612" w14:font="MS Gothic"/>
            <w14:uncheckedState w14:val="2610" w14:font="MS Gothic"/>
          </w14:checkbox>
        </w:sdtPr>
        <w:sdtContent>
          <w:r w:rsidR="00226000">
            <w:rPr>
              <w:rFonts w:ascii="MS Gothic" w:eastAsia="MS Gothic" w:hAnsi="MS Gothic" w:cstheme="majorHAnsi" w:hint="eastAsia"/>
              <w:bCs/>
              <w:iCs/>
            </w:rPr>
            <w:t>☒</w:t>
          </w:r>
        </w:sdtContent>
      </w:sdt>
      <w:r w:rsidR="00485066" w:rsidRPr="008C21CF">
        <w:rPr>
          <w:rFonts w:asciiTheme="majorHAnsi" w:hAnsiTheme="majorHAnsi" w:cstheme="majorHAnsi"/>
          <w:bCs/>
          <w:iCs/>
        </w:rPr>
        <w:t xml:space="preserve"> Yes         </w:t>
      </w:r>
      <w:sdt>
        <w:sdtPr>
          <w:rPr>
            <w:rFonts w:asciiTheme="majorHAnsi" w:hAnsiTheme="majorHAnsi" w:cstheme="majorHAnsi"/>
            <w:bCs/>
            <w:iCs/>
          </w:rPr>
          <w:id w:val="-1870989213"/>
          <w14:checkbox>
            <w14:checked w14:val="0"/>
            <w14:checkedState w14:val="2612" w14:font="MS Gothic"/>
            <w14:uncheckedState w14:val="2610" w14:font="MS Gothic"/>
          </w14:checkbox>
        </w:sdtPr>
        <w:sdtContent>
          <w:r w:rsidR="00485066" w:rsidRPr="001D57CE">
            <w:rPr>
              <w:rFonts w:ascii="Segoe UI Symbol" w:hAnsi="Segoe UI Symbol" w:cs="Segoe UI Symbol"/>
              <w:bCs/>
              <w:iCs/>
            </w:rPr>
            <w:t>☐</w:t>
          </w:r>
        </w:sdtContent>
      </w:sdt>
      <w:r w:rsidR="00485066" w:rsidRPr="008C21CF">
        <w:rPr>
          <w:rFonts w:asciiTheme="majorHAnsi" w:hAnsiTheme="majorHAnsi" w:cstheme="majorHAnsi"/>
          <w:bCs/>
          <w:iCs/>
        </w:rPr>
        <w:t xml:space="preserve"> No</w:t>
      </w:r>
    </w:p>
    <w:p w14:paraId="7C4AD047" w14:textId="77777777" w:rsidR="00485066" w:rsidRPr="008C21CF" w:rsidRDefault="00485066" w:rsidP="008C21CF">
      <w:pPr>
        <w:spacing w:after="0"/>
        <w:ind w:hanging="360"/>
        <w:rPr>
          <w:rFonts w:asciiTheme="majorHAnsi" w:hAnsiTheme="majorHAnsi" w:cstheme="majorHAnsi"/>
          <w:bCs/>
          <w:iCs/>
        </w:rPr>
      </w:pPr>
    </w:p>
    <w:p w14:paraId="5D253BDC" w14:textId="0C958A16" w:rsidR="00485066" w:rsidRDefault="00485066" w:rsidP="00971DBD">
      <w:pPr>
        <w:spacing w:after="0"/>
        <w:ind w:left="270"/>
        <w:jc w:val="both"/>
        <w:rPr>
          <w:rFonts w:asciiTheme="majorHAnsi" w:hAnsiTheme="majorHAnsi" w:cstheme="majorHAnsi"/>
        </w:rPr>
      </w:pPr>
      <w:r w:rsidRPr="008C21CF">
        <w:rPr>
          <w:rFonts w:asciiTheme="majorHAnsi" w:hAnsiTheme="majorHAnsi" w:cstheme="majorHAnsi"/>
        </w:rPr>
        <w:t xml:space="preserve">If details on commitments are available, attach supporting documentation demonstrating </w:t>
      </w:r>
      <w:r w:rsidR="00572198" w:rsidRPr="008C21CF">
        <w:rPr>
          <w:rFonts w:asciiTheme="majorHAnsi" w:hAnsiTheme="majorHAnsi" w:cstheme="majorHAnsi"/>
        </w:rPr>
        <w:t>the</w:t>
      </w:r>
      <w:r w:rsidR="00D74BD8">
        <w:rPr>
          <w:rFonts w:asciiTheme="majorHAnsi" w:hAnsiTheme="majorHAnsi" w:cstheme="majorHAnsi"/>
        </w:rPr>
        <w:t xml:space="preserve"> extent to which co-financing commitments have been made</w:t>
      </w:r>
      <w:r w:rsidRPr="008C21CF">
        <w:rPr>
          <w:rFonts w:asciiTheme="majorHAnsi" w:hAnsiTheme="majorHAnsi" w:cstheme="majorHAnsi"/>
        </w:rPr>
        <w:t xml:space="preserve">. </w:t>
      </w:r>
    </w:p>
    <w:p w14:paraId="5CB92519" w14:textId="77777777" w:rsidR="00AA45C3" w:rsidRPr="008C21CF" w:rsidRDefault="00AA45C3" w:rsidP="00971DBD">
      <w:pPr>
        <w:spacing w:after="0"/>
        <w:ind w:left="270"/>
        <w:rPr>
          <w:rFonts w:asciiTheme="majorHAnsi" w:hAnsiTheme="majorHAnsi" w:cstheme="majorHAnsi"/>
        </w:rPr>
      </w:pPr>
    </w:p>
    <w:p w14:paraId="787661BA" w14:textId="16B1E38C" w:rsidR="00485066" w:rsidRPr="008C21CF" w:rsidRDefault="00485066" w:rsidP="00971DBD">
      <w:pPr>
        <w:spacing w:after="0"/>
        <w:ind w:left="270"/>
        <w:rPr>
          <w:rFonts w:asciiTheme="majorHAnsi" w:eastAsia="Times New Roman" w:hAnsiTheme="majorHAnsi" w:cstheme="majorHAnsi"/>
        </w:rPr>
      </w:pPr>
      <w:r w:rsidRPr="008C21CF">
        <w:rPr>
          <w:rFonts w:asciiTheme="majorHAnsi" w:hAnsiTheme="majorHAnsi" w:cstheme="majorHAnsi"/>
          <w:bCs/>
          <w:iCs/>
        </w:rPr>
        <w:t>If co-financing commitments do not meet minimum requirements, explain why</w:t>
      </w:r>
      <w:r w:rsidR="00AA45C3">
        <w:rPr>
          <w:rFonts w:asciiTheme="majorHAnsi" w:eastAsia="Times New Roman" w:hAnsiTheme="majorHAnsi" w:cstheme="majorHAnsi"/>
        </w:rPr>
        <w:t>.</w:t>
      </w:r>
    </w:p>
    <w:p w14:paraId="0DCE7091" w14:textId="77777777" w:rsidR="00BE0F0C" w:rsidRPr="008C21CF" w:rsidRDefault="00BE0F0C" w:rsidP="00882DC3">
      <w:pPr>
        <w:spacing w:after="0"/>
        <w:rPr>
          <w:rFonts w:asciiTheme="majorHAnsi" w:eastAsia="Times New Roman" w:hAnsiTheme="majorHAnsi" w:cstheme="majorHAnsi"/>
        </w:rPr>
      </w:pPr>
    </w:p>
    <w:tbl>
      <w:tblPr>
        <w:tblStyle w:val="TableGrid"/>
        <w:tblW w:w="0" w:type="auto"/>
        <w:tblLook w:val="04A0" w:firstRow="1" w:lastRow="0" w:firstColumn="1" w:lastColumn="0" w:noHBand="0" w:noVBand="1"/>
      </w:tblPr>
      <w:tblGrid>
        <w:gridCol w:w="10456"/>
      </w:tblGrid>
      <w:tr w:rsidR="00485066" w:rsidRPr="001D57CE" w14:paraId="0FCF80E9" w14:textId="77777777" w:rsidTr="005279BC">
        <w:tc>
          <w:tcPr>
            <w:tcW w:w="10790" w:type="dxa"/>
          </w:tcPr>
          <w:p w14:paraId="398767D6" w14:textId="6CD0D716" w:rsidR="00A3449A" w:rsidRPr="002E2691" w:rsidRDefault="00A3449A" w:rsidP="00A3449A">
            <w:pPr>
              <w:rPr>
                <w:rFonts w:asciiTheme="majorHAnsi" w:hAnsiTheme="majorHAnsi" w:cstheme="majorHAnsi"/>
                <w:sz w:val="20"/>
              </w:rPr>
            </w:pPr>
            <w:r w:rsidRPr="002E2691">
              <w:rPr>
                <w:rFonts w:asciiTheme="majorHAnsi" w:hAnsiTheme="majorHAnsi" w:cstheme="majorHAnsi"/>
                <w:sz w:val="20"/>
              </w:rPr>
              <w:t xml:space="preserve">With due consideration of GF recommendations on co-funding commitments stated in the Allocation Letter, and based on steadily increasing trend of domestic investments in TB and HIV response during the current grant, Moldova can confirm the country qualifying to fully access the co-financing </w:t>
            </w:r>
            <w:r w:rsidR="002E2691" w:rsidRPr="002E2691">
              <w:rPr>
                <w:rFonts w:asciiTheme="majorHAnsi" w:hAnsiTheme="majorHAnsi" w:cstheme="majorHAnsi"/>
                <w:sz w:val="20"/>
              </w:rPr>
              <w:t>i</w:t>
            </w:r>
            <w:r w:rsidRPr="002E2691">
              <w:rPr>
                <w:rFonts w:asciiTheme="majorHAnsi" w:hAnsiTheme="majorHAnsi" w:cstheme="majorHAnsi"/>
                <w:sz w:val="20"/>
              </w:rPr>
              <w:t xml:space="preserve">ncentive. </w:t>
            </w:r>
          </w:p>
          <w:p w14:paraId="6B461523" w14:textId="3202938A" w:rsidR="00485066" w:rsidRPr="00576BE5" w:rsidRDefault="00A3449A" w:rsidP="00A3449A">
            <w:pPr>
              <w:pStyle w:val="ListParagraph"/>
              <w:spacing w:after="0" w:line="240" w:lineRule="auto"/>
              <w:ind w:left="714"/>
              <w:contextualSpacing w:val="0"/>
              <w:rPr>
                <w:rFonts w:cs="Arial"/>
                <w:color w:val="000000"/>
                <w:sz w:val="20"/>
                <w:highlight w:val="yellow"/>
                <w:lang w:val="en"/>
              </w:rPr>
            </w:pPr>
            <w:r w:rsidRPr="002E2691">
              <w:rPr>
                <w:rFonts w:asciiTheme="majorHAnsi" w:hAnsiTheme="majorHAnsi" w:cstheme="majorHAnsi"/>
                <w:sz w:val="20"/>
              </w:rPr>
              <w:t xml:space="preserve">(See the attached </w:t>
            </w:r>
            <w:r w:rsidR="00A82FB8">
              <w:rPr>
                <w:rFonts w:asciiTheme="majorHAnsi" w:hAnsiTheme="majorHAnsi" w:cstheme="majorHAnsi"/>
                <w:sz w:val="20"/>
              </w:rPr>
              <w:t xml:space="preserve">Annex 1 </w:t>
            </w:r>
            <w:r w:rsidRPr="002E2691">
              <w:rPr>
                <w:rFonts w:asciiTheme="majorHAnsi" w:hAnsiTheme="majorHAnsi" w:cstheme="majorHAnsi"/>
                <w:sz w:val="20"/>
              </w:rPr>
              <w:t>Co-funding commitments Form)</w:t>
            </w:r>
          </w:p>
        </w:tc>
      </w:tr>
    </w:tbl>
    <w:p w14:paraId="269126AA" w14:textId="3161523B" w:rsidR="008029B8" w:rsidRDefault="008029B8" w:rsidP="00485066">
      <w:pPr>
        <w:pStyle w:val="ListParagraph"/>
        <w:spacing w:after="0" w:line="240" w:lineRule="auto"/>
        <w:ind w:left="0"/>
        <w:jc w:val="both"/>
        <w:rPr>
          <w:rFonts w:asciiTheme="majorHAnsi" w:eastAsia="Times New Roman" w:hAnsiTheme="majorHAnsi" w:cstheme="majorHAnsi"/>
        </w:rPr>
      </w:pPr>
    </w:p>
    <w:p w14:paraId="7D9C7A85" w14:textId="77777777" w:rsidR="008029B8" w:rsidRDefault="008029B8">
      <w:pPr>
        <w:spacing w:after="160" w:line="0" w:lineRule="auto"/>
        <w:rPr>
          <w:rFonts w:asciiTheme="majorHAnsi" w:eastAsia="Times New Roman" w:hAnsiTheme="majorHAnsi" w:cstheme="majorHAnsi"/>
        </w:rPr>
      </w:pPr>
      <w:r>
        <w:rPr>
          <w:rFonts w:asciiTheme="majorHAnsi" w:eastAsia="Times New Roman" w:hAnsiTheme="majorHAnsi" w:cstheme="majorHAnsi"/>
        </w:rPr>
        <w:br w:type="page"/>
      </w:r>
    </w:p>
    <w:p w14:paraId="29850E31" w14:textId="7D6E57BE" w:rsidR="002B6A8E" w:rsidRPr="0018557F" w:rsidRDefault="00F112AD" w:rsidP="00F42E40">
      <w:pPr>
        <w:pStyle w:val="ListParagraph"/>
        <w:numPr>
          <w:ilvl w:val="0"/>
          <w:numId w:val="19"/>
        </w:numPr>
        <w:spacing w:after="0" w:line="260" w:lineRule="atLeast"/>
        <w:ind w:left="360"/>
        <w:jc w:val="both"/>
        <w:rPr>
          <w:b/>
        </w:rPr>
      </w:pPr>
      <w:r>
        <w:rPr>
          <w:rFonts w:asciiTheme="majorHAnsi" w:eastAsia="Times New Roman" w:hAnsiTheme="majorHAnsi" w:cstheme="majorHAnsi"/>
        </w:rPr>
        <w:lastRenderedPageBreak/>
        <w:t>Summarize</w:t>
      </w:r>
      <w:r w:rsidR="002B6A8E" w:rsidRPr="005305D5">
        <w:t xml:space="preserve"> the </w:t>
      </w:r>
      <w:r w:rsidR="002B6A8E" w:rsidRPr="0096146C">
        <w:rPr>
          <w:b/>
        </w:rPr>
        <w:t>programmatic areas</w:t>
      </w:r>
      <w:r w:rsidR="002B6A8E" w:rsidRPr="005305D5">
        <w:t xml:space="preserve"> to be supported by domestic co-financing in the </w:t>
      </w:r>
      <w:r w:rsidR="00A9213B">
        <w:t>next</w:t>
      </w:r>
      <w:r w:rsidR="002B6A8E" w:rsidRPr="005305D5">
        <w:t xml:space="preserve"> </w:t>
      </w:r>
      <w:r w:rsidR="00B2724B">
        <w:t>allocation period</w:t>
      </w:r>
      <w:r w:rsidR="002B6A8E" w:rsidRPr="005305D5">
        <w:t>. In particular:</w:t>
      </w:r>
    </w:p>
    <w:p w14:paraId="73CA0F2F" w14:textId="0D29065E" w:rsidR="002B6A8E" w:rsidRPr="005305D5" w:rsidRDefault="00D74BD8" w:rsidP="00850EF3">
      <w:pPr>
        <w:pStyle w:val="ListParagraph"/>
        <w:spacing w:after="0" w:line="260" w:lineRule="atLeast"/>
        <w:ind w:left="900" w:hanging="180"/>
      </w:pPr>
      <w:r>
        <w:t xml:space="preserve">i. </w:t>
      </w:r>
      <w:r w:rsidR="002B6A8E">
        <w:t xml:space="preserve">The financing of key program costs of national disease plans and/or health systems; </w:t>
      </w:r>
    </w:p>
    <w:p w14:paraId="29B56E3E" w14:textId="6E5238D1" w:rsidR="002B6A8E" w:rsidRDefault="00D74BD8" w:rsidP="00850EF3">
      <w:pPr>
        <w:pStyle w:val="ListParagraph"/>
        <w:spacing w:after="160" w:line="260" w:lineRule="atLeast"/>
        <w:ind w:left="900" w:hanging="180"/>
      </w:pPr>
      <w:r>
        <w:t xml:space="preserve">ii. </w:t>
      </w:r>
      <w:r w:rsidR="002B6A8E">
        <w:t xml:space="preserve">The planned uptake of interventions </w:t>
      </w:r>
      <w:r w:rsidR="0020615A">
        <w:t>currently</w:t>
      </w:r>
      <w:r w:rsidR="002B6A8E">
        <w:t xml:space="preserve"> funded by the Global Fund.</w:t>
      </w:r>
    </w:p>
    <w:p w14:paraId="6EB1F60E" w14:textId="77777777" w:rsidR="00172EDE" w:rsidRPr="00B271DB" w:rsidRDefault="00172EDE" w:rsidP="00172EDE">
      <w:pPr>
        <w:pStyle w:val="ListParagraph"/>
        <w:spacing w:after="0" w:line="260" w:lineRule="atLeast"/>
        <w:ind w:left="360"/>
        <w:jc w:val="both"/>
      </w:pPr>
    </w:p>
    <w:tbl>
      <w:tblPr>
        <w:tblStyle w:val="TableGrid"/>
        <w:tblW w:w="0" w:type="auto"/>
        <w:tblLook w:val="04A0" w:firstRow="1" w:lastRow="0" w:firstColumn="1" w:lastColumn="0" w:noHBand="0" w:noVBand="1"/>
      </w:tblPr>
      <w:tblGrid>
        <w:gridCol w:w="10456"/>
      </w:tblGrid>
      <w:tr w:rsidR="00172EDE" w:rsidRPr="00B271DB" w14:paraId="7E3DB7D8" w14:textId="77777777" w:rsidTr="0015208B">
        <w:tc>
          <w:tcPr>
            <w:tcW w:w="10790" w:type="dxa"/>
          </w:tcPr>
          <w:p w14:paraId="000AA53E" w14:textId="68ED933A" w:rsidR="00143F79" w:rsidRPr="00EB141C" w:rsidRDefault="00143F79" w:rsidP="00143F79">
            <w:pPr>
              <w:spacing w:before="120" w:line="240" w:lineRule="auto"/>
              <w:jc w:val="both"/>
              <w:rPr>
                <w:rFonts w:asciiTheme="minorHAnsi" w:eastAsia="SimSun" w:hAnsiTheme="minorHAnsi"/>
                <w:sz w:val="20"/>
                <w:lang w:eastAsia="zh-CN"/>
              </w:rPr>
            </w:pPr>
            <w:r w:rsidRPr="00EB141C">
              <w:rPr>
                <w:rFonts w:asciiTheme="minorHAnsi" w:eastAsia="SimSun" w:hAnsiTheme="minorHAnsi"/>
                <w:sz w:val="20"/>
                <w:lang w:eastAsia="zh-CN"/>
              </w:rPr>
              <w:t>The main system of health financing and coverage in Moldova is based on national compulsory health insurance, introduced in January 2004. The funding channeled through the national insurance scheme currently comprises 90% of the total public health spending and covers all health care institutions and interventions at central and local level. The central health budget, administered by the Ministry of Health, accounts for about 10% of public health spending and is used for funding of public health services (formerly sanitary-epidemiology services), several national programs and administration at central level. The contributions to health from local (rayon level) authorities, other than MOH central state bodies as well as that of private sources are not significant. While the HIV funding needs include Transnistria, the information on funding from Transnistria</w:t>
            </w:r>
            <w:r w:rsidR="00EB141C">
              <w:rPr>
                <w:rFonts w:asciiTheme="minorHAnsi" w:eastAsia="SimSun" w:hAnsiTheme="minorHAnsi"/>
                <w:sz w:val="20"/>
                <w:lang w:eastAsia="zh-CN"/>
              </w:rPr>
              <w:t xml:space="preserve"> de facto</w:t>
            </w:r>
            <w:r w:rsidRPr="00EB141C">
              <w:rPr>
                <w:rFonts w:asciiTheme="minorHAnsi" w:eastAsia="SimSun" w:hAnsiTheme="minorHAnsi"/>
                <w:sz w:val="20"/>
                <w:lang w:eastAsia="zh-CN"/>
              </w:rPr>
              <w:t xml:space="preserve"> authorities is not available and therefore was not included.</w:t>
            </w:r>
          </w:p>
          <w:p w14:paraId="6D5CDF2D" w14:textId="77777777" w:rsidR="004A7E7B" w:rsidRDefault="004A7E7B" w:rsidP="00EB141C">
            <w:pPr>
              <w:spacing w:after="0" w:line="240" w:lineRule="auto"/>
              <w:rPr>
                <w:rFonts w:asciiTheme="minorHAnsi" w:eastAsia="SimSun" w:hAnsiTheme="minorHAnsi"/>
                <w:sz w:val="20"/>
                <w:lang w:eastAsia="zh-CN"/>
              </w:rPr>
            </w:pPr>
            <w:r w:rsidRPr="004A7E7B">
              <w:rPr>
                <w:rFonts w:asciiTheme="minorHAnsi" w:eastAsia="SimSun" w:hAnsiTheme="minorHAnsi"/>
                <w:sz w:val="20"/>
                <w:lang w:eastAsia="zh-CN"/>
              </w:rPr>
              <w:t>Under all NFM grants, the Republic of Moldova has committed and accordingly met the co-funding requirements agreed with the GF. The domestic funding has been gradually increased to support and ensure provision of key services to people affected by TB/HIV, including part of prevention services</w:t>
            </w:r>
            <w:r>
              <w:rPr>
                <w:rFonts w:asciiTheme="minorHAnsi" w:eastAsia="SimSun" w:hAnsiTheme="minorHAnsi"/>
                <w:sz w:val="20"/>
                <w:lang w:eastAsia="zh-CN"/>
              </w:rPr>
              <w:t xml:space="preserve"> </w:t>
            </w:r>
          </w:p>
          <w:p w14:paraId="15E2D33E" w14:textId="54F02D22" w:rsidR="00EB141C" w:rsidRPr="00EB141C" w:rsidRDefault="004A7E7B" w:rsidP="00EB141C">
            <w:pPr>
              <w:spacing w:after="0" w:line="240" w:lineRule="auto"/>
              <w:rPr>
                <w:rFonts w:eastAsia="Times New Roman" w:cs="Arial"/>
                <w:color w:val="000000"/>
                <w:sz w:val="20"/>
              </w:rPr>
            </w:pPr>
            <w:r w:rsidRPr="004A7E7B">
              <w:rPr>
                <w:rFonts w:asciiTheme="minorHAnsi" w:eastAsia="SimSun" w:hAnsiTheme="minorHAnsi"/>
                <w:sz w:val="20"/>
                <w:lang w:eastAsia="zh-CN"/>
              </w:rPr>
              <w:t>Government’s</w:t>
            </w:r>
            <w:r w:rsidR="00EB141C" w:rsidRPr="00EB141C">
              <w:rPr>
                <w:rFonts w:eastAsia="Times New Roman" w:cs="Arial"/>
                <w:color w:val="000000"/>
                <w:sz w:val="20"/>
              </w:rPr>
              <w:t xml:space="preserve"> investments for the next Global Fund allocation period (2020-2022) will be in line with the domestic financing requirements as per the FG allocation letter from December 16, 2019. More specifically, the country authorities commit to invest the available domestic resources in interventions targeting:</w:t>
            </w:r>
          </w:p>
          <w:p w14:paraId="4934EC2A" w14:textId="307792F0" w:rsidR="004A7E7B" w:rsidRPr="004A7E7B" w:rsidRDefault="004A7E7B" w:rsidP="00326A6B">
            <w:pPr>
              <w:pStyle w:val="ListParagraph"/>
              <w:numPr>
                <w:ilvl w:val="0"/>
                <w:numId w:val="50"/>
              </w:numPr>
              <w:spacing w:after="0" w:line="240" w:lineRule="auto"/>
              <w:rPr>
                <w:rFonts w:eastAsia="Times New Roman" w:cs="Arial"/>
                <w:color w:val="000000"/>
                <w:sz w:val="20"/>
              </w:rPr>
            </w:pPr>
            <w:r w:rsidRPr="004A7E7B">
              <w:rPr>
                <w:rFonts w:eastAsia="Times New Roman" w:cs="Arial"/>
                <w:color w:val="000000"/>
                <w:sz w:val="20"/>
              </w:rPr>
              <w:t>up-taking all costs for ARV/syphilis treatment and TB drug sensitive</w:t>
            </w:r>
            <w:r>
              <w:rPr>
                <w:rFonts w:eastAsia="Times New Roman" w:cs="Arial"/>
                <w:color w:val="000000"/>
                <w:sz w:val="20"/>
              </w:rPr>
              <w:t xml:space="preserve"> treatment for people diagnosed, (including Transnistria)</w:t>
            </w:r>
            <w:r w:rsidRPr="004A7E7B">
              <w:rPr>
                <w:rFonts w:eastAsia="Times New Roman" w:cs="Arial"/>
                <w:color w:val="000000"/>
                <w:sz w:val="20"/>
              </w:rPr>
              <w:t>, including PMTCT</w:t>
            </w:r>
            <w:r>
              <w:rPr>
                <w:rFonts w:eastAsia="Times New Roman" w:cs="Arial"/>
                <w:color w:val="000000"/>
                <w:sz w:val="20"/>
              </w:rPr>
              <w:t>, baby nutrition</w:t>
            </w:r>
            <w:r w:rsidRPr="004A7E7B">
              <w:rPr>
                <w:rFonts w:eastAsia="Times New Roman" w:cs="Arial"/>
                <w:color w:val="000000"/>
                <w:sz w:val="20"/>
              </w:rPr>
              <w:t xml:space="preserve"> for children born to HIV+ mothers aged 0-12 months and treatment and monitoring costs for patients initiating PrEP; </w:t>
            </w:r>
          </w:p>
          <w:p w14:paraId="09200D0E" w14:textId="12A59159" w:rsidR="00EB141C" w:rsidRDefault="004A7E7B" w:rsidP="00326A6B">
            <w:pPr>
              <w:pStyle w:val="ListParagraph"/>
              <w:numPr>
                <w:ilvl w:val="0"/>
                <w:numId w:val="50"/>
              </w:numPr>
              <w:spacing w:after="0" w:line="240" w:lineRule="auto"/>
              <w:contextualSpacing w:val="0"/>
              <w:rPr>
                <w:rFonts w:cs="Arial"/>
                <w:color w:val="000000"/>
                <w:sz w:val="20"/>
              </w:rPr>
            </w:pPr>
            <w:r>
              <w:rPr>
                <w:rFonts w:cs="Arial"/>
                <w:color w:val="000000"/>
                <w:sz w:val="20"/>
              </w:rPr>
              <w:t xml:space="preserve">Provider initiated HIV </w:t>
            </w:r>
            <w:r w:rsidR="00EB141C" w:rsidRPr="00EB141C">
              <w:rPr>
                <w:rFonts w:cs="Arial"/>
                <w:color w:val="000000"/>
                <w:sz w:val="20"/>
              </w:rPr>
              <w:t>testing</w:t>
            </w:r>
          </w:p>
          <w:p w14:paraId="269F4D3B" w14:textId="589C8A1B" w:rsidR="00EB141C" w:rsidRPr="00EB141C" w:rsidRDefault="00EB141C" w:rsidP="00326A6B">
            <w:pPr>
              <w:pStyle w:val="ListParagraph"/>
              <w:numPr>
                <w:ilvl w:val="0"/>
                <w:numId w:val="50"/>
              </w:numPr>
              <w:spacing w:after="0" w:line="240" w:lineRule="auto"/>
              <w:contextualSpacing w:val="0"/>
              <w:rPr>
                <w:rFonts w:cs="Arial"/>
                <w:color w:val="000000"/>
                <w:sz w:val="20"/>
              </w:rPr>
            </w:pPr>
            <w:r w:rsidRPr="00EB141C">
              <w:rPr>
                <w:rFonts w:cs="Arial"/>
                <w:color w:val="000000"/>
                <w:sz w:val="20"/>
              </w:rPr>
              <w:t>diagnostics, prevention and treatment of opportunistic/coinfections</w:t>
            </w:r>
            <w:r w:rsidR="004A7E7B">
              <w:rPr>
                <w:rFonts w:cs="Arial"/>
                <w:color w:val="000000"/>
                <w:sz w:val="20"/>
              </w:rPr>
              <w:t xml:space="preserve"> for during TB and HIV treatment</w:t>
            </w:r>
            <w:r w:rsidRPr="00EB141C">
              <w:rPr>
                <w:rFonts w:cs="Arial"/>
                <w:color w:val="000000"/>
                <w:sz w:val="20"/>
              </w:rPr>
              <w:t xml:space="preserve">; </w:t>
            </w:r>
          </w:p>
          <w:p w14:paraId="15A8E25D" w14:textId="78907A2F" w:rsidR="004A7E7B" w:rsidRPr="00EB141C" w:rsidRDefault="004A7E7B" w:rsidP="00326A6B">
            <w:pPr>
              <w:pStyle w:val="ListParagraph"/>
              <w:numPr>
                <w:ilvl w:val="0"/>
                <w:numId w:val="50"/>
              </w:numPr>
              <w:spacing w:after="0" w:line="240" w:lineRule="auto"/>
              <w:contextualSpacing w:val="0"/>
              <w:rPr>
                <w:rFonts w:cs="Arial"/>
                <w:color w:val="000000"/>
                <w:sz w:val="20"/>
              </w:rPr>
            </w:pPr>
            <w:r>
              <w:rPr>
                <w:rFonts w:cs="Arial"/>
                <w:color w:val="000000"/>
                <w:sz w:val="20"/>
              </w:rPr>
              <w:t>Support to multidisciplinary teams as part of TB service at district level on the Right Bank</w:t>
            </w:r>
          </w:p>
          <w:p w14:paraId="685F2607" w14:textId="4DA29F02" w:rsidR="00A3449A" w:rsidRPr="004A7E7B" w:rsidRDefault="004A7E7B" w:rsidP="00A3449A">
            <w:pPr>
              <w:jc w:val="both"/>
              <w:rPr>
                <w:rFonts w:cs="Arial"/>
                <w:sz w:val="20"/>
                <w:szCs w:val="20"/>
              </w:rPr>
            </w:pPr>
            <w:r w:rsidRPr="004A7E7B">
              <w:rPr>
                <w:rFonts w:cs="Arial"/>
                <w:sz w:val="20"/>
                <w:szCs w:val="20"/>
              </w:rPr>
              <w:t>At</w:t>
            </w:r>
            <w:r w:rsidR="00A3449A" w:rsidRPr="004A7E7B">
              <w:rPr>
                <w:rFonts w:cs="Arial"/>
                <w:sz w:val="20"/>
                <w:szCs w:val="20"/>
              </w:rPr>
              <w:t xml:space="preserve"> the same time</w:t>
            </w:r>
            <w:r>
              <w:rPr>
                <w:rFonts w:cs="Arial"/>
                <w:sz w:val="20"/>
                <w:szCs w:val="20"/>
              </w:rPr>
              <w:t xml:space="preserve">, authorities </w:t>
            </w:r>
            <w:r w:rsidR="00A3449A" w:rsidRPr="004A7E7B">
              <w:rPr>
                <w:rFonts w:cs="Arial"/>
                <w:sz w:val="20"/>
                <w:szCs w:val="20"/>
              </w:rPr>
              <w:t>commit to:</w:t>
            </w:r>
          </w:p>
          <w:p w14:paraId="2542B9EE" w14:textId="77777777" w:rsidR="00A3449A" w:rsidRPr="004A7E7B" w:rsidRDefault="00A3449A" w:rsidP="00326A6B">
            <w:pPr>
              <w:pStyle w:val="ListParagraph"/>
              <w:numPr>
                <w:ilvl w:val="0"/>
                <w:numId w:val="50"/>
              </w:numPr>
              <w:jc w:val="both"/>
              <w:rPr>
                <w:rFonts w:cs="Arial"/>
                <w:sz w:val="20"/>
                <w:szCs w:val="20"/>
              </w:rPr>
            </w:pPr>
            <w:r w:rsidRPr="004A7E7B">
              <w:rPr>
                <w:rFonts w:cs="Arial"/>
                <w:sz w:val="20"/>
                <w:szCs w:val="20"/>
              </w:rPr>
              <w:t xml:space="preserve">increase efforts and resources for HIV prevention in KPs; </w:t>
            </w:r>
          </w:p>
          <w:p w14:paraId="0BE39BB5" w14:textId="77777777" w:rsidR="00A3449A" w:rsidRPr="004A7E7B" w:rsidRDefault="00A3449A" w:rsidP="00326A6B">
            <w:pPr>
              <w:pStyle w:val="ListParagraph"/>
              <w:numPr>
                <w:ilvl w:val="0"/>
                <w:numId w:val="50"/>
              </w:numPr>
              <w:jc w:val="both"/>
              <w:rPr>
                <w:rFonts w:cs="Arial"/>
                <w:sz w:val="20"/>
                <w:szCs w:val="20"/>
              </w:rPr>
            </w:pPr>
            <w:r w:rsidRPr="004A7E7B">
              <w:rPr>
                <w:rFonts w:cs="Arial"/>
                <w:sz w:val="20"/>
                <w:szCs w:val="20"/>
              </w:rPr>
              <w:t>increase funding for Harm Reduction and HIV&amp;TB prevention programs in KPs, including inmates, and support treatment adherence to TB patients;</w:t>
            </w:r>
          </w:p>
          <w:p w14:paraId="35D923BB" w14:textId="77777777" w:rsidR="00A3449A" w:rsidRPr="004A7E7B" w:rsidRDefault="00A3449A" w:rsidP="00326A6B">
            <w:pPr>
              <w:pStyle w:val="ListParagraph"/>
              <w:numPr>
                <w:ilvl w:val="0"/>
                <w:numId w:val="50"/>
              </w:numPr>
              <w:jc w:val="both"/>
              <w:rPr>
                <w:rFonts w:cs="Arial"/>
                <w:sz w:val="20"/>
                <w:szCs w:val="20"/>
              </w:rPr>
            </w:pPr>
            <w:r w:rsidRPr="004A7E7B">
              <w:rPr>
                <w:rFonts w:cs="Arial"/>
                <w:sz w:val="20"/>
                <w:szCs w:val="20"/>
              </w:rPr>
              <w:t>support “finding the positives” approaches on earlier testing</w:t>
            </w:r>
          </w:p>
          <w:p w14:paraId="663C8084" w14:textId="77777777" w:rsidR="00A3449A" w:rsidRPr="004A7E7B" w:rsidRDefault="00A3449A" w:rsidP="00326A6B">
            <w:pPr>
              <w:pStyle w:val="ListParagraph"/>
              <w:numPr>
                <w:ilvl w:val="0"/>
                <w:numId w:val="50"/>
              </w:numPr>
              <w:jc w:val="both"/>
              <w:rPr>
                <w:rFonts w:cs="Arial"/>
                <w:sz w:val="20"/>
                <w:szCs w:val="20"/>
              </w:rPr>
            </w:pPr>
            <w:r w:rsidRPr="004A7E7B">
              <w:rPr>
                <w:rFonts w:cs="Arial"/>
                <w:sz w:val="20"/>
                <w:szCs w:val="20"/>
              </w:rPr>
              <w:t>implement alternative prevention services for KPs, like HRP through pharmacies</w:t>
            </w:r>
          </w:p>
          <w:p w14:paraId="3A1B4203" w14:textId="77777777" w:rsidR="00A3449A" w:rsidRPr="004A7E7B" w:rsidRDefault="00A3449A" w:rsidP="00326A6B">
            <w:pPr>
              <w:pStyle w:val="ListParagraph"/>
              <w:numPr>
                <w:ilvl w:val="0"/>
                <w:numId w:val="50"/>
              </w:numPr>
              <w:jc w:val="both"/>
              <w:rPr>
                <w:rFonts w:cs="Arial"/>
                <w:sz w:val="20"/>
                <w:szCs w:val="20"/>
              </w:rPr>
            </w:pPr>
            <w:r w:rsidRPr="004A7E7B">
              <w:rPr>
                <w:rFonts w:cs="Arial"/>
                <w:sz w:val="20"/>
                <w:szCs w:val="20"/>
              </w:rPr>
              <w:t xml:space="preserve">partly cover SLD and diagnostics for TB patients.  </w:t>
            </w:r>
          </w:p>
          <w:p w14:paraId="42C042CF" w14:textId="77777777" w:rsidR="00A3449A" w:rsidRPr="004A7E7B" w:rsidRDefault="00A3449A" w:rsidP="00326A6B">
            <w:pPr>
              <w:pStyle w:val="ListParagraph"/>
              <w:numPr>
                <w:ilvl w:val="0"/>
                <w:numId w:val="50"/>
              </w:numPr>
              <w:jc w:val="both"/>
              <w:rPr>
                <w:rFonts w:cs="Arial"/>
                <w:sz w:val="20"/>
                <w:szCs w:val="20"/>
              </w:rPr>
            </w:pPr>
            <w:r w:rsidRPr="004A7E7B">
              <w:rPr>
                <w:rFonts w:cs="Arial"/>
                <w:sz w:val="20"/>
                <w:szCs w:val="20"/>
              </w:rPr>
              <w:t xml:space="preserve">consolidate program coordination through capacity building in program management </w:t>
            </w:r>
          </w:p>
          <w:p w14:paraId="64CFD13E" w14:textId="77777777" w:rsidR="00A3449A" w:rsidRPr="004A7E7B" w:rsidRDefault="00A3449A" w:rsidP="00326A6B">
            <w:pPr>
              <w:pStyle w:val="ListParagraph"/>
              <w:numPr>
                <w:ilvl w:val="0"/>
                <w:numId w:val="50"/>
              </w:numPr>
              <w:jc w:val="both"/>
              <w:rPr>
                <w:rFonts w:cs="Arial"/>
                <w:sz w:val="20"/>
                <w:szCs w:val="20"/>
              </w:rPr>
            </w:pPr>
            <w:r w:rsidRPr="004A7E7B">
              <w:rPr>
                <w:rFonts w:cs="Arial"/>
                <w:sz w:val="20"/>
                <w:szCs w:val="20"/>
              </w:rPr>
              <w:t>build capacity and improve joint management and coordination of HIV/TB/Hepatitis Programs</w:t>
            </w:r>
          </w:p>
          <w:p w14:paraId="139B33C2" w14:textId="77777777" w:rsidR="00A3449A" w:rsidRPr="004A7E7B" w:rsidRDefault="00A3449A" w:rsidP="00326A6B">
            <w:pPr>
              <w:pStyle w:val="ListParagraph"/>
              <w:numPr>
                <w:ilvl w:val="0"/>
                <w:numId w:val="50"/>
              </w:numPr>
              <w:jc w:val="both"/>
              <w:rPr>
                <w:rFonts w:cs="Arial"/>
                <w:sz w:val="20"/>
                <w:szCs w:val="20"/>
              </w:rPr>
            </w:pPr>
            <w:r w:rsidRPr="004A7E7B">
              <w:rPr>
                <w:rFonts w:cs="Arial"/>
                <w:sz w:val="20"/>
                <w:szCs w:val="20"/>
              </w:rPr>
              <w:t>support capacity consolidation of (TB and) HIV reference laboratories</w:t>
            </w:r>
          </w:p>
          <w:p w14:paraId="441D5319" w14:textId="77777777" w:rsidR="00A3449A" w:rsidRPr="004A7E7B" w:rsidRDefault="00A3449A" w:rsidP="00326A6B">
            <w:pPr>
              <w:pStyle w:val="ListParagraph"/>
              <w:numPr>
                <w:ilvl w:val="0"/>
                <w:numId w:val="50"/>
              </w:numPr>
              <w:jc w:val="both"/>
              <w:rPr>
                <w:rFonts w:cs="Arial"/>
                <w:sz w:val="20"/>
                <w:szCs w:val="20"/>
              </w:rPr>
            </w:pPr>
            <w:r w:rsidRPr="004A7E7B">
              <w:rPr>
                <w:rFonts w:cs="Arial"/>
                <w:sz w:val="20"/>
                <w:szCs w:val="20"/>
              </w:rPr>
              <w:t>develop resilient systems contributing to earlier enrollment in ARV/TB treatment</w:t>
            </w:r>
          </w:p>
          <w:p w14:paraId="7340077C" w14:textId="348F0012" w:rsidR="00A3449A" w:rsidRPr="00F26371" w:rsidRDefault="00A3449A" w:rsidP="00A3449A">
            <w:pPr>
              <w:spacing w:after="0" w:line="240" w:lineRule="auto"/>
              <w:rPr>
                <w:rFonts w:ascii="Times New Roman" w:hAnsi="Times New Roman" w:cs="Times New Roman"/>
                <w:b/>
                <w:sz w:val="20"/>
                <w:szCs w:val="20"/>
              </w:rPr>
            </w:pPr>
            <w:r w:rsidRPr="00F26371">
              <w:rPr>
                <w:rFonts w:asciiTheme="majorHAnsi" w:hAnsiTheme="majorHAnsi" w:cstheme="majorHAnsi"/>
                <w:b/>
                <w:sz w:val="20"/>
                <w:szCs w:val="20"/>
              </w:rPr>
              <w:t>Co-</w:t>
            </w:r>
            <w:r w:rsidR="00B84958" w:rsidRPr="00F26371">
              <w:rPr>
                <w:rFonts w:asciiTheme="majorHAnsi" w:hAnsiTheme="majorHAnsi" w:cstheme="majorHAnsi"/>
                <w:b/>
                <w:sz w:val="20"/>
                <w:szCs w:val="20"/>
              </w:rPr>
              <w:t>Finance Commitment Letter</w:t>
            </w:r>
            <w:r w:rsidRPr="00F26371">
              <w:rPr>
                <w:rFonts w:asciiTheme="majorHAnsi" w:hAnsiTheme="majorHAnsi" w:cstheme="majorHAnsi"/>
                <w:b/>
                <w:sz w:val="20"/>
                <w:szCs w:val="20"/>
              </w:rPr>
              <w:t xml:space="preserve"> </w:t>
            </w:r>
            <w:r w:rsidR="00B84958" w:rsidRPr="00F26371">
              <w:rPr>
                <w:rFonts w:asciiTheme="majorHAnsi" w:hAnsiTheme="majorHAnsi" w:cstheme="majorHAnsi"/>
                <w:b/>
                <w:sz w:val="20"/>
                <w:szCs w:val="20"/>
              </w:rPr>
              <w:t>is attached as Annex 1</w:t>
            </w:r>
          </w:p>
          <w:p w14:paraId="03A223A2" w14:textId="4FC777AD" w:rsidR="00A3449A" w:rsidRPr="00A3449A" w:rsidRDefault="00A3449A" w:rsidP="00B84958">
            <w:pPr>
              <w:spacing w:after="0" w:line="240" w:lineRule="auto"/>
              <w:rPr>
                <w:rFonts w:cs="Arial"/>
              </w:rPr>
            </w:pPr>
          </w:p>
        </w:tc>
      </w:tr>
    </w:tbl>
    <w:p w14:paraId="635A9B97" w14:textId="77777777" w:rsidR="00172EDE" w:rsidRDefault="00172EDE" w:rsidP="007B1F00">
      <w:pPr>
        <w:spacing w:after="0" w:line="260" w:lineRule="atLeast"/>
      </w:pPr>
    </w:p>
    <w:p w14:paraId="1EC4B881" w14:textId="51861001" w:rsidR="00824D66" w:rsidRDefault="00824D66">
      <w:pPr>
        <w:spacing w:after="160" w:line="0" w:lineRule="auto"/>
        <w:rPr>
          <w:rFonts w:cs="Arial"/>
          <w:b/>
        </w:rPr>
      </w:pPr>
    </w:p>
    <w:p w14:paraId="642F358F" w14:textId="54035445" w:rsidR="00485066" w:rsidRPr="00824D66" w:rsidRDefault="00824D66" w:rsidP="00824D66">
      <w:pPr>
        <w:shd w:val="clear" w:color="auto" w:fill="D9D9D9" w:themeFill="background1" w:themeFillShade="D9"/>
        <w:spacing w:after="0" w:line="260" w:lineRule="atLeast"/>
        <w:rPr>
          <w:rFonts w:cs="Arial"/>
          <w:b/>
        </w:rPr>
      </w:pPr>
      <w:r>
        <w:rPr>
          <w:rFonts w:cs="Arial"/>
          <w:b/>
        </w:rPr>
        <w:t xml:space="preserve">3.2 </w:t>
      </w:r>
      <w:r w:rsidR="00485066" w:rsidRPr="00824D66">
        <w:rPr>
          <w:rFonts w:cs="Arial"/>
          <w:b/>
        </w:rPr>
        <w:t>Sustainability and Transition</w:t>
      </w:r>
    </w:p>
    <w:p w14:paraId="02269AED" w14:textId="77777777" w:rsidR="00485066" w:rsidRPr="00B271DB" w:rsidRDefault="00485066" w:rsidP="00485066">
      <w:pPr>
        <w:pStyle w:val="NoSpacing"/>
      </w:pPr>
    </w:p>
    <w:p w14:paraId="3BD3EFF8" w14:textId="77777777" w:rsidR="00B74DAA" w:rsidRPr="00B74DAA" w:rsidRDefault="0069127F" w:rsidP="00F42E40">
      <w:pPr>
        <w:pStyle w:val="ListParagraph"/>
        <w:numPr>
          <w:ilvl w:val="0"/>
          <w:numId w:val="22"/>
        </w:numPr>
        <w:spacing w:after="160" w:line="260" w:lineRule="atLeast"/>
        <w:jc w:val="both"/>
      </w:pPr>
      <w:r>
        <w:rPr>
          <w:rFonts w:cs="Arial"/>
        </w:rPr>
        <w:t>Based on the analysis in t</w:t>
      </w:r>
      <w:r w:rsidR="00B74DAA">
        <w:rPr>
          <w:rFonts w:cs="Arial"/>
        </w:rPr>
        <w:t xml:space="preserve">he </w:t>
      </w:r>
      <w:r w:rsidR="00B74DAA" w:rsidRPr="00B74DAA">
        <w:rPr>
          <w:rFonts w:cs="Arial"/>
          <w:b/>
        </w:rPr>
        <w:t>Funding Landscape T</w:t>
      </w:r>
      <w:r w:rsidRPr="00B74DAA">
        <w:rPr>
          <w:rFonts w:cs="Arial"/>
          <w:b/>
        </w:rPr>
        <w:t>able</w:t>
      </w:r>
      <w:r w:rsidR="00F112AD" w:rsidRPr="00B74DAA">
        <w:rPr>
          <w:rFonts w:cs="Arial"/>
          <w:b/>
        </w:rPr>
        <w:t>(</w:t>
      </w:r>
      <w:r w:rsidRPr="00B74DAA">
        <w:rPr>
          <w:rFonts w:cs="Arial"/>
          <w:b/>
        </w:rPr>
        <w:t>s</w:t>
      </w:r>
      <w:r w:rsidR="00F112AD" w:rsidRPr="00B74DAA">
        <w:rPr>
          <w:rFonts w:cs="Arial"/>
          <w:b/>
        </w:rPr>
        <w:t>)</w:t>
      </w:r>
      <w:r w:rsidRPr="00B74DAA">
        <w:rPr>
          <w:rFonts w:cs="Arial"/>
          <w:b/>
        </w:rPr>
        <w:t>,</w:t>
      </w:r>
      <w:r>
        <w:rPr>
          <w:rFonts w:cs="Arial"/>
        </w:rPr>
        <w:t xml:space="preserve"> describe</w:t>
      </w:r>
      <w:r w:rsidR="00B74DAA">
        <w:rPr>
          <w:rFonts w:cs="Arial"/>
        </w:rPr>
        <w:t xml:space="preserve"> the funding need and </w:t>
      </w:r>
      <w:r>
        <w:rPr>
          <w:rFonts w:cs="Arial"/>
        </w:rPr>
        <w:t>anticipated</w:t>
      </w:r>
      <w:r w:rsidRPr="00B271DB">
        <w:rPr>
          <w:rFonts w:cs="Arial"/>
        </w:rPr>
        <w:t xml:space="preserve"> </w:t>
      </w:r>
      <w:r w:rsidR="00485066" w:rsidRPr="00B271DB">
        <w:rPr>
          <w:rFonts w:cs="Arial"/>
        </w:rPr>
        <w:t>funding</w:t>
      </w:r>
      <w:r w:rsidR="00572198" w:rsidRPr="00B271DB">
        <w:rPr>
          <w:rFonts w:cs="Arial"/>
        </w:rPr>
        <w:t xml:space="preserve">, </w:t>
      </w:r>
      <w:r w:rsidR="00A06BA5">
        <w:rPr>
          <w:rFonts w:cs="Arial"/>
        </w:rPr>
        <w:t>highlighting</w:t>
      </w:r>
      <w:r w:rsidRPr="00B271DB">
        <w:rPr>
          <w:rFonts w:cs="Arial"/>
        </w:rPr>
        <w:t xml:space="preserve"> </w:t>
      </w:r>
      <w:r w:rsidR="00485066" w:rsidRPr="00B271DB">
        <w:rPr>
          <w:rFonts w:cs="Arial"/>
        </w:rPr>
        <w:t xml:space="preserve">gaps for major program areas in the </w:t>
      </w:r>
      <w:r w:rsidR="00A9213B">
        <w:rPr>
          <w:rFonts w:cs="Arial"/>
        </w:rPr>
        <w:t>next</w:t>
      </w:r>
      <w:r w:rsidR="00485066" w:rsidRPr="00B271DB">
        <w:rPr>
          <w:rFonts w:cs="Arial"/>
        </w:rPr>
        <w:t xml:space="preserve"> allocation period. </w:t>
      </w:r>
    </w:p>
    <w:p w14:paraId="1E121FC3" w14:textId="00160960" w:rsidR="00485066" w:rsidRPr="00BE0F0C" w:rsidRDefault="00485066" w:rsidP="00B74DAA">
      <w:pPr>
        <w:pStyle w:val="ListParagraph"/>
        <w:spacing w:after="160" w:line="260" w:lineRule="atLeast"/>
        <w:ind w:left="360"/>
        <w:jc w:val="both"/>
      </w:pPr>
      <w:r w:rsidRPr="00B271DB">
        <w:rPr>
          <w:rFonts w:cs="Arial"/>
        </w:rPr>
        <w:t>Also</w:t>
      </w:r>
      <w:r w:rsidR="006D1A08">
        <w:rPr>
          <w:rFonts w:cs="Arial"/>
        </w:rPr>
        <w:t>,</w:t>
      </w:r>
      <w:r w:rsidRPr="00B271DB">
        <w:rPr>
          <w:rFonts w:cs="Arial"/>
        </w:rPr>
        <w:t xml:space="preserve"> describe how</w:t>
      </w:r>
      <w:r w:rsidR="0069127F">
        <w:rPr>
          <w:rFonts w:cs="Arial"/>
        </w:rPr>
        <w:t xml:space="preserve"> </w:t>
      </w:r>
      <w:r w:rsidR="00411CF4" w:rsidRPr="00411CF4">
        <w:rPr>
          <w:rFonts w:cs="Arial"/>
        </w:rPr>
        <w:t>(</w:t>
      </w:r>
      <w:r w:rsidR="0069127F" w:rsidRPr="00411CF4">
        <w:rPr>
          <w:rFonts w:cs="Arial"/>
        </w:rPr>
        <w:t>i)</w:t>
      </w:r>
      <w:r w:rsidRPr="0096146C">
        <w:rPr>
          <w:rFonts w:cs="Arial"/>
          <w:b/>
        </w:rPr>
        <w:t xml:space="preserve"> </w:t>
      </w:r>
      <w:r w:rsidRPr="00B271DB">
        <w:rPr>
          <w:rFonts w:cs="Arial"/>
        </w:rPr>
        <w:t xml:space="preserve">national authorities will work to secure additional funding or new sources of </w:t>
      </w:r>
      <w:r w:rsidR="006D1A08">
        <w:rPr>
          <w:rFonts w:cs="Arial"/>
        </w:rPr>
        <w:t>funding</w:t>
      </w:r>
      <w:r w:rsidRPr="00B271DB">
        <w:rPr>
          <w:rFonts w:cs="Arial"/>
        </w:rPr>
        <w:t>, and</w:t>
      </w:r>
      <w:r w:rsidR="00411CF4">
        <w:rPr>
          <w:rFonts w:cs="Arial"/>
        </w:rPr>
        <w:t>/or</w:t>
      </w:r>
      <w:r w:rsidRPr="00B271DB">
        <w:rPr>
          <w:rFonts w:cs="Arial"/>
        </w:rPr>
        <w:t xml:space="preserve"> </w:t>
      </w:r>
      <w:r w:rsidR="00411CF4" w:rsidRPr="00411CF4">
        <w:rPr>
          <w:rFonts w:cs="Arial"/>
        </w:rPr>
        <w:t>(</w:t>
      </w:r>
      <w:r w:rsidR="0069127F" w:rsidRPr="00411CF4">
        <w:rPr>
          <w:rFonts w:cs="Arial"/>
        </w:rPr>
        <w:t>ii)</w:t>
      </w:r>
      <w:r w:rsidR="0069127F" w:rsidRPr="0096146C">
        <w:rPr>
          <w:rFonts w:cs="Arial"/>
          <w:b/>
        </w:rPr>
        <w:t xml:space="preserve"> </w:t>
      </w:r>
      <w:r w:rsidR="00B74DAA">
        <w:rPr>
          <w:rFonts w:cs="Arial"/>
        </w:rPr>
        <w:t>pursue efficiencies</w:t>
      </w:r>
      <w:r w:rsidRPr="00B271DB">
        <w:rPr>
          <w:rFonts w:cs="Arial"/>
        </w:rPr>
        <w:t xml:space="preserve"> to ensure sufficient support for key interventions, particularly those currently </w:t>
      </w:r>
      <w:r w:rsidR="006D1A08">
        <w:rPr>
          <w:rFonts w:cs="Arial"/>
        </w:rPr>
        <w:t>funded</w:t>
      </w:r>
      <w:r w:rsidR="006D1A08" w:rsidRPr="00B271DB">
        <w:rPr>
          <w:rFonts w:cs="Arial"/>
        </w:rPr>
        <w:t xml:space="preserve"> </w:t>
      </w:r>
      <w:r w:rsidRPr="00B271DB">
        <w:rPr>
          <w:rFonts w:cs="Arial"/>
        </w:rPr>
        <w:t>by the Global Fund</w:t>
      </w:r>
      <w:r w:rsidR="0069127F">
        <w:rPr>
          <w:rFonts w:cs="Arial"/>
        </w:rPr>
        <w:t>.</w:t>
      </w:r>
    </w:p>
    <w:p w14:paraId="63CE6929" w14:textId="77777777" w:rsidR="00BE0F0C" w:rsidRPr="00B271DB" w:rsidRDefault="00BE0F0C" w:rsidP="00882DC3">
      <w:pPr>
        <w:pStyle w:val="ListParagraph"/>
        <w:spacing w:after="0" w:line="260" w:lineRule="atLeast"/>
        <w:ind w:left="360"/>
        <w:jc w:val="both"/>
      </w:pPr>
    </w:p>
    <w:tbl>
      <w:tblPr>
        <w:tblStyle w:val="TableGrid"/>
        <w:tblW w:w="0" w:type="auto"/>
        <w:tblLook w:val="04A0" w:firstRow="1" w:lastRow="0" w:firstColumn="1" w:lastColumn="0" w:noHBand="0" w:noVBand="1"/>
      </w:tblPr>
      <w:tblGrid>
        <w:gridCol w:w="10456"/>
      </w:tblGrid>
      <w:tr w:rsidR="00485066" w:rsidRPr="00B271DB" w14:paraId="19E52BCF" w14:textId="77777777" w:rsidTr="005279BC">
        <w:tc>
          <w:tcPr>
            <w:tcW w:w="10790" w:type="dxa"/>
          </w:tcPr>
          <w:p w14:paraId="3162E4EF" w14:textId="77777777" w:rsidR="00A3449A" w:rsidRPr="002E2691" w:rsidRDefault="00A3449A" w:rsidP="00A3449A">
            <w:pPr>
              <w:jc w:val="both"/>
              <w:rPr>
                <w:rFonts w:cs="Arial"/>
                <w:sz w:val="20"/>
              </w:rPr>
            </w:pPr>
            <w:r w:rsidRPr="002E2691">
              <w:rPr>
                <w:rFonts w:cs="Arial"/>
                <w:sz w:val="20"/>
              </w:rPr>
              <w:t xml:space="preserve">The two NSPs for the TB and HIV control in 2021-2025 and the integration service approach are budgeted to accordingly plan available funding from domestic resources, to estimate the gap of uncovered interventions, to coordinate and mobilize additional funding – all that needed to support and sustain key services for KPs while ensuring targeted and efficient implementation of funding.  </w:t>
            </w:r>
          </w:p>
          <w:p w14:paraId="39F57D64" w14:textId="77777777" w:rsidR="00A3449A" w:rsidRPr="002E2691" w:rsidRDefault="00A3449A" w:rsidP="00A3449A">
            <w:pPr>
              <w:jc w:val="both"/>
              <w:rPr>
                <w:rFonts w:cs="Arial"/>
                <w:sz w:val="20"/>
              </w:rPr>
            </w:pPr>
            <w:r w:rsidRPr="002E2691">
              <w:rPr>
                <w:rFonts w:cs="Arial"/>
                <w:sz w:val="20"/>
              </w:rPr>
              <w:t xml:space="preserve">The Funding Landscape Table provides a detailed breakdown of estimated funding planned locally and needed to be secured from alternative/additional sources, including the GF allocation for 2021-2023.      </w:t>
            </w:r>
          </w:p>
          <w:p w14:paraId="19D833A1" w14:textId="77777777" w:rsidR="00A3449A" w:rsidRPr="002E2691" w:rsidRDefault="00A3449A" w:rsidP="00A3449A">
            <w:pPr>
              <w:jc w:val="both"/>
              <w:rPr>
                <w:rFonts w:cs="Arial"/>
                <w:sz w:val="20"/>
              </w:rPr>
            </w:pPr>
            <w:r w:rsidRPr="002E2691">
              <w:rPr>
                <w:rFonts w:cs="Arial"/>
                <w:sz w:val="20"/>
              </w:rPr>
              <w:t xml:space="preserve">In accordance with the next 5-year NTP and the MDR-TB- Treatment targets, the state budget will cover the MDR-TB treatment on the Right bank of Moldova for adults by: 314 in 2021 including 11 in penitentiary sector (55% of the need), 357 - in 2022, including 13 in penitentiary sector (65% of the need), and 399 in 2023 including 14 in penitentiary sector (75% of the need). </w:t>
            </w:r>
          </w:p>
          <w:p w14:paraId="16417A36" w14:textId="77777777" w:rsidR="00A3449A" w:rsidRPr="002E2691" w:rsidRDefault="00A3449A" w:rsidP="00A3449A">
            <w:pPr>
              <w:jc w:val="both"/>
              <w:rPr>
                <w:rFonts w:cs="Arial"/>
                <w:sz w:val="20"/>
              </w:rPr>
            </w:pPr>
            <w:r w:rsidRPr="002E2691">
              <w:rPr>
                <w:rFonts w:cs="Arial"/>
                <w:sz w:val="20"/>
              </w:rPr>
              <w:lastRenderedPageBreak/>
              <w:t xml:space="preserve">TGF funding shall be used to contribute to adherence support services for key populations and problematic patients. The targets for which TGF partially contributes have been tied to the domestic resources. </w:t>
            </w:r>
          </w:p>
          <w:p w14:paraId="68FA3179" w14:textId="77777777" w:rsidR="00A3449A" w:rsidRPr="002E2691" w:rsidRDefault="00A3449A" w:rsidP="00A3449A">
            <w:pPr>
              <w:spacing w:after="0" w:line="240" w:lineRule="auto"/>
              <w:jc w:val="both"/>
              <w:rPr>
                <w:rFonts w:cs="Arial"/>
                <w:sz w:val="20"/>
              </w:rPr>
            </w:pPr>
            <w:r w:rsidRPr="002E2691">
              <w:rPr>
                <w:rFonts w:cs="Arial"/>
                <w:sz w:val="20"/>
              </w:rPr>
              <w:t xml:space="preserve">The total number of MDR-TB patients to get treatment with TGF support: </w:t>
            </w:r>
          </w:p>
          <w:p w14:paraId="6148D036" w14:textId="1D9DECDE" w:rsidR="00A3449A" w:rsidRPr="002E2691" w:rsidRDefault="00A3449A" w:rsidP="00A3449A">
            <w:pPr>
              <w:spacing w:after="0" w:line="240" w:lineRule="auto"/>
              <w:jc w:val="both"/>
              <w:rPr>
                <w:rFonts w:cs="Arial"/>
                <w:sz w:val="20"/>
              </w:rPr>
            </w:pPr>
            <w:r w:rsidRPr="002E2691">
              <w:rPr>
                <w:rFonts w:cs="Arial"/>
                <w:sz w:val="20"/>
              </w:rPr>
              <w:t>- for children (right and left banks) - 24 in 2021, 23 in 2022 and 22 in 2023 (100%</w:t>
            </w:r>
            <w:r w:rsidR="002E2691">
              <w:rPr>
                <w:rFonts w:cs="Arial"/>
                <w:sz w:val="20"/>
              </w:rPr>
              <w:t xml:space="preserve"> </w:t>
            </w:r>
            <w:r w:rsidRPr="002E2691">
              <w:rPr>
                <w:rFonts w:cs="Arial"/>
                <w:sz w:val="20"/>
              </w:rPr>
              <w:t>of needs)</w:t>
            </w:r>
          </w:p>
          <w:p w14:paraId="41689EFA" w14:textId="77777777" w:rsidR="00A3449A" w:rsidRPr="002E2691" w:rsidRDefault="00A3449A" w:rsidP="00A3449A">
            <w:pPr>
              <w:spacing w:after="0" w:line="240" w:lineRule="auto"/>
              <w:jc w:val="both"/>
              <w:rPr>
                <w:rFonts w:cs="Arial"/>
                <w:sz w:val="20"/>
              </w:rPr>
            </w:pPr>
            <w:r w:rsidRPr="002E2691">
              <w:rPr>
                <w:rFonts w:cs="Arial"/>
                <w:sz w:val="20"/>
              </w:rPr>
              <w:t xml:space="preserve">- on the left bank (adults in civil sector and penitentiaries): 334 in 2021, 328 in 2022 and 324 in 2023 (100% of the need). </w:t>
            </w:r>
          </w:p>
          <w:p w14:paraId="65A7C438" w14:textId="77777777" w:rsidR="00A3449A" w:rsidRPr="002E2691" w:rsidRDefault="00A3449A" w:rsidP="00A3449A">
            <w:pPr>
              <w:spacing w:after="0" w:line="240" w:lineRule="auto"/>
              <w:jc w:val="both"/>
              <w:rPr>
                <w:rFonts w:cs="Arial"/>
                <w:sz w:val="20"/>
              </w:rPr>
            </w:pPr>
          </w:p>
          <w:p w14:paraId="701F8BA8" w14:textId="77777777" w:rsidR="00A3449A" w:rsidRPr="002E2691" w:rsidRDefault="00A3449A" w:rsidP="00A3449A">
            <w:pPr>
              <w:jc w:val="both"/>
              <w:rPr>
                <w:rFonts w:cs="Arial"/>
                <w:sz w:val="20"/>
              </w:rPr>
            </w:pPr>
            <w:r w:rsidRPr="002E2691">
              <w:rPr>
                <w:rFonts w:cs="Arial"/>
                <w:sz w:val="20"/>
              </w:rPr>
              <w:t>TGF also fully supports adherence support services for for key populations and problematic patients with TB (homeless, PAFA, others) and TB patients from left bank.</w:t>
            </w:r>
          </w:p>
          <w:p w14:paraId="053D9AC7" w14:textId="54E766FD" w:rsidR="00A3449A" w:rsidRDefault="00A3449A" w:rsidP="00A3449A">
            <w:pPr>
              <w:jc w:val="both"/>
              <w:rPr>
                <w:rFonts w:cs="Arial"/>
                <w:sz w:val="20"/>
              </w:rPr>
            </w:pPr>
            <w:r w:rsidRPr="002E2691">
              <w:rPr>
                <w:rFonts w:cs="Arial"/>
                <w:sz w:val="20"/>
              </w:rPr>
              <w:t>For the Programmatic Gap Table, the targets for which TGF partially contributes have been tied to the domestic resources.</w:t>
            </w:r>
          </w:p>
          <w:p w14:paraId="276789C1" w14:textId="77777777" w:rsidR="00A3449A" w:rsidRPr="002E2691" w:rsidRDefault="00A3449A" w:rsidP="00A3449A">
            <w:pPr>
              <w:jc w:val="both"/>
              <w:rPr>
                <w:rFonts w:cs="Arial"/>
                <w:sz w:val="20"/>
              </w:rPr>
            </w:pPr>
            <w:r w:rsidRPr="002E2691">
              <w:rPr>
                <w:rFonts w:cs="Arial"/>
                <w:sz w:val="20"/>
              </w:rPr>
              <w:t>For the HIV control, the targets set-up for prevention programs in key populations, including differentiated HIV testing services, shall be financially covered as follows:</w:t>
            </w:r>
          </w:p>
          <w:p w14:paraId="4A1C7333" w14:textId="77777777" w:rsidR="00A3449A" w:rsidRPr="002E2691" w:rsidRDefault="00A3449A" w:rsidP="00326A6B">
            <w:pPr>
              <w:pStyle w:val="ListParagraph"/>
              <w:numPr>
                <w:ilvl w:val="0"/>
                <w:numId w:val="65"/>
              </w:numPr>
              <w:jc w:val="both"/>
              <w:rPr>
                <w:rFonts w:cs="Arial"/>
                <w:sz w:val="20"/>
              </w:rPr>
            </w:pPr>
            <w:r w:rsidRPr="002E2691">
              <w:rPr>
                <w:rFonts w:cs="Arial"/>
                <w:i/>
                <w:iCs/>
                <w:sz w:val="20"/>
              </w:rPr>
              <w:t>Based on the estimated population of 17 100 MSM</w:t>
            </w:r>
            <w:r w:rsidRPr="002E2691">
              <w:rPr>
                <w:rFonts w:cs="Arial"/>
                <w:sz w:val="20"/>
              </w:rPr>
              <w:t xml:space="preserve"> (including 4100 from in Transnistria region), provision of preventive services for MSM in Moldova will be covered by state budget for 975 (25% of target) people in 2021, 1365 (30% of target) - in 2022 and 1820 (35% of target) in 2023 on the right bank of Nistru river. The total number of MSM to be fully covered with preventive services with TGF support include: 4,155 in 2021, 4,620 in 2022 and 5,020 in 2023. TGF shall contribute to preventive services with tests (for HIV, Hepatitis, STI, etc.) for 3,694 MSM in 2021, 4309 beneficiaries in 2022 covering all needs, and 1570 people in 2023 when TGF will cover only the need for Transnistria region (30% of all need). </w:t>
            </w:r>
          </w:p>
          <w:p w14:paraId="407C4D4F" w14:textId="447E2197" w:rsidR="00A3449A" w:rsidRPr="002E2691" w:rsidRDefault="00A3449A" w:rsidP="00326A6B">
            <w:pPr>
              <w:pStyle w:val="ListParagraph"/>
              <w:numPr>
                <w:ilvl w:val="0"/>
                <w:numId w:val="65"/>
              </w:numPr>
              <w:jc w:val="both"/>
              <w:rPr>
                <w:rFonts w:cs="Arial"/>
                <w:sz w:val="20"/>
              </w:rPr>
            </w:pPr>
            <w:r w:rsidRPr="002E2691">
              <w:rPr>
                <w:rFonts w:cs="Arial"/>
                <w:sz w:val="20"/>
              </w:rPr>
              <w:t>Given the estimated population size of 36,9000 IDUs (including 10,800 - in Transnistria region), provision of preventive services for PWID in Moldova will be covered by state budget for 3020 (25%) people in civilian sector in 2021, 4540, including 554 PWID from prisons (30%) - in 2022 and 5906, including 832 PWID from prisons (35%) in 2023 on the right bank of Nistru river. The total number of PWID to be fully covered with preventive services with TGF support include: 16,816 (75% of national targets for right bank, 100% for Transnistria region and penitentiaries) in 2021; 17,002 (70% of national targets for right bank, 100% for Transnistria region and 80% of targets for penitentiaries) in 2022 and 17,343 (65% of national targets for right bank, 100% for Transnistria region and 70%of targets for penitentiaries) in 2023. TGF contributes to preventive services with tests (for HIV, Hepatitis, STI, etc.) for 10921 PWID in 2021, 12013 beneficiaries in 2022 covering all needs, and 4</w:t>
            </w:r>
            <w:r w:rsidR="002E2691">
              <w:rPr>
                <w:rFonts w:cs="Arial"/>
                <w:sz w:val="20"/>
              </w:rPr>
              <w:t>,</w:t>
            </w:r>
            <w:r w:rsidRPr="002E2691">
              <w:rPr>
                <w:rFonts w:cs="Arial"/>
                <w:sz w:val="20"/>
              </w:rPr>
              <w:t>177 people in 2023 when TGF will cover only the need for Transnistria region (30% of all need).</w:t>
            </w:r>
          </w:p>
          <w:p w14:paraId="7BAEAB1C" w14:textId="277F3E35" w:rsidR="00A3449A" w:rsidRPr="002E2691" w:rsidRDefault="00A3449A" w:rsidP="00326A6B">
            <w:pPr>
              <w:pStyle w:val="ListParagraph"/>
              <w:numPr>
                <w:ilvl w:val="0"/>
                <w:numId w:val="65"/>
              </w:numPr>
              <w:jc w:val="both"/>
              <w:rPr>
                <w:rFonts w:cs="Arial"/>
                <w:sz w:val="20"/>
              </w:rPr>
            </w:pPr>
            <w:r w:rsidRPr="002E2691">
              <w:rPr>
                <w:rFonts w:cs="Arial"/>
                <w:i/>
                <w:iCs/>
                <w:sz w:val="20"/>
              </w:rPr>
              <w:t>From the total estimated population size of 21,300 CWs</w:t>
            </w:r>
            <w:r w:rsidRPr="002E2691">
              <w:rPr>
                <w:rFonts w:cs="Arial"/>
                <w:sz w:val="20"/>
              </w:rPr>
              <w:t xml:space="preserve"> (including 3500 in Transnistria region), provision of preventive services for SWs in Moldova will be covered by state budget for 1780 (25%) people in 2021, 2403 (30%) - in 2022 and 3115 (35%) in 2023 on the right bank of Nistru river. The total number of SW to be fully covered with preventive services with TGF support include: 6,740 (75% of national targets for right bank and 100% for Transnistria region) in 2021, 7,182 (70% of national targets for right bank and</w:t>
            </w:r>
            <w:r w:rsidR="002E2691">
              <w:rPr>
                <w:rFonts w:cs="Arial"/>
                <w:sz w:val="20"/>
              </w:rPr>
              <w:t xml:space="preserve"> 100% for Transnistria region) </w:t>
            </w:r>
            <w:r w:rsidRPr="002E2691">
              <w:rPr>
                <w:rFonts w:cs="Arial"/>
                <w:sz w:val="20"/>
              </w:rPr>
              <w:t>in 2022 and 7,535 (65% of national targets for right bank and 100% for Transnistria region) in 2023. TGF contributes to preventive services with tests (for HIV, Hepatitis, STI, etc.). TGF will contribute to preventive services with tests (for HIV, Hepatitis, STI, etc.) for 5453 SWs in 2021, 6134 beneficiaries in 2022 covering all needs, and 2172 people in 2023 when TGF will cover only the need for Transnistria region (30% of all need)</w:t>
            </w:r>
          </w:p>
          <w:p w14:paraId="20DF3C02" w14:textId="77777777" w:rsidR="00A3449A" w:rsidRPr="002E2691" w:rsidRDefault="00A3449A" w:rsidP="00A3449A">
            <w:pPr>
              <w:spacing w:after="0" w:line="240" w:lineRule="auto"/>
              <w:rPr>
                <w:rFonts w:ascii="Times New Roman" w:hAnsi="Times New Roman" w:cs="Times New Roman"/>
                <w:sz w:val="20"/>
                <w:szCs w:val="24"/>
              </w:rPr>
            </w:pPr>
            <w:r w:rsidRPr="002E2691">
              <w:rPr>
                <w:rFonts w:cs="Arial"/>
                <w:sz w:val="20"/>
              </w:rPr>
              <w:t>In an effort to minimize the impact of the funding gap, the national authorities are strategically working to mobilize resources from regional budgets, while also planning some interventions under the PAAR mechanism.</w:t>
            </w:r>
            <w:r w:rsidRPr="002E2691">
              <w:rPr>
                <w:rFonts w:ascii="Times New Roman" w:hAnsi="Times New Roman" w:cs="Times New Roman"/>
                <w:sz w:val="20"/>
                <w:szCs w:val="24"/>
              </w:rPr>
              <w:t xml:space="preserve"> </w:t>
            </w:r>
          </w:p>
          <w:p w14:paraId="04B92FB5" w14:textId="03ADA59F" w:rsidR="002E2691" w:rsidRPr="002E2691" w:rsidRDefault="00B84958" w:rsidP="00B84958">
            <w:pPr>
              <w:jc w:val="both"/>
              <w:rPr>
                <w:rFonts w:cs="Arial"/>
                <w:sz w:val="20"/>
              </w:rPr>
            </w:pPr>
            <w:r w:rsidRPr="002E2691">
              <w:rPr>
                <w:rFonts w:cs="Arial"/>
                <w:color w:val="FF0000"/>
                <w:sz w:val="20"/>
                <w:highlight w:val="yellow"/>
              </w:rPr>
              <w:t xml:space="preserve">TO UPDATE BASED ON FINAL </w:t>
            </w:r>
            <w:r w:rsidRPr="00B84958">
              <w:rPr>
                <w:rFonts w:cs="Arial"/>
                <w:color w:val="FF0000"/>
                <w:sz w:val="20"/>
                <w:highlight w:val="yellow"/>
              </w:rPr>
              <w:t>BUDGETS OF NSP TB AND HIV</w:t>
            </w:r>
          </w:p>
        </w:tc>
      </w:tr>
    </w:tbl>
    <w:p w14:paraId="07CE579B" w14:textId="77777777" w:rsidR="00485066" w:rsidRPr="00B271DB" w:rsidRDefault="00485066" w:rsidP="00485066">
      <w:pPr>
        <w:spacing w:after="0"/>
        <w:jc w:val="both"/>
        <w:rPr>
          <w:rFonts w:eastAsia="Times New Roman" w:cs="Arial"/>
        </w:rPr>
      </w:pPr>
    </w:p>
    <w:p w14:paraId="2FCAC622" w14:textId="645E18EA" w:rsidR="00AE7A47" w:rsidRDefault="00485066" w:rsidP="00F42E40">
      <w:pPr>
        <w:pStyle w:val="ListParagraph"/>
        <w:numPr>
          <w:ilvl w:val="0"/>
          <w:numId w:val="22"/>
        </w:numPr>
        <w:spacing w:after="0" w:line="260" w:lineRule="atLeast"/>
        <w:jc w:val="both"/>
      </w:pPr>
      <w:r w:rsidRPr="00B271DB">
        <w:t xml:space="preserve">Highlight </w:t>
      </w:r>
      <w:r w:rsidRPr="0096146C">
        <w:rPr>
          <w:b/>
        </w:rPr>
        <w:t>challenges</w:t>
      </w:r>
      <w:r w:rsidRPr="00B271DB">
        <w:t xml:space="preserve"> related to sustainability</w:t>
      </w:r>
      <w:r w:rsidR="00A76BD8">
        <w:t xml:space="preserve"> (see indicative list in the </w:t>
      </w:r>
      <w:r w:rsidR="00A76BD8" w:rsidRPr="00B2724B">
        <w:rPr>
          <w:i/>
        </w:rPr>
        <w:t>Instructions</w:t>
      </w:r>
      <w:r w:rsidR="00A76BD8">
        <w:t>)</w:t>
      </w:r>
      <w:r w:rsidRPr="00B271DB">
        <w:t>.</w:t>
      </w:r>
      <w:r w:rsidR="00A76BD8" w:rsidRPr="00A76BD8">
        <w:t xml:space="preserve"> </w:t>
      </w:r>
      <w:r w:rsidR="00A76BD8">
        <w:t xml:space="preserve">Explain how these challenges will be addressed either through </w:t>
      </w:r>
      <w:r w:rsidR="00B74DAA">
        <w:t xml:space="preserve">this </w:t>
      </w:r>
      <w:r w:rsidR="00A76BD8">
        <w:t>funding request or other sources.</w:t>
      </w:r>
      <w:r w:rsidRPr="00B271DB">
        <w:t xml:space="preserve"> </w:t>
      </w:r>
      <w:r w:rsidR="00AE7A47" w:rsidRPr="005305D5">
        <w:t>If already described in the national strategy, sustainability and/or transition plan, and/or other documentation submitted with the funding request, refer to relevant sections</w:t>
      </w:r>
      <w:r w:rsidR="00084B50">
        <w:t xml:space="preserve"> of those documents</w:t>
      </w:r>
      <w:r w:rsidR="00AE7A47">
        <w:t>.</w:t>
      </w:r>
    </w:p>
    <w:p w14:paraId="120379A7" w14:textId="44952B9B" w:rsidR="00485066" w:rsidRPr="00B271DB" w:rsidRDefault="00485066" w:rsidP="001F7F10">
      <w:pPr>
        <w:pStyle w:val="ListParagraph"/>
        <w:spacing w:after="0" w:line="260" w:lineRule="atLeast"/>
        <w:ind w:left="360"/>
        <w:jc w:val="both"/>
      </w:pPr>
    </w:p>
    <w:tbl>
      <w:tblPr>
        <w:tblStyle w:val="TableGrid"/>
        <w:tblW w:w="0" w:type="auto"/>
        <w:tblLook w:val="04A0" w:firstRow="1" w:lastRow="0" w:firstColumn="1" w:lastColumn="0" w:noHBand="0" w:noVBand="1"/>
      </w:tblPr>
      <w:tblGrid>
        <w:gridCol w:w="10456"/>
      </w:tblGrid>
      <w:tr w:rsidR="005E6229" w:rsidRPr="00B271DB" w14:paraId="7030BF11" w14:textId="77777777" w:rsidTr="005279BC">
        <w:tc>
          <w:tcPr>
            <w:tcW w:w="10790" w:type="dxa"/>
          </w:tcPr>
          <w:p w14:paraId="0BBBF7AA" w14:textId="77777777" w:rsidR="005E6229" w:rsidRPr="00B271DB" w:rsidRDefault="005E6229" w:rsidP="005279BC">
            <w:pPr>
              <w:rPr>
                <w:rFonts w:cs="Arial"/>
              </w:rPr>
            </w:pPr>
            <w:r w:rsidRPr="00B271DB">
              <w:rPr>
                <w:rFonts w:cs="Arial"/>
              </w:rPr>
              <w:t>[Applicant response]</w:t>
            </w:r>
          </w:p>
          <w:p w14:paraId="4F67F4D7" w14:textId="317B39E1" w:rsidR="005E6229" w:rsidRPr="00B271DB" w:rsidRDefault="00B84958" w:rsidP="005279BC">
            <w:pPr>
              <w:rPr>
                <w:rFonts w:cs="Arial"/>
              </w:rPr>
            </w:pPr>
            <w:r w:rsidRPr="00B84958">
              <w:rPr>
                <w:rFonts w:cs="Arial"/>
                <w:highlight w:val="yellow"/>
              </w:rPr>
              <w:t>WORK IN PROGRESS</w:t>
            </w:r>
          </w:p>
        </w:tc>
      </w:tr>
    </w:tbl>
    <w:p w14:paraId="191ED7DA" w14:textId="77777777" w:rsidR="005E6229" w:rsidRPr="00B271DB" w:rsidRDefault="005E6229" w:rsidP="005E6229">
      <w:pPr>
        <w:pStyle w:val="ListParagraph"/>
        <w:ind w:left="360"/>
      </w:pPr>
    </w:p>
    <w:p w14:paraId="6228BDE3" w14:textId="14BC6B03" w:rsidR="00485066" w:rsidRPr="007364E8" w:rsidRDefault="00D2174E" w:rsidP="00F42E40">
      <w:pPr>
        <w:pStyle w:val="ListParagraph"/>
        <w:numPr>
          <w:ilvl w:val="0"/>
          <w:numId w:val="22"/>
        </w:numPr>
        <w:spacing w:after="160" w:line="260" w:lineRule="atLeast"/>
        <w:jc w:val="both"/>
      </w:pPr>
      <w:r w:rsidRPr="007364E8">
        <w:t>If you have developed and impl</w:t>
      </w:r>
      <w:r w:rsidR="006931FE" w:rsidRPr="007364E8">
        <w:t>emented a t</w:t>
      </w:r>
      <w:r w:rsidRPr="007364E8">
        <w:t xml:space="preserve">ransition </w:t>
      </w:r>
      <w:r w:rsidR="006931FE" w:rsidRPr="007364E8">
        <w:t>w</w:t>
      </w:r>
      <w:r w:rsidRPr="007364E8">
        <w:t xml:space="preserve">orkplan in the </w:t>
      </w:r>
      <w:r w:rsidR="00263E19" w:rsidRPr="007364E8">
        <w:t>current</w:t>
      </w:r>
      <w:r w:rsidRPr="007364E8">
        <w:t xml:space="preserve"> </w:t>
      </w:r>
      <w:r w:rsidR="00AE7A47" w:rsidRPr="007364E8">
        <w:t xml:space="preserve">allocation </w:t>
      </w:r>
      <w:r w:rsidRPr="007364E8">
        <w:t>cycle, provide a status</w:t>
      </w:r>
      <w:r w:rsidRPr="007364E8">
        <w:rPr>
          <w:b/>
        </w:rPr>
        <w:t xml:space="preserve"> update</w:t>
      </w:r>
      <w:r w:rsidRPr="007364E8">
        <w:t xml:space="preserve"> as to what </w:t>
      </w:r>
      <w:r w:rsidR="00AE7A47" w:rsidRPr="007364E8">
        <w:t>has been</w:t>
      </w:r>
      <w:r w:rsidRPr="007364E8">
        <w:t xml:space="preserve"> achieved.</w:t>
      </w:r>
    </w:p>
    <w:p w14:paraId="0DFEC9C8" w14:textId="77777777" w:rsidR="00485066" w:rsidRPr="00B271DB" w:rsidRDefault="00485066" w:rsidP="00485066">
      <w:pPr>
        <w:pStyle w:val="ListParagraph"/>
        <w:spacing w:before="120" w:after="0" w:line="240" w:lineRule="auto"/>
        <w:ind w:left="0"/>
        <w:jc w:val="both"/>
        <w:rPr>
          <w:rFonts w:cs="Arial"/>
          <w:bCs/>
          <w:iCs/>
        </w:rPr>
      </w:pPr>
    </w:p>
    <w:tbl>
      <w:tblPr>
        <w:tblStyle w:val="TableGrid"/>
        <w:tblW w:w="0" w:type="auto"/>
        <w:tblLook w:val="04A0" w:firstRow="1" w:lastRow="0" w:firstColumn="1" w:lastColumn="0" w:noHBand="0" w:noVBand="1"/>
      </w:tblPr>
      <w:tblGrid>
        <w:gridCol w:w="10456"/>
      </w:tblGrid>
      <w:tr w:rsidR="00485066" w:rsidRPr="00B271DB" w14:paraId="6B5C2BAD" w14:textId="77777777" w:rsidTr="005279BC">
        <w:tc>
          <w:tcPr>
            <w:tcW w:w="10790" w:type="dxa"/>
          </w:tcPr>
          <w:p w14:paraId="794843FE" w14:textId="77777777" w:rsidR="00C71542" w:rsidRPr="007F53E8" w:rsidRDefault="00C71542" w:rsidP="00C71542">
            <w:pPr>
              <w:jc w:val="both"/>
              <w:rPr>
                <w:rFonts w:cs="Arial"/>
              </w:rPr>
            </w:pPr>
            <w:r w:rsidRPr="007F53E8">
              <w:rPr>
                <w:rFonts w:cs="Arial"/>
              </w:rPr>
              <w:lastRenderedPageBreak/>
              <w:t xml:space="preserve">The National HIV and TB Programs for the years 2016-2020 were approved with a considerable, cca 45% deficit estimated for the implementation of programed objectives and interventions. Part of that funding shortage is covered from external sources, especially from FG grants. </w:t>
            </w:r>
          </w:p>
          <w:p w14:paraId="64657184" w14:textId="77777777" w:rsidR="00C71542" w:rsidRPr="007F53E8" w:rsidRDefault="00C71542" w:rsidP="00C71542">
            <w:pPr>
              <w:jc w:val="both"/>
              <w:rPr>
                <w:rFonts w:cs="Arial"/>
              </w:rPr>
            </w:pPr>
            <w:r w:rsidRPr="007F53E8">
              <w:rPr>
                <w:rFonts w:cs="Arial"/>
              </w:rPr>
              <w:t>In order to respond to regulatory and financial constraints, as well as resource deficits, coordination, and programmatic challenges, the TB and HIV stakeholders developed in a nation-wide and inclusive country dialogue and the CCM endorsed, on March 15, 2017, a Sustainability Plan per each five-year NSP. The Sustainability Plans include those activities, which at the time of elaboration were financed from external sources. Both plans were developed taking into account the conclusions and recommendations of the Transition Readiness Assessment conducted in 2016.</w:t>
            </w:r>
          </w:p>
          <w:p w14:paraId="22C0B3BD" w14:textId="77777777" w:rsidR="00C71542" w:rsidRPr="007F53E8" w:rsidRDefault="00C71542" w:rsidP="00C71542">
            <w:pPr>
              <w:spacing w:after="0" w:line="240" w:lineRule="auto"/>
              <w:jc w:val="both"/>
              <w:rPr>
                <w:rFonts w:cs="Arial"/>
              </w:rPr>
            </w:pPr>
            <w:r w:rsidRPr="007F53E8">
              <w:rPr>
                <w:rFonts w:cs="Arial"/>
              </w:rPr>
              <w:t>The TB and HIV Sustainability Plans objectives are aligned to the NSPs 2016-2020 and target the following key pillars:</w:t>
            </w:r>
          </w:p>
          <w:p w14:paraId="55BC2AE2" w14:textId="77777777" w:rsidR="00C71542" w:rsidRPr="007F53E8" w:rsidRDefault="00C71542" w:rsidP="00C71542">
            <w:pPr>
              <w:pStyle w:val="ListParagraph"/>
              <w:numPr>
                <w:ilvl w:val="0"/>
                <w:numId w:val="83"/>
              </w:numPr>
              <w:spacing w:after="0" w:line="240" w:lineRule="auto"/>
              <w:jc w:val="both"/>
              <w:rPr>
                <w:rFonts w:cs="Arial"/>
              </w:rPr>
            </w:pPr>
            <w:r w:rsidRPr="007F53E8">
              <w:rPr>
                <w:rFonts w:cs="Arial"/>
              </w:rPr>
              <w:t xml:space="preserve">Strengthen policies, practices and capacities to ensure effective control of tuberculosis for sustainable implementation. </w:t>
            </w:r>
          </w:p>
          <w:p w14:paraId="2EC5F60C" w14:textId="77777777" w:rsidR="00C71542" w:rsidRPr="007F53E8" w:rsidRDefault="00C71542" w:rsidP="00C71542">
            <w:pPr>
              <w:pStyle w:val="ListParagraph"/>
              <w:numPr>
                <w:ilvl w:val="0"/>
                <w:numId w:val="83"/>
              </w:numPr>
              <w:jc w:val="both"/>
              <w:rPr>
                <w:rFonts w:cs="Arial"/>
              </w:rPr>
            </w:pPr>
            <w:r w:rsidRPr="007F53E8">
              <w:rPr>
                <w:rFonts w:cs="Arial"/>
              </w:rPr>
              <w:t>Ensuring the sustainability of universal access to quality prevention, diagnosis and treatment services and the application of patient-centered strategic interventions.</w:t>
            </w:r>
          </w:p>
          <w:p w14:paraId="7B7CEAF2" w14:textId="77777777" w:rsidR="00C71542" w:rsidRPr="007F53E8" w:rsidRDefault="00C71542" w:rsidP="00C71542">
            <w:pPr>
              <w:pStyle w:val="ListParagraph"/>
              <w:numPr>
                <w:ilvl w:val="0"/>
                <w:numId w:val="83"/>
              </w:numPr>
              <w:jc w:val="both"/>
              <w:rPr>
                <w:rFonts w:cs="Arial"/>
              </w:rPr>
            </w:pPr>
            <w:r w:rsidRPr="007F53E8">
              <w:rPr>
                <w:rFonts w:cs="Arial"/>
              </w:rPr>
              <w:t xml:space="preserve">Improving policies, practices, capacities to ensure the sustainability of each NAP objective. </w:t>
            </w:r>
          </w:p>
          <w:p w14:paraId="024E35C9" w14:textId="77777777" w:rsidR="00C71542" w:rsidRPr="007F53E8" w:rsidRDefault="00C71542" w:rsidP="00C71542">
            <w:pPr>
              <w:pStyle w:val="ListParagraph"/>
              <w:numPr>
                <w:ilvl w:val="0"/>
                <w:numId w:val="83"/>
              </w:numPr>
              <w:jc w:val="both"/>
              <w:rPr>
                <w:rFonts w:cs="Arial"/>
              </w:rPr>
            </w:pPr>
            <w:r w:rsidRPr="007F53E8">
              <w:rPr>
                <w:rFonts w:cs="Arial"/>
              </w:rPr>
              <w:t xml:space="preserve">Budget arrangements to ensure transition of HIV/STIs services from external to national sources for each program objective. </w:t>
            </w:r>
          </w:p>
          <w:p w14:paraId="0D721AD7" w14:textId="77777777" w:rsidR="00C71542" w:rsidRPr="007F53E8" w:rsidRDefault="00C71542" w:rsidP="00C71542">
            <w:pPr>
              <w:jc w:val="both"/>
              <w:rPr>
                <w:rFonts w:cs="Arial"/>
              </w:rPr>
            </w:pPr>
            <w:r w:rsidRPr="007F53E8">
              <w:rPr>
                <w:rFonts w:cs="Arial"/>
              </w:rPr>
              <w:t>In accordance with the defined objectives, the government and non-state implementers of the sustainability plans succeeded in carrying an important number of key activities aiming to mitigate the funding shortages of the TB and HIV NSPs.</w:t>
            </w:r>
          </w:p>
          <w:p w14:paraId="6D7C7422" w14:textId="77777777" w:rsidR="00C71542" w:rsidRPr="007F53E8" w:rsidRDefault="00C71542" w:rsidP="00C71542">
            <w:pPr>
              <w:jc w:val="both"/>
              <w:rPr>
                <w:rFonts w:cs="Arial"/>
              </w:rPr>
            </w:pPr>
            <w:r w:rsidRPr="007F53E8">
              <w:rPr>
                <w:rFonts w:cs="Arial"/>
              </w:rPr>
              <w:t xml:space="preserve">In 2019, in an effort to better monitor the implementation of the two Sustainability plans, the Soros Foundation Moldova funded an assessment of the two plans. </w:t>
            </w:r>
          </w:p>
          <w:p w14:paraId="5A803EE0" w14:textId="77777777" w:rsidR="00C71542" w:rsidRPr="007F53E8" w:rsidRDefault="00C71542" w:rsidP="00C71542">
            <w:pPr>
              <w:jc w:val="both"/>
              <w:rPr>
                <w:rFonts w:cs="Arial"/>
              </w:rPr>
            </w:pPr>
            <w:r w:rsidRPr="007F53E8">
              <w:rPr>
                <w:rFonts w:cs="Arial"/>
              </w:rPr>
              <w:t>The assessment reports highlight specific conclusions and recommendations per each program objective. Thus, the Assessment Report on implementation of the TB Sustainability Plan concludes that interventions under the two objectives were implemented in proportion of cca 25%, worth noting here that a bulk of activities are under implemented in 2020. On the other hand, the interventions planned under the HIV Plan are implemented as following: the 1</w:t>
            </w:r>
            <w:r w:rsidRPr="007F53E8">
              <w:rPr>
                <w:rFonts w:cs="Arial"/>
                <w:vertAlign w:val="superscript"/>
              </w:rPr>
              <w:t>st</w:t>
            </w:r>
            <w:r w:rsidRPr="007F53E8">
              <w:rPr>
                <w:rFonts w:cs="Arial"/>
              </w:rPr>
              <w:t xml:space="preserve"> objective- in proportion of 75%; objective 2 – 50%; objective 3 – 37%. </w:t>
            </w:r>
          </w:p>
          <w:p w14:paraId="04F90167" w14:textId="77777777" w:rsidR="00C71542" w:rsidRPr="007F53E8" w:rsidRDefault="00C71542" w:rsidP="00C71542">
            <w:pPr>
              <w:jc w:val="both"/>
              <w:rPr>
                <w:rFonts w:cs="Arial"/>
              </w:rPr>
            </w:pPr>
            <w:r w:rsidRPr="007F53E8">
              <w:rPr>
                <w:rFonts w:cs="Arial"/>
              </w:rPr>
              <w:t xml:space="preserve">The two Assessment Reports recommend among others: </w:t>
            </w:r>
          </w:p>
          <w:p w14:paraId="5FB780B7" w14:textId="77777777" w:rsidR="00C71542" w:rsidRPr="007F53E8" w:rsidRDefault="00C71542" w:rsidP="00C71542">
            <w:pPr>
              <w:pStyle w:val="ListParagraph"/>
              <w:numPr>
                <w:ilvl w:val="0"/>
                <w:numId w:val="84"/>
              </w:numPr>
              <w:jc w:val="both"/>
              <w:rPr>
                <w:rFonts w:cs="Arial"/>
              </w:rPr>
            </w:pPr>
            <w:r w:rsidRPr="007F53E8">
              <w:rPr>
                <w:rFonts w:cs="Arial"/>
              </w:rPr>
              <w:t xml:space="preserve">Revision of two sustainability plans based on current situation and update the program priorities;   </w:t>
            </w:r>
          </w:p>
          <w:p w14:paraId="1DD1E471" w14:textId="77777777" w:rsidR="00C71542" w:rsidRPr="007F53E8" w:rsidRDefault="00C71542" w:rsidP="00C71542">
            <w:pPr>
              <w:pStyle w:val="ListParagraph"/>
              <w:numPr>
                <w:ilvl w:val="0"/>
                <w:numId w:val="84"/>
              </w:numPr>
              <w:jc w:val="both"/>
              <w:rPr>
                <w:rFonts w:cs="Arial"/>
              </w:rPr>
            </w:pPr>
            <w:r w:rsidRPr="007F53E8">
              <w:rPr>
                <w:rFonts w:cs="Arial"/>
              </w:rPr>
              <w:t xml:space="preserve">revision of costs for activities included in the Sustainability Plan in accordance with national legislation; </w:t>
            </w:r>
          </w:p>
          <w:p w14:paraId="1835957A" w14:textId="77777777" w:rsidR="00C71542" w:rsidRPr="007F53E8" w:rsidRDefault="00C71542" w:rsidP="00C71542">
            <w:pPr>
              <w:pStyle w:val="ListParagraph"/>
              <w:numPr>
                <w:ilvl w:val="0"/>
                <w:numId w:val="84"/>
              </w:numPr>
              <w:jc w:val="both"/>
              <w:rPr>
                <w:rFonts w:cs="Arial"/>
              </w:rPr>
            </w:pPr>
            <w:r w:rsidRPr="007F53E8">
              <w:rPr>
                <w:rFonts w:cs="Arial"/>
              </w:rPr>
              <w:t xml:space="preserve">approval of sustainability plan for internal financing and its endorsement by the Government of the Republic of Moldova; </w:t>
            </w:r>
          </w:p>
          <w:p w14:paraId="5AB4154D" w14:textId="77777777" w:rsidR="00C71542" w:rsidRPr="007F53E8" w:rsidRDefault="00C71542" w:rsidP="00C71542">
            <w:pPr>
              <w:pStyle w:val="ListParagraph"/>
              <w:numPr>
                <w:ilvl w:val="0"/>
                <w:numId w:val="84"/>
              </w:numPr>
              <w:jc w:val="both"/>
              <w:rPr>
                <w:rFonts w:cs="Arial"/>
              </w:rPr>
            </w:pPr>
            <w:r w:rsidRPr="007F53E8">
              <w:rPr>
                <w:rFonts w:cs="Arial"/>
              </w:rPr>
              <w:t xml:space="preserve">establishment of a system for monitoring for the implementation of the sustainability plan; </w:t>
            </w:r>
          </w:p>
          <w:p w14:paraId="49A21CB7" w14:textId="77777777" w:rsidR="00C71542" w:rsidRPr="007F53E8" w:rsidRDefault="00C71542" w:rsidP="00C71542">
            <w:pPr>
              <w:pStyle w:val="ListParagraph"/>
              <w:numPr>
                <w:ilvl w:val="0"/>
                <w:numId w:val="84"/>
              </w:numPr>
              <w:jc w:val="both"/>
              <w:rPr>
                <w:rFonts w:cs="Arial"/>
              </w:rPr>
            </w:pPr>
            <w:r w:rsidRPr="007F53E8">
              <w:rPr>
                <w:rFonts w:cs="Arial"/>
              </w:rPr>
              <w:t xml:space="preserve">development of a national health account for the "Tuberculosis" component; </w:t>
            </w:r>
          </w:p>
          <w:p w14:paraId="6B3467FA" w14:textId="77777777" w:rsidR="00C71542" w:rsidRPr="007F53E8" w:rsidRDefault="00C71542" w:rsidP="00C71542">
            <w:pPr>
              <w:pStyle w:val="ListParagraph"/>
              <w:numPr>
                <w:ilvl w:val="0"/>
                <w:numId w:val="84"/>
              </w:numPr>
              <w:jc w:val="both"/>
              <w:rPr>
                <w:rFonts w:cs="Arial"/>
              </w:rPr>
            </w:pPr>
            <w:r w:rsidRPr="007F53E8">
              <w:rPr>
                <w:rFonts w:cs="Arial"/>
              </w:rPr>
              <w:t xml:space="preserve">implementation of a mechanism for redirecting the funds released as a result of optimizing the number of tuberculosis beds to the development of outpatient treatment; </w:t>
            </w:r>
          </w:p>
          <w:p w14:paraId="5485D74F" w14:textId="77777777" w:rsidR="00C71542" w:rsidRPr="007F53E8" w:rsidRDefault="00C71542" w:rsidP="00C71542">
            <w:pPr>
              <w:pStyle w:val="ListParagraph"/>
              <w:numPr>
                <w:ilvl w:val="0"/>
                <w:numId w:val="84"/>
              </w:numPr>
              <w:jc w:val="both"/>
              <w:rPr>
                <w:rFonts w:cs="Arial"/>
              </w:rPr>
            </w:pPr>
            <w:r w:rsidRPr="007F53E8">
              <w:rPr>
                <w:rFonts w:cs="Arial"/>
              </w:rPr>
              <w:t>review of the social contracting regulations and development of a mechanism for the financial accountability of the NHIC on contracting NGO services, as well as identification of alternative funding pools for contracting prevention and treatment support services;</w:t>
            </w:r>
          </w:p>
          <w:p w14:paraId="2DA1C459" w14:textId="77777777" w:rsidR="00C71542" w:rsidRPr="007F53E8" w:rsidRDefault="00C71542" w:rsidP="00C71542">
            <w:pPr>
              <w:pStyle w:val="ListParagraph"/>
              <w:numPr>
                <w:ilvl w:val="0"/>
                <w:numId w:val="84"/>
              </w:numPr>
              <w:jc w:val="both"/>
              <w:rPr>
                <w:rFonts w:cs="Arial"/>
              </w:rPr>
            </w:pPr>
            <w:r w:rsidRPr="007F53E8">
              <w:rPr>
                <w:rFonts w:cs="Arial"/>
              </w:rPr>
              <w:t xml:space="preserve">allocation of adequate budgetary funds to support the activity of the PNCT Coordination Department and the continuation of M&amp;E; </w:t>
            </w:r>
          </w:p>
          <w:p w14:paraId="31F64B39" w14:textId="77777777" w:rsidR="00C71542" w:rsidRPr="007F53E8" w:rsidRDefault="00C71542" w:rsidP="00C71542">
            <w:pPr>
              <w:pStyle w:val="ListParagraph"/>
              <w:numPr>
                <w:ilvl w:val="0"/>
                <w:numId w:val="84"/>
              </w:numPr>
              <w:jc w:val="both"/>
              <w:rPr>
                <w:rFonts w:cs="Arial"/>
              </w:rPr>
            </w:pPr>
            <w:r w:rsidRPr="007F53E8">
              <w:rPr>
                <w:rFonts w:cs="Arial"/>
              </w:rPr>
              <w:t>development of national guidelines for the introduction of a person-centered TB care model;</w:t>
            </w:r>
          </w:p>
          <w:p w14:paraId="50B088B9" w14:textId="77777777" w:rsidR="00C71542" w:rsidRPr="007F53E8" w:rsidRDefault="00C71542" w:rsidP="00C71542">
            <w:pPr>
              <w:pStyle w:val="ListParagraph"/>
              <w:numPr>
                <w:ilvl w:val="0"/>
                <w:numId w:val="84"/>
              </w:numPr>
              <w:jc w:val="both"/>
              <w:rPr>
                <w:rFonts w:cs="Arial"/>
              </w:rPr>
            </w:pPr>
            <w:r w:rsidRPr="007F53E8">
              <w:rPr>
                <w:rFonts w:cs="Arial"/>
              </w:rPr>
              <w:t>development and implementation of the integrated services approach (HIV/TB/OST).</w:t>
            </w:r>
          </w:p>
          <w:p w14:paraId="1F79F1D5" w14:textId="30743511" w:rsidR="00C71542" w:rsidRPr="007F53E8" w:rsidRDefault="00C71542" w:rsidP="00C71542">
            <w:pPr>
              <w:jc w:val="both"/>
              <w:rPr>
                <w:rStyle w:val="Hyperlink"/>
                <w:color w:val="auto"/>
              </w:rPr>
            </w:pPr>
            <w:r w:rsidRPr="007F53E8">
              <w:rPr>
                <w:rFonts w:cs="Arial"/>
              </w:rPr>
              <w:t>In line with sustainability ends, the Republic of Moldova has been piloting and further institutionalizing best practices aiming at sustaining quality and beneficiary</w:t>
            </w:r>
            <w:r w:rsidR="007E28BF" w:rsidRPr="007F53E8">
              <w:rPr>
                <w:rFonts w:cs="Arial"/>
              </w:rPr>
              <w:t>-centered</w:t>
            </w:r>
            <w:r w:rsidRPr="007F53E8">
              <w:rPr>
                <w:rFonts w:cs="Arial"/>
              </w:rPr>
              <w:t xml:space="preserve"> TB and HIV services. One of such examples is contracting from NHIC funds HIV Prevention and </w:t>
            </w:r>
            <w:r w:rsidR="007E28BF" w:rsidRPr="007F53E8">
              <w:rPr>
                <w:rFonts w:cs="Arial"/>
              </w:rPr>
              <w:t xml:space="preserve">TB/HIV/OST </w:t>
            </w:r>
            <w:r w:rsidRPr="007F53E8">
              <w:rPr>
                <w:rFonts w:cs="Arial"/>
              </w:rPr>
              <w:t xml:space="preserve">treatment adherence services provided by CSOs. Within the 2018-2020 period, the NHIC has been funding HIV preventive services to a total of 4704 beneficiaries from KAPs and TB treatment support for 9655 patients. That practice, despite </w:t>
            </w:r>
            <w:r w:rsidR="00526322" w:rsidRPr="007F53E8">
              <w:rPr>
                <w:rFonts w:cs="Arial"/>
              </w:rPr>
              <w:t xml:space="preserve">not </w:t>
            </w:r>
            <w:r w:rsidRPr="007F53E8">
              <w:rPr>
                <w:rFonts w:cs="Arial"/>
              </w:rPr>
              <w:t xml:space="preserve">being yet fully predictable or systematic on a long-term basis, is considered an icebreaker and is recognized at WHO European region as a good practice that has to be strengthened and continued. </w:t>
            </w:r>
            <w:hyperlink r:id="rId44" w:history="1">
              <w:r w:rsidRPr="007F53E8">
                <w:rPr>
                  <w:rStyle w:val="Hyperlink"/>
                  <w:color w:val="0055AA" w:themeColor="accent5"/>
                </w:rPr>
                <w:t>https://www.euro.who.int/en/publications/abstracts/compendium-of-good-practices-in-the-health-sector-response-to-hiv-in-the-who-european-region</w:t>
              </w:r>
            </w:hyperlink>
            <w:r w:rsidRPr="007F53E8">
              <w:rPr>
                <w:rStyle w:val="Hyperlink"/>
                <w:color w:val="0055AA" w:themeColor="accent5"/>
              </w:rPr>
              <w:t xml:space="preserve">. </w:t>
            </w:r>
          </w:p>
          <w:p w14:paraId="243F3CF1" w14:textId="77777777" w:rsidR="00C71542" w:rsidRPr="007F53E8" w:rsidRDefault="00C71542" w:rsidP="00C71542">
            <w:pPr>
              <w:jc w:val="both"/>
              <w:rPr>
                <w:rFonts w:cs="Arial"/>
              </w:rPr>
            </w:pPr>
            <w:r w:rsidRPr="007F53E8">
              <w:rPr>
                <w:rFonts w:cs="Arial"/>
              </w:rPr>
              <w:lastRenderedPageBreak/>
              <w:t>Another important example is represented by the endeavor and the success of local authorities in up-taking full costs for first line TB drugs, and first line ARV drugs. This case is even more weighty if to mention that the central authorities of Moldova succeeded in adopting and making operational a funding mechanism, which sustains procurement of ARV drugs from local funds for the entire territory of Moldova.  Thus, in accordance with the Decision of the Government of Moldova, HG869</w:t>
            </w:r>
            <w:r w:rsidRPr="007F53E8">
              <w:rPr>
                <w:rStyle w:val="FootnoteReference"/>
                <w:rFonts w:cs="Arial"/>
              </w:rPr>
              <w:footnoteReference w:id="70"/>
            </w:r>
            <w:r w:rsidRPr="007F53E8">
              <w:rPr>
                <w:rFonts w:cs="Arial"/>
              </w:rPr>
              <w:t xml:space="preserve"> from 05.09.18, the Hospital for Dermatology and Communicable Diseases is allowed to provide the AIDS Center in Tiraspol with antiretroviral drugs and diagnostic devices for screening and diagnosis of HIV/AIDS and STIs and monitoring the effectiveness of antiretroviral treatment, against the full payment of costs for the purchased goods, as well as the payment of the overheads in volume of 5% of the cost of the goods, regardless of their origin.</w:t>
            </w:r>
          </w:p>
          <w:p w14:paraId="500988E0" w14:textId="2911A4BF" w:rsidR="00485066" w:rsidRPr="007F53E8" w:rsidRDefault="00C71542" w:rsidP="00C71542">
            <w:pPr>
              <w:rPr>
                <w:rFonts w:cs="Arial"/>
              </w:rPr>
            </w:pPr>
            <w:r w:rsidRPr="007F53E8">
              <w:rPr>
                <w:rFonts w:cs="Arial"/>
              </w:rPr>
              <w:t xml:space="preserve">The findings and recommendations of the Sustainability Plan Reports as well as the best practices are being considered by the field stakeholders in the process of development and implementation of the NSPs for 2021-2025, which will integrate the sustainability plan objectives and drives.  </w:t>
            </w:r>
          </w:p>
        </w:tc>
      </w:tr>
    </w:tbl>
    <w:p w14:paraId="4A0472B9" w14:textId="77777777" w:rsidR="00485066" w:rsidRPr="00B271DB" w:rsidRDefault="00485066" w:rsidP="00485066">
      <w:pPr>
        <w:pStyle w:val="ListParagraph"/>
        <w:ind w:left="360"/>
      </w:pPr>
    </w:p>
    <w:p w14:paraId="27B20C2F" w14:textId="77777777" w:rsidR="00485066" w:rsidRPr="00B271DB" w:rsidRDefault="00485066" w:rsidP="00485066">
      <w:pPr>
        <w:pStyle w:val="ListParagraph"/>
        <w:spacing w:before="120" w:after="0" w:line="240" w:lineRule="auto"/>
        <w:ind w:left="0"/>
        <w:jc w:val="both"/>
        <w:rPr>
          <w:rFonts w:cs="Arial"/>
          <w:bCs/>
          <w:iCs/>
        </w:rPr>
      </w:pPr>
    </w:p>
    <w:p w14:paraId="748A2CE8" w14:textId="77777777" w:rsidR="00485066" w:rsidRPr="00B271DB" w:rsidRDefault="00485066" w:rsidP="00485066">
      <w:pPr>
        <w:pStyle w:val="ListParagraph"/>
        <w:spacing w:before="120" w:after="0" w:line="240" w:lineRule="auto"/>
        <w:jc w:val="both"/>
        <w:rPr>
          <w:rFonts w:cs="Arial"/>
          <w:bCs/>
          <w:iCs/>
        </w:rPr>
      </w:pPr>
    </w:p>
    <w:p w14:paraId="73E9A535" w14:textId="77777777" w:rsidR="00485066" w:rsidRPr="00B271DB" w:rsidRDefault="00485066">
      <w:pPr>
        <w:spacing w:after="160" w:line="0" w:lineRule="auto"/>
        <w:rPr>
          <w:rFonts w:cs="Arial"/>
          <w:bCs/>
          <w:iCs/>
        </w:rPr>
      </w:pPr>
      <w:r w:rsidRPr="00B271DB">
        <w:rPr>
          <w:rFonts w:cs="Arial"/>
          <w:bCs/>
          <w:iCs/>
        </w:rPr>
        <w:br w:type="page"/>
      </w:r>
    </w:p>
    <w:p w14:paraId="05E80D74" w14:textId="3B69D4AF" w:rsidR="004619FD" w:rsidRPr="00C71542" w:rsidRDefault="004619FD" w:rsidP="004619FD">
      <w:pPr>
        <w:pStyle w:val="Heading1"/>
        <w:numPr>
          <w:ilvl w:val="0"/>
          <w:numId w:val="0"/>
        </w:numPr>
        <w:pBdr>
          <w:top w:val="single" w:sz="4" w:space="0"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spacing w:before="0" w:after="0"/>
        <w:ind w:left="567" w:hanging="567"/>
        <w:rPr>
          <w:b/>
        </w:rPr>
      </w:pPr>
      <w:bookmarkStart w:id="22" w:name="_Hlk41462410"/>
      <w:r w:rsidRPr="00C71542">
        <w:rPr>
          <w:b/>
        </w:rPr>
        <w:lastRenderedPageBreak/>
        <w:t xml:space="preserve">Annex </w:t>
      </w:r>
      <w:r w:rsidR="00930929" w:rsidRPr="00C71542">
        <w:rPr>
          <w:b/>
        </w:rPr>
        <w:t>1</w:t>
      </w:r>
      <w:r w:rsidRPr="00C71542">
        <w:rPr>
          <w:b/>
        </w:rPr>
        <w:t>: Documents Checklist</w:t>
      </w:r>
    </w:p>
    <w:p w14:paraId="3258BF2F" w14:textId="77777777" w:rsidR="004619FD" w:rsidRDefault="004619FD" w:rsidP="004619FD">
      <w:pPr>
        <w:pStyle w:val="ListParagraph"/>
        <w:spacing w:line="360" w:lineRule="auto"/>
        <w:ind w:left="0"/>
        <w:rPr>
          <w:rFonts w:cs="Arial"/>
        </w:rPr>
      </w:pPr>
    </w:p>
    <w:p w14:paraId="1B05CBD7" w14:textId="7D8D1824" w:rsidR="0087373E" w:rsidRDefault="004619FD" w:rsidP="004619FD">
      <w:pPr>
        <w:pStyle w:val="ListParagraph"/>
        <w:spacing w:line="360" w:lineRule="auto"/>
        <w:ind w:left="0"/>
        <w:rPr>
          <w:rFonts w:cs="Arial"/>
        </w:rPr>
      </w:pPr>
      <w:r w:rsidRPr="00B271DB">
        <w:rPr>
          <w:rFonts w:cs="Arial"/>
        </w:rPr>
        <w:t>Use the list below to verify the completeness of your application package:</w:t>
      </w:r>
    </w:p>
    <w:tbl>
      <w:tblPr>
        <w:tblStyle w:val="TableGrid20"/>
        <w:tblpPr w:leftFromText="180" w:rightFromText="180" w:vertAnchor="text" w:tblpY="1"/>
        <w:tblOverlap w:val="never"/>
        <w:tblW w:w="102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67"/>
        <w:gridCol w:w="9688"/>
      </w:tblGrid>
      <w:tr w:rsidR="006810B2" w:rsidRPr="0098274C" w14:paraId="2A2CC4CD" w14:textId="77777777" w:rsidTr="006810B2">
        <w:trPr>
          <w:trHeight w:val="567"/>
        </w:trPr>
        <w:tc>
          <w:tcPr>
            <w:tcW w:w="567" w:type="dxa"/>
            <w:shd w:val="clear" w:color="auto" w:fill="auto"/>
            <w:vAlign w:val="center"/>
          </w:tcPr>
          <w:p w14:paraId="14EF1921" w14:textId="5D6B9C19" w:rsidR="006810B2" w:rsidRPr="007B1F00" w:rsidRDefault="00C71542" w:rsidP="006810B2">
            <w:pPr>
              <w:rPr>
                <w:rFonts w:asciiTheme="minorHAnsi" w:hAnsiTheme="minorHAnsi" w:cstheme="minorHAnsi"/>
                <w:sz w:val="22"/>
                <w:szCs w:val="22"/>
              </w:rPr>
            </w:pPr>
            <w:sdt>
              <w:sdtPr>
                <w:rPr>
                  <w:rFonts w:asciiTheme="minorHAnsi" w:hAnsiTheme="minorHAnsi" w:cstheme="minorHAnsi"/>
                </w:rPr>
                <w:id w:val="-180662496"/>
                <w14:checkbox>
                  <w14:checked w14:val="1"/>
                  <w14:checkedState w14:val="2612" w14:font="MS Gothic"/>
                  <w14:uncheckedState w14:val="2610" w14:font="MS Gothic"/>
                </w14:checkbox>
              </w:sdtPr>
              <w:sdtContent>
                <w:r w:rsidR="008F05A0">
                  <w:rPr>
                    <w:rFonts w:ascii="MS Gothic" w:eastAsia="MS Gothic" w:hAnsi="MS Gothic" w:cstheme="minorHAnsi" w:hint="eastAsia"/>
                  </w:rPr>
                  <w:t>☒</w:t>
                </w:r>
              </w:sdtContent>
            </w:sdt>
          </w:p>
        </w:tc>
        <w:tc>
          <w:tcPr>
            <w:tcW w:w="9688" w:type="dxa"/>
            <w:vAlign w:val="center"/>
          </w:tcPr>
          <w:p w14:paraId="33A3B392" w14:textId="003ADFA6" w:rsidR="006810B2" w:rsidRPr="008D794F" w:rsidRDefault="006810B2" w:rsidP="006810B2">
            <w:pPr>
              <w:rPr>
                <w:rFonts w:ascii="Arial" w:hAnsi="Arial"/>
                <w:sz w:val="22"/>
                <w:szCs w:val="22"/>
              </w:rPr>
            </w:pPr>
            <w:r w:rsidRPr="008D794F">
              <w:rPr>
                <w:rFonts w:ascii="Arial" w:hAnsi="Arial" w:cstheme="minorBidi"/>
              </w:rPr>
              <w:t>Funding Request Form</w:t>
            </w:r>
            <w:r w:rsidR="008F05A0" w:rsidRPr="008D794F">
              <w:rPr>
                <w:rFonts w:ascii="Arial" w:hAnsi="Arial" w:cstheme="minorBidi"/>
              </w:rPr>
              <w:t xml:space="preserve"> </w:t>
            </w:r>
          </w:p>
        </w:tc>
      </w:tr>
      <w:tr w:rsidR="006810B2" w:rsidRPr="0098274C" w14:paraId="799804E6" w14:textId="77777777" w:rsidTr="006810B2">
        <w:trPr>
          <w:trHeight w:val="567"/>
        </w:trPr>
        <w:tc>
          <w:tcPr>
            <w:tcW w:w="567" w:type="dxa"/>
            <w:shd w:val="clear" w:color="auto" w:fill="auto"/>
            <w:vAlign w:val="center"/>
          </w:tcPr>
          <w:p w14:paraId="1286C15F" w14:textId="458C67AA" w:rsidR="006810B2" w:rsidRPr="007B1F00" w:rsidRDefault="00C71542" w:rsidP="006810B2">
            <w:pPr>
              <w:rPr>
                <w:rFonts w:asciiTheme="minorHAnsi" w:hAnsiTheme="minorHAnsi" w:cstheme="minorHAnsi"/>
                <w:sz w:val="22"/>
                <w:szCs w:val="22"/>
              </w:rPr>
            </w:pPr>
            <w:sdt>
              <w:sdtPr>
                <w:rPr>
                  <w:rFonts w:asciiTheme="minorHAnsi" w:hAnsiTheme="minorHAnsi" w:cstheme="minorHAnsi"/>
                </w:rPr>
                <w:id w:val="-797372883"/>
                <w14:checkbox>
                  <w14:checked w14:val="1"/>
                  <w14:checkedState w14:val="2612" w14:font="MS Gothic"/>
                  <w14:uncheckedState w14:val="2610" w14:font="MS Gothic"/>
                </w14:checkbox>
              </w:sdtPr>
              <w:sdtContent>
                <w:r w:rsidR="005D1399">
                  <w:rPr>
                    <w:rFonts w:ascii="MS Gothic" w:eastAsia="MS Gothic" w:hAnsi="MS Gothic" w:cstheme="minorHAnsi" w:hint="eastAsia"/>
                  </w:rPr>
                  <w:t>☒</w:t>
                </w:r>
              </w:sdtContent>
            </w:sdt>
          </w:p>
        </w:tc>
        <w:tc>
          <w:tcPr>
            <w:tcW w:w="9688" w:type="dxa"/>
            <w:vAlign w:val="center"/>
          </w:tcPr>
          <w:p w14:paraId="56B50545" w14:textId="1B6EAEF6" w:rsidR="006810B2" w:rsidRPr="008D794F" w:rsidRDefault="006810B2" w:rsidP="006810B2">
            <w:pPr>
              <w:rPr>
                <w:rFonts w:ascii="Arial" w:hAnsi="Arial"/>
                <w:b/>
                <w:sz w:val="22"/>
                <w:szCs w:val="22"/>
              </w:rPr>
            </w:pPr>
            <w:r w:rsidRPr="008D794F">
              <w:rPr>
                <w:rFonts w:ascii="Arial" w:hAnsi="Arial" w:cstheme="minorBidi"/>
                <w:lang w:eastAsia="zh-CN"/>
              </w:rPr>
              <w:t>Programmatic Gap Table(s)</w:t>
            </w:r>
            <w:r w:rsidR="005D1399" w:rsidRPr="008D794F">
              <w:rPr>
                <w:rFonts w:ascii="Arial" w:hAnsi="Arial" w:cstheme="minorBidi"/>
                <w:lang w:eastAsia="zh-CN"/>
              </w:rPr>
              <w:t xml:space="preserve"> </w:t>
            </w:r>
          </w:p>
        </w:tc>
      </w:tr>
      <w:tr w:rsidR="006810B2" w:rsidRPr="0098274C" w14:paraId="6DCCCCFB" w14:textId="77777777" w:rsidTr="006810B2">
        <w:trPr>
          <w:trHeight w:val="567"/>
        </w:trPr>
        <w:tc>
          <w:tcPr>
            <w:tcW w:w="567" w:type="dxa"/>
            <w:shd w:val="clear" w:color="auto" w:fill="auto"/>
            <w:vAlign w:val="center"/>
          </w:tcPr>
          <w:p w14:paraId="5800EDC7" w14:textId="7A5EED58" w:rsidR="006810B2" w:rsidRPr="007B1F00" w:rsidRDefault="00C71542" w:rsidP="006810B2">
            <w:pPr>
              <w:rPr>
                <w:rFonts w:asciiTheme="minorHAnsi" w:hAnsiTheme="minorHAnsi" w:cstheme="minorHAnsi"/>
                <w:sz w:val="22"/>
                <w:szCs w:val="22"/>
              </w:rPr>
            </w:pPr>
            <w:sdt>
              <w:sdtPr>
                <w:rPr>
                  <w:rFonts w:asciiTheme="minorHAnsi" w:hAnsiTheme="minorHAnsi" w:cstheme="minorHAnsi"/>
                </w:rPr>
                <w:id w:val="254638760"/>
                <w14:checkbox>
                  <w14:checked w14:val="1"/>
                  <w14:checkedState w14:val="2612" w14:font="MS Gothic"/>
                  <w14:uncheckedState w14:val="2610" w14:font="MS Gothic"/>
                </w14:checkbox>
              </w:sdtPr>
              <w:sdtContent>
                <w:r w:rsidR="005D1399">
                  <w:rPr>
                    <w:rFonts w:ascii="MS Gothic" w:eastAsia="MS Gothic" w:hAnsi="MS Gothic" w:cstheme="minorHAnsi" w:hint="eastAsia"/>
                  </w:rPr>
                  <w:t>☒</w:t>
                </w:r>
              </w:sdtContent>
            </w:sdt>
          </w:p>
        </w:tc>
        <w:tc>
          <w:tcPr>
            <w:tcW w:w="9688" w:type="dxa"/>
            <w:vAlign w:val="center"/>
          </w:tcPr>
          <w:p w14:paraId="36AEDFCF" w14:textId="4C0FF674" w:rsidR="006810B2" w:rsidRPr="008D794F" w:rsidRDefault="006810B2" w:rsidP="006810B2">
            <w:pPr>
              <w:rPr>
                <w:rFonts w:ascii="Arial" w:hAnsi="Arial"/>
                <w:b/>
                <w:sz w:val="22"/>
                <w:szCs w:val="22"/>
              </w:rPr>
            </w:pPr>
            <w:r w:rsidRPr="008D794F">
              <w:rPr>
                <w:rFonts w:ascii="Arial" w:hAnsi="Arial" w:cstheme="minorBidi"/>
              </w:rPr>
              <w:t>Funding Landscape Table(s)</w:t>
            </w:r>
            <w:r w:rsidR="005D1399" w:rsidRPr="008D794F">
              <w:rPr>
                <w:rFonts w:ascii="Arial" w:hAnsi="Arial" w:cstheme="minorBidi"/>
              </w:rPr>
              <w:t xml:space="preserve"> </w:t>
            </w:r>
          </w:p>
        </w:tc>
      </w:tr>
      <w:tr w:rsidR="006810B2" w:rsidRPr="0098274C" w14:paraId="33424CB1" w14:textId="77777777" w:rsidTr="006810B2">
        <w:trPr>
          <w:trHeight w:val="567"/>
        </w:trPr>
        <w:tc>
          <w:tcPr>
            <w:tcW w:w="567" w:type="dxa"/>
            <w:shd w:val="clear" w:color="auto" w:fill="auto"/>
            <w:vAlign w:val="center"/>
          </w:tcPr>
          <w:p w14:paraId="64E0AFA5" w14:textId="6F373219" w:rsidR="006810B2" w:rsidRPr="007B1F00" w:rsidRDefault="00C71542" w:rsidP="006810B2">
            <w:pPr>
              <w:rPr>
                <w:rFonts w:asciiTheme="minorHAnsi" w:hAnsiTheme="minorHAnsi" w:cstheme="minorHAnsi"/>
                <w:sz w:val="22"/>
                <w:szCs w:val="22"/>
              </w:rPr>
            </w:pPr>
            <w:sdt>
              <w:sdtPr>
                <w:rPr>
                  <w:rFonts w:asciiTheme="minorHAnsi" w:hAnsiTheme="minorHAnsi" w:cstheme="minorHAnsi"/>
                </w:rPr>
                <w:id w:val="189352396"/>
                <w14:checkbox>
                  <w14:checked w14:val="1"/>
                  <w14:checkedState w14:val="2612" w14:font="MS Gothic"/>
                  <w14:uncheckedState w14:val="2610" w14:font="MS Gothic"/>
                </w14:checkbox>
              </w:sdtPr>
              <w:sdtContent>
                <w:r w:rsidR="00095737">
                  <w:rPr>
                    <w:rFonts w:ascii="MS Gothic" w:eastAsia="MS Gothic" w:hAnsi="MS Gothic" w:cstheme="minorHAnsi" w:hint="eastAsia"/>
                  </w:rPr>
                  <w:t>☒</w:t>
                </w:r>
              </w:sdtContent>
            </w:sdt>
          </w:p>
        </w:tc>
        <w:tc>
          <w:tcPr>
            <w:tcW w:w="9688" w:type="dxa"/>
            <w:vAlign w:val="center"/>
          </w:tcPr>
          <w:p w14:paraId="1ABF2D87" w14:textId="703C1574" w:rsidR="006810B2" w:rsidRPr="008D794F" w:rsidRDefault="006810B2" w:rsidP="006810B2">
            <w:pPr>
              <w:rPr>
                <w:rFonts w:ascii="Arial" w:hAnsi="Arial"/>
                <w:b/>
                <w:sz w:val="22"/>
                <w:szCs w:val="22"/>
              </w:rPr>
            </w:pPr>
            <w:r w:rsidRPr="008D794F">
              <w:rPr>
                <w:rFonts w:ascii="Arial" w:hAnsi="Arial" w:cstheme="minorBidi"/>
              </w:rPr>
              <w:t>Performance Framework</w:t>
            </w:r>
            <w:r w:rsidR="005D1399" w:rsidRPr="008D794F">
              <w:rPr>
                <w:rFonts w:ascii="Arial" w:hAnsi="Arial" w:cstheme="minorBidi"/>
              </w:rPr>
              <w:t xml:space="preserve"> </w:t>
            </w:r>
          </w:p>
        </w:tc>
      </w:tr>
      <w:tr w:rsidR="006810B2" w:rsidRPr="0098274C" w14:paraId="30892731" w14:textId="77777777" w:rsidTr="006810B2">
        <w:trPr>
          <w:trHeight w:val="567"/>
        </w:trPr>
        <w:tc>
          <w:tcPr>
            <w:tcW w:w="567" w:type="dxa"/>
            <w:shd w:val="clear" w:color="auto" w:fill="auto"/>
            <w:vAlign w:val="center"/>
          </w:tcPr>
          <w:p w14:paraId="1184E211" w14:textId="4E3948D2" w:rsidR="006810B2" w:rsidRPr="007B1F00" w:rsidRDefault="00C71542" w:rsidP="006810B2">
            <w:pPr>
              <w:rPr>
                <w:rFonts w:asciiTheme="minorHAnsi" w:hAnsiTheme="minorHAnsi" w:cstheme="minorHAnsi"/>
                <w:sz w:val="22"/>
                <w:szCs w:val="22"/>
              </w:rPr>
            </w:pPr>
            <w:sdt>
              <w:sdtPr>
                <w:rPr>
                  <w:rFonts w:asciiTheme="minorHAnsi" w:hAnsiTheme="minorHAnsi" w:cstheme="minorHAnsi"/>
                </w:rPr>
                <w:id w:val="595447511"/>
                <w14:checkbox>
                  <w14:checked w14:val="1"/>
                  <w14:checkedState w14:val="2612" w14:font="MS Gothic"/>
                  <w14:uncheckedState w14:val="2610" w14:font="MS Gothic"/>
                </w14:checkbox>
              </w:sdtPr>
              <w:sdtContent>
                <w:r w:rsidR="00095737">
                  <w:rPr>
                    <w:rFonts w:ascii="MS Gothic" w:eastAsia="MS Gothic" w:hAnsi="MS Gothic" w:cstheme="minorHAnsi" w:hint="eastAsia"/>
                  </w:rPr>
                  <w:t>☒</w:t>
                </w:r>
              </w:sdtContent>
            </w:sdt>
          </w:p>
        </w:tc>
        <w:tc>
          <w:tcPr>
            <w:tcW w:w="9688" w:type="dxa"/>
            <w:shd w:val="clear" w:color="auto" w:fill="FFFFFF"/>
            <w:vAlign w:val="center"/>
          </w:tcPr>
          <w:p w14:paraId="31E16FC2" w14:textId="7EE34787" w:rsidR="006810B2" w:rsidRPr="008D794F" w:rsidRDefault="006810B2" w:rsidP="006810B2">
            <w:pPr>
              <w:rPr>
                <w:rFonts w:ascii="Arial" w:hAnsi="Arial"/>
                <w:sz w:val="22"/>
                <w:szCs w:val="22"/>
              </w:rPr>
            </w:pPr>
            <w:r w:rsidRPr="008D794F">
              <w:rPr>
                <w:rFonts w:ascii="Arial" w:hAnsi="Arial" w:cstheme="minorBidi"/>
              </w:rPr>
              <w:t>Budget</w:t>
            </w:r>
            <w:r w:rsidR="005D1399" w:rsidRPr="008D794F">
              <w:rPr>
                <w:rFonts w:ascii="Arial" w:hAnsi="Arial" w:cstheme="minorBidi"/>
              </w:rPr>
              <w:t xml:space="preserve"> </w:t>
            </w:r>
          </w:p>
        </w:tc>
      </w:tr>
      <w:tr w:rsidR="006810B2" w:rsidRPr="0098274C" w14:paraId="5818DEE4" w14:textId="77777777" w:rsidTr="006810B2">
        <w:trPr>
          <w:trHeight w:val="567"/>
        </w:trPr>
        <w:tc>
          <w:tcPr>
            <w:tcW w:w="567" w:type="dxa"/>
            <w:shd w:val="clear" w:color="auto" w:fill="auto"/>
            <w:vAlign w:val="center"/>
          </w:tcPr>
          <w:p w14:paraId="18B141BE" w14:textId="35025CDF" w:rsidR="006810B2" w:rsidRPr="007B1F00" w:rsidRDefault="00C71542" w:rsidP="006810B2">
            <w:pPr>
              <w:rPr>
                <w:rFonts w:asciiTheme="minorHAnsi" w:hAnsiTheme="minorHAnsi" w:cstheme="minorHAnsi"/>
                <w:sz w:val="22"/>
                <w:szCs w:val="22"/>
              </w:rPr>
            </w:pPr>
            <w:sdt>
              <w:sdtPr>
                <w:rPr>
                  <w:rFonts w:asciiTheme="minorHAnsi" w:hAnsiTheme="minorHAnsi" w:cstheme="minorHAnsi"/>
                </w:rPr>
                <w:id w:val="-2051445561"/>
                <w14:checkbox>
                  <w14:checked w14:val="1"/>
                  <w14:checkedState w14:val="2612" w14:font="MS Gothic"/>
                  <w14:uncheckedState w14:val="2610" w14:font="MS Gothic"/>
                </w14:checkbox>
              </w:sdtPr>
              <w:sdtContent>
                <w:r w:rsidR="00095737">
                  <w:rPr>
                    <w:rFonts w:ascii="MS Gothic" w:eastAsia="MS Gothic" w:hAnsi="MS Gothic" w:cstheme="minorHAnsi" w:hint="eastAsia"/>
                  </w:rPr>
                  <w:t>☒</w:t>
                </w:r>
              </w:sdtContent>
            </w:sdt>
          </w:p>
        </w:tc>
        <w:tc>
          <w:tcPr>
            <w:tcW w:w="9688" w:type="dxa"/>
            <w:vAlign w:val="center"/>
          </w:tcPr>
          <w:p w14:paraId="6333DFAD" w14:textId="77777777" w:rsidR="006810B2" w:rsidRPr="008D794F" w:rsidRDefault="006810B2" w:rsidP="006810B2">
            <w:pPr>
              <w:rPr>
                <w:rFonts w:ascii="Arial" w:hAnsi="Arial"/>
                <w:sz w:val="22"/>
                <w:szCs w:val="22"/>
              </w:rPr>
            </w:pPr>
            <w:r w:rsidRPr="008D794F">
              <w:rPr>
                <w:rFonts w:ascii="Arial" w:hAnsi="Arial" w:cstheme="minorBidi"/>
              </w:rPr>
              <w:t>Prioritized above allocation request (PAAR)</w:t>
            </w:r>
          </w:p>
        </w:tc>
      </w:tr>
      <w:tr w:rsidR="00D33288" w:rsidRPr="0098274C" w14:paraId="6B993DCA" w14:textId="77777777" w:rsidTr="006810B2">
        <w:trPr>
          <w:trHeight w:val="567"/>
        </w:trPr>
        <w:tc>
          <w:tcPr>
            <w:tcW w:w="567" w:type="dxa"/>
            <w:shd w:val="clear" w:color="auto" w:fill="auto"/>
            <w:vAlign w:val="center"/>
          </w:tcPr>
          <w:p w14:paraId="3C0AA115" w14:textId="103B3457" w:rsidR="00D33288" w:rsidRPr="007B1F00" w:rsidRDefault="00C71542" w:rsidP="00D33288">
            <w:pPr>
              <w:rPr>
                <w:rFonts w:asciiTheme="minorHAnsi" w:hAnsiTheme="minorHAnsi" w:cstheme="minorHAnsi"/>
                <w:sz w:val="22"/>
                <w:szCs w:val="22"/>
              </w:rPr>
            </w:pPr>
            <w:sdt>
              <w:sdtPr>
                <w:rPr>
                  <w:rFonts w:asciiTheme="minorHAnsi" w:hAnsiTheme="minorHAnsi" w:cstheme="minorHAnsi"/>
                </w:rPr>
                <w:id w:val="-216817733"/>
                <w14:checkbox>
                  <w14:checked w14:val="0"/>
                  <w14:checkedState w14:val="2612" w14:font="MS Gothic"/>
                  <w14:uncheckedState w14:val="2610" w14:font="MS Gothic"/>
                </w14:checkbox>
              </w:sdtPr>
              <w:sdtContent>
                <w:r w:rsidR="00D33288" w:rsidRPr="007B1F00">
                  <w:rPr>
                    <w:rFonts w:ascii="Segoe UI Symbol" w:hAnsi="Segoe UI Symbol" w:cs="Segoe UI Symbol"/>
                    <w:sz w:val="22"/>
                    <w:szCs w:val="22"/>
                  </w:rPr>
                  <w:t>☐</w:t>
                </w:r>
              </w:sdtContent>
            </w:sdt>
          </w:p>
        </w:tc>
        <w:tc>
          <w:tcPr>
            <w:tcW w:w="9688" w:type="dxa"/>
            <w:vAlign w:val="center"/>
          </w:tcPr>
          <w:p w14:paraId="7ED279D8" w14:textId="4F976AA6" w:rsidR="00D33288" w:rsidRPr="008D794F" w:rsidRDefault="00D33288" w:rsidP="00D33288">
            <w:r w:rsidRPr="008D794F">
              <w:rPr>
                <w:rFonts w:ascii="Arial" w:hAnsi="Arial" w:cstheme="minorBidi"/>
              </w:rPr>
              <w:t>Implementation Arrangement Map(s)</w:t>
            </w:r>
            <w:r w:rsidRPr="008D794F">
              <w:rPr>
                <w:rStyle w:val="FootnoteReference"/>
                <w:rFonts w:ascii="Arial" w:hAnsi="Arial" w:cstheme="minorBidi"/>
              </w:rPr>
              <w:footnoteReference w:id="71"/>
            </w:r>
            <w:r w:rsidR="005D1399" w:rsidRPr="008D794F">
              <w:rPr>
                <w:rFonts w:ascii="Arial" w:hAnsi="Arial" w:cstheme="minorBidi"/>
              </w:rPr>
              <w:t xml:space="preserve"> </w:t>
            </w:r>
          </w:p>
        </w:tc>
      </w:tr>
      <w:tr w:rsidR="00D33288" w:rsidRPr="0098274C" w14:paraId="688610CB" w14:textId="77777777" w:rsidTr="006810B2">
        <w:trPr>
          <w:trHeight w:val="567"/>
        </w:trPr>
        <w:tc>
          <w:tcPr>
            <w:tcW w:w="567" w:type="dxa"/>
            <w:shd w:val="clear" w:color="auto" w:fill="auto"/>
            <w:vAlign w:val="center"/>
          </w:tcPr>
          <w:p w14:paraId="5B608C89" w14:textId="2BD00E4E" w:rsidR="00D33288" w:rsidRPr="007B1F00" w:rsidRDefault="00C71542" w:rsidP="00D33288">
            <w:pPr>
              <w:rPr>
                <w:rFonts w:asciiTheme="minorHAnsi" w:hAnsiTheme="minorHAnsi" w:cstheme="minorHAnsi"/>
                <w:sz w:val="22"/>
                <w:szCs w:val="22"/>
              </w:rPr>
            </w:pPr>
            <w:sdt>
              <w:sdtPr>
                <w:rPr>
                  <w:rFonts w:asciiTheme="minorHAnsi" w:hAnsiTheme="minorHAnsi" w:cstheme="minorHAnsi"/>
                </w:rPr>
                <w:id w:val="-1954390594"/>
                <w14:checkbox>
                  <w14:checked w14:val="1"/>
                  <w14:checkedState w14:val="2612" w14:font="MS Gothic"/>
                  <w14:uncheckedState w14:val="2610" w14:font="MS Gothic"/>
                </w14:checkbox>
              </w:sdtPr>
              <w:sdtContent>
                <w:r w:rsidR="00095737">
                  <w:rPr>
                    <w:rFonts w:ascii="MS Gothic" w:eastAsia="MS Gothic" w:hAnsi="MS Gothic" w:cstheme="minorHAnsi" w:hint="eastAsia"/>
                  </w:rPr>
                  <w:t>☒</w:t>
                </w:r>
              </w:sdtContent>
            </w:sdt>
          </w:p>
        </w:tc>
        <w:tc>
          <w:tcPr>
            <w:tcW w:w="9688" w:type="dxa"/>
            <w:vAlign w:val="center"/>
          </w:tcPr>
          <w:p w14:paraId="21FC5643" w14:textId="2450ECC1" w:rsidR="00D33288" w:rsidRPr="008D794F" w:rsidRDefault="00D33288" w:rsidP="00D33288">
            <w:r w:rsidRPr="008D794F">
              <w:rPr>
                <w:rFonts w:ascii="Arial" w:hAnsi="Arial" w:cstheme="minorBidi"/>
              </w:rPr>
              <w:t>Essential Data Tables (updated)</w:t>
            </w:r>
          </w:p>
        </w:tc>
      </w:tr>
      <w:tr w:rsidR="00D33288" w:rsidRPr="0098274C" w14:paraId="675822DB" w14:textId="77777777" w:rsidTr="006810B2">
        <w:trPr>
          <w:trHeight w:val="567"/>
        </w:trPr>
        <w:tc>
          <w:tcPr>
            <w:tcW w:w="567" w:type="dxa"/>
            <w:shd w:val="clear" w:color="auto" w:fill="auto"/>
            <w:vAlign w:val="center"/>
          </w:tcPr>
          <w:p w14:paraId="065206CC" w14:textId="12782ED0" w:rsidR="00D33288" w:rsidRPr="007B1F00" w:rsidRDefault="00C71542" w:rsidP="00D33288">
            <w:pPr>
              <w:rPr>
                <w:rFonts w:asciiTheme="minorHAnsi" w:hAnsiTheme="minorHAnsi" w:cstheme="minorHAnsi"/>
                <w:sz w:val="22"/>
                <w:szCs w:val="22"/>
              </w:rPr>
            </w:pPr>
            <w:sdt>
              <w:sdtPr>
                <w:rPr>
                  <w:rFonts w:asciiTheme="minorHAnsi" w:hAnsiTheme="minorHAnsi" w:cstheme="minorHAnsi"/>
                </w:rPr>
                <w:id w:val="1718853472"/>
                <w14:checkbox>
                  <w14:checked w14:val="1"/>
                  <w14:checkedState w14:val="2612" w14:font="MS Gothic"/>
                  <w14:uncheckedState w14:val="2610" w14:font="MS Gothic"/>
                </w14:checkbox>
              </w:sdtPr>
              <w:sdtContent>
                <w:r w:rsidR="00971B4A">
                  <w:rPr>
                    <w:rFonts w:ascii="MS Gothic" w:eastAsia="MS Gothic" w:hAnsi="MS Gothic" w:cstheme="minorHAnsi" w:hint="eastAsia"/>
                  </w:rPr>
                  <w:t>☒</w:t>
                </w:r>
              </w:sdtContent>
            </w:sdt>
          </w:p>
        </w:tc>
        <w:tc>
          <w:tcPr>
            <w:tcW w:w="9688" w:type="dxa"/>
            <w:vAlign w:val="center"/>
          </w:tcPr>
          <w:p w14:paraId="13DB83B3" w14:textId="7C6871EF" w:rsidR="00D33288" w:rsidRPr="008D794F" w:rsidRDefault="00D33288" w:rsidP="00D33288">
            <w:pPr>
              <w:rPr>
                <w:rFonts w:ascii="Arial" w:hAnsi="Arial"/>
                <w:sz w:val="22"/>
                <w:szCs w:val="22"/>
              </w:rPr>
            </w:pPr>
            <w:r w:rsidRPr="008D794F">
              <w:rPr>
                <w:rFonts w:ascii="Arial" w:hAnsi="Arial" w:cstheme="minorBidi"/>
                <w:bCs/>
              </w:rPr>
              <w:t>CCM Endorsement of Funding Request</w:t>
            </w:r>
            <w:r w:rsidR="00605A90" w:rsidRPr="008D794F">
              <w:rPr>
                <w:rFonts w:ascii="Arial" w:hAnsi="Arial" w:cstheme="minorBidi"/>
                <w:bCs/>
              </w:rPr>
              <w:t xml:space="preserve"> (</w:t>
            </w:r>
            <w:r w:rsidR="00605A90" w:rsidRPr="008D794F">
              <w:t>Template is available on the website.</w:t>
            </w:r>
            <w:r w:rsidR="00605A90" w:rsidRPr="008D794F">
              <w:rPr>
                <w:rFonts w:ascii="Arial" w:hAnsi="Arial" w:cstheme="minorBidi"/>
                <w:bCs/>
              </w:rPr>
              <w:t>)</w:t>
            </w:r>
          </w:p>
        </w:tc>
      </w:tr>
      <w:tr w:rsidR="00D33288" w:rsidRPr="0098274C" w14:paraId="59C65730" w14:textId="77777777" w:rsidTr="006810B2">
        <w:trPr>
          <w:trHeight w:val="567"/>
        </w:trPr>
        <w:tc>
          <w:tcPr>
            <w:tcW w:w="567" w:type="dxa"/>
            <w:shd w:val="clear" w:color="auto" w:fill="auto"/>
            <w:vAlign w:val="center"/>
          </w:tcPr>
          <w:p w14:paraId="3B3E084D" w14:textId="1B8D755A" w:rsidR="00D33288" w:rsidRPr="007B1F00" w:rsidRDefault="00C71542" w:rsidP="00D33288">
            <w:pPr>
              <w:rPr>
                <w:rFonts w:asciiTheme="minorHAnsi" w:hAnsiTheme="minorHAnsi" w:cstheme="minorHAnsi"/>
                <w:sz w:val="22"/>
                <w:szCs w:val="22"/>
              </w:rPr>
            </w:pPr>
            <w:sdt>
              <w:sdtPr>
                <w:rPr>
                  <w:rFonts w:asciiTheme="minorHAnsi" w:hAnsiTheme="minorHAnsi" w:cstheme="minorHAnsi"/>
                </w:rPr>
                <w:id w:val="-910225486"/>
                <w14:checkbox>
                  <w14:checked w14:val="1"/>
                  <w14:checkedState w14:val="2612" w14:font="MS Gothic"/>
                  <w14:uncheckedState w14:val="2610" w14:font="MS Gothic"/>
                </w14:checkbox>
              </w:sdtPr>
              <w:sdtContent>
                <w:r w:rsidR="00971B4A">
                  <w:rPr>
                    <w:rFonts w:ascii="MS Gothic" w:eastAsia="MS Gothic" w:hAnsi="MS Gothic" w:cstheme="minorHAnsi" w:hint="eastAsia"/>
                  </w:rPr>
                  <w:t>☒</w:t>
                </w:r>
              </w:sdtContent>
            </w:sdt>
          </w:p>
        </w:tc>
        <w:tc>
          <w:tcPr>
            <w:tcW w:w="9688" w:type="dxa"/>
            <w:vAlign w:val="center"/>
          </w:tcPr>
          <w:p w14:paraId="55D14EBC" w14:textId="009C9AF7" w:rsidR="00D33288" w:rsidRPr="008D794F" w:rsidRDefault="00D33288" w:rsidP="00D33288">
            <w:pPr>
              <w:rPr>
                <w:rFonts w:ascii="Arial" w:hAnsi="Arial"/>
                <w:sz w:val="22"/>
                <w:szCs w:val="22"/>
              </w:rPr>
            </w:pPr>
            <w:r w:rsidRPr="008D794F">
              <w:rPr>
                <w:rFonts w:ascii="Arial" w:hAnsi="Arial" w:cstheme="minorBidi"/>
              </w:rPr>
              <w:t>CCM Statement of Compliance</w:t>
            </w:r>
            <w:r w:rsidR="00605A90" w:rsidRPr="008D794F">
              <w:rPr>
                <w:rFonts w:ascii="Arial" w:hAnsi="Arial" w:cstheme="minorBidi"/>
              </w:rPr>
              <w:t xml:space="preserve"> </w:t>
            </w:r>
            <w:r w:rsidR="00605A90" w:rsidRPr="008D794F">
              <w:t>Template is available on the website.</w:t>
            </w:r>
          </w:p>
        </w:tc>
      </w:tr>
      <w:tr w:rsidR="00D33288" w:rsidRPr="0098274C" w14:paraId="4A34B2E7" w14:textId="77777777" w:rsidTr="006810B2">
        <w:trPr>
          <w:trHeight w:val="567"/>
        </w:trPr>
        <w:tc>
          <w:tcPr>
            <w:tcW w:w="567" w:type="dxa"/>
            <w:shd w:val="clear" w:color="auto" w:fill="auto"/>
            <w:vAlign w:val="center"/>
          </w:tcPr>
          <w:p w14:paraId="290BC4ED" w14:textId="04E29AB1" w:rsidR="00D33288" w:rsidRPr="007B1F00" w:rsidRDefault="00C71542" w:rsidP="00D33288">
            <w:pPr>
              <w:rPr>
                <w:rFonts w:asciiTheme="minorHAnsi" w:hAnsiTheme="minorHAnsi" w:cstheme="minorHAnsi"/>
                <w:sz w:val="22"/>
                <w:szCs w:val="22"/>
              </w:rPr>
            </w:pPr>
            <w:sdt>
              <w:sdtPr>
                <w:rPr>
                  <w:rFonts w:asciiTheme="minorHAnsi" w:hAnsiTheme="minorHAnsi" w:cstheme="minorHAnsi"/>
                </w:rPr>
                <w:id w:val="-220992833"/>
                <w14:checkbox>
                  <w14:checked w14:val="1"/>
                  <w14:checkedState w14:val="2612" w14:font="MS Gothic"/>
                  <w14:uncheckedState w14:val="2610" w14:font="MS Gothic"/>
                </w14:checkbox>
              </w:sdtPr>
              <w:sdtContent>
                <w:r w:rsidR="00971B4A">
                  <w:rPr>
                    <w:rFonts w:ascii="MS Gothic" w:eastAsia="MS Gothic" w:hAnsi="MS Gothic" w:cstheme="minorHAnsi" w:hint="eastAsia"/>
                  </w:rPr>
                  <w:t>☒</w:t>
                </w:r>
              </w:sdtContent>
            </w:sdt>
          </w:p>
        </w:tc>
        <w:tc>
          <w:tcPr>
            <w:tcW w:w="9688" w:type="dxa"/>
            <w:vAlign w:val="center"/>
          </w:tcPr>
          <w:p w14:paraId="438E6E92" w14:textId="63B3EB73" w:rsidR="00D33288" w:rsidRPr="008D794F" w:rsidRDefault="00D33288" w:rsidP="00D33288">
            <w:pPr>
              <w:rPr>
                <w:rFonts w:ascii="Arial" w:hAnsi="Arial"/>
                <w:sz w:val="22"/>
                <w:szCs w:val="22"/>
              </w:rPr>
            </w:pPr>
            <w:r w:rsidRPr="008D794F">
              <w:rPr>
                <w:rFonts w:ascii="Arial" w:hAnsi="Arial" w:cstheme="minorBidi"/>
              </w:rPr>
              <w:t xml:space="preserve">Supporting documentation to confirm meeting co-financing requirements for the current allocation period </w:t>
            </w:r>
            <w:r w:rsidR="00971B4A" w:rsidRPr="008D794F">
              <w:t xml:space="preserve"> </w:t>
            </w:r>
          </w:p>
        </w:tc>
      </w:tr>
      <w:tr w:rsidR="00D33288" w:rsidRPr="0098274C" w14:paraId="21E3ED79" w14:textId="77777777" w:rsidTr="006810B2">
        <w:trPr>
          <w:trHeight w:val="567"/>
        </w:trPr>
        <w:tc>
          <w:tcPr>
            <w:tcW w:w="567" w:type="dxa"/>
            <w:shd w:val="clear" w:color="auto" w:fill="auto"/>
            <w:vAlign w:val="center"/>
          </w:tcPr>
          <w:p w14:paraId="62C015EB" w14:textId="2EB919D4" w:rsidR="00D33288" w:rsidRPr="007B1F00" w:rsidRDefault="00C71542" w:rsidP="00D33288">
            <w:pPr>
              <w:rPr>
                <w:rFonts w:asciiTheme="minorHAnsi" w:hAnsiTheme="minorHAnsi" w:cstheme="minorHAnsi"/>
                <w:sz w:val="22"/>
                <w:szCs w:val="22"/>
              </w:rPr>
            </w:pPr>
            <w:sdt>
              <w:sdtPr>
                <w:rPr>
                  <w:rFonts w:asciiTheme="minorHAnsi" w:hAnsiTheme="minorHAnsi" w:cstheme="minorHAnsi"/>
                </w:rPr>
                <w:id w:val="-1023165458"/>
                <w14:checkbox>
                  <w14:checked w14:val="1"/>
                  <w14:checkedState w14:val="2612" w14:font="MS Gothic"/>
                  <w14:uncheckedState w14:val="2610" w14:font="MS Gothic"/>
                </w14:checkbox>
              </w:sdtPr>
              <w:sdtContent>
                <w:r w:rsidR="00971B4A">
                  <w:rPr>
                    <w:rFonts w:ascii="MS Gothic" w:eastAsia="MS Gothic" w:hAnsi="MS Gothic" w:cstheme="minorHAnsi" w:hint="eastAsia"/>
                  </w:rPr>
                  <w:t>☒</w:t>
                </w:r>
              </w:sdtContent>
            </w:sdt>
          </w:p>
        </w:tc>
        <w:tc>
          <w:tcPr>
            <w:tcW w:w="9688" w:type="dxa"/>
            <w:vAlign w:val="center"/>
          </w:tcPr>
          <w:p w14:paraId="7E15B594" w14:textId="02FAF368" w:rsidR="00D33288" w:rsidRPr="008D794F" w:rsidRDefault="00D33288" w:rsidP="00F26371">
            <w:pPr>
              <w:rPr>
                <w:rFonts w:ascii="Arial" w:hAnsi="Arial"/>
                <w:sz w:val="22"/>
                <w:szCs w:val="22"/>
              </w:rPr>
            </w:pPr>
            <w:r w:rsidRPr="008D794F">
              <w:rPr>
                <w:rFonts w:ascii="Arial" w:hAnsi="Arial" w:cstheme="minorBidi"/>
              </w:rPr>
              <w:t xml:space="preserve">Supporting documentation for co-financing commitments for the next allocation period </w:t>
            </w:r>
            <w:r w:rsidR="00971B4A" w:rsidRPr="008D794F">
              <w:t xml:space="preserve"> </w:t>
            </w:r>
          </w:p>
        </w:tc>
      </w:tr>
      <w:tr w:rsidR="00D33288" w:rsidRPr="0098274C" w14:paraId="3BC697F8" w14:textId="77777777" w:rsidTr="006810B2">
        <w:trPr>
          <w:trHeight w:val="567"/>
        </w:trPr>
        <w:tc>
          <w:tcPr>
            <w:tcW w:w="567" w:type="dxa"/>
            <w:shd w:val="clear" w:color="auto" w:fill="auto"/>
            <w:vAlign w:val="center"/>
          </w:tcPr>
          <w:p w14:paraId="4C02B429" w14:textId="49561F3A" w:rsidR="00D33288" w:rsidRPr="007B1F00" w:rsidRDefault="00C71542" w:rsidP="00D33288">
            <w:pPr>
              <w:rPr>
                <w:rFonts w:asciiTheme="minorHAnsi" w:hAnsiTheme="minorHAnsi" w:cstheme="minorHAnsi"/>
                <w:sz w:val="22"/>
                <w:szCs w:val="22"/>
              </w:rPr>
            </w:pPr>
            <w:sdt>
              <w:sdtPr>
                <w:rPr>
                  <w:rFonts w:asciiTheme="minorHAnsi" w:hAnsiTheme="minorHAnsi" w:cstheme="minorHAnsi"/>
                </w:rPr>
                <w:id w:val="-871300088"/>
                <w14:checkbox>
                  <w14:checked w14:val="0"/>
                  <w14:checkedState w14:val="2612" w14:font="MS Gothic"/>
                  <w14:uncheckedState w14:val="2610" w14:font="MS Gothic"/>
                </w14:checkbox>
              </w:sdtPr>
              <w:sdtContent>
                <w:r w:rsidR="0040643D">
                  <w:rPr>
                    <w:rFonts w:ascii="MS Gothic" w:eastAsia="MS Gothic" w:hAnsi="MS Gothic" w:cstheme="minorHAnsi" w:hint="eastAsia"/>
                  </w:rPr>
                  <w:t>☐</w:t>
                </w:r>
              </w:sdtContent>
            </w:sdt>
          </w:p>
        </w:tc>
        <w:tc>
          <w:tcPr>
            <w:tcW w:w="9688" w:type="dxa"/>
            <w:vAlign w:val="center"/>
          </w:tcPr>
          <w:p w14:paraId="1EC662BC" w14:textId="3885469E" w:rsidR="00D33288" w:rsidRPr="008D794F" w:rsidRDefault="00D33288" w:rsidP="00D33288">
            <w:pPr>
              <w:rPr>
                <w:rFonts w:ascii="Arial" w:hAnsi="Arial"/>
                <w:sz w:val="22"/>
                <w:szCs w:val="22"/>
                <w:lang w:eastAsia="zh-CN"/>
              </w:rPr>
            </w:pPr>
            <w:r w:rsidRPr="008D794F">
              <w:rPr>
                <w:rFonts w:ascii="Arial" w:hAnsi="Arial" w:cstheme="minorBidi"/>
              </w:rPr>
              <w:t>Transition Workplan</w:t>
            </w:r>
            <w:r w:rsidR="003844E1" w:rsidRPr="008D794F">
              <w:rPr>
                <w:rFonts w:ascii="Arial" w:hAnsi="Arial" w:cstheme="minorBidi"/>
              </w:rPr>
              <w:t xml:space="preserve"> (if available)</w:t>
            </w:r>
            <w:r w:rsidR="008F05A0" w:rsidRPr="008D794F">
              <w:rPr>
                <w:rFonts w:ascii="Arial" w:hAnsi="Arial" w:cstheme="minorBidi"/>
              </w:rPr>
              <w:t xml:space="preserve"> </w:t>
            </w:r>
          </w:p>
        </w:tc>
      </w:tr>
      <w:tr w:rsidR="00D33288" w:rsidRPr="0098274C" w14:paraId="60E59B26" w14:textId="77777777" w:rsidTr="006810B2">
        <w:trPr>
          <w:trHeight w:val="567"/>
        </w:trPr>
        <w:tc>
          <w:tcPr>
            <w:tcW w:w="567" w:type="dxa"/>
            <w:shd w:val="clear" w:color="auto" w:fill="auto"/>
            <w:vAlign w:val="center"/>
          </w:tcPr>
          <w:p w14:paraId="3D99A533" w14:textId="1B76DDE5" w:rsidR="00D33288" w:rsidRPr="007B1F00" w:rsidRDefault="00C71542" w:rsidP="00D33288">
            <w:pPr>
              <w:rPr>
                <w:rFonts w:asciiTheme="minorHAnsi" w:hAnsiTheme="minorHAnsi" w:cstheme="minorHAnsi"/>
                <w:sz w:val="22"/>
                <w:szCs w:val="22"/>
              </w:rPr>
            </w:pPr>
            <w:sdt>
              <w:sdtPr>
                <w:rPr>
                  <w:rFonts w:asciiTheme="minorHAnsi" w:hAnsiTheme="minorHAnsi" w:cstheme="minorHAnsi"/>
                </w:rPr>
                <w:id w:val="-653519876"/>
                <w14:checkbox>
                  <w14:checked w14:val="0"/>
                  <w14:checkedState w14:val="2612" w14:font="MS Gothic"/>
                  <w14:uncheckedState w14:val="2610" w14:font="MS Gothic"/>
                </w14:checkbox>
              </w:sdtPr>
              <w:sdtContent>
                <w:r w:rsidR="00411895">
                  <w:rPr>
                    <w:rFonts w:ascii="MS Gothic" w:eastAsia="MS Gothic" w:hAnsi="MS Gothic" w:cstheme="minorHAnsi" w:hint="eastAsia"/>
                  </w:rPr>
                  <w:t>☐</w:t>
                </w:r>
              </w:sdtContent>
            </w:sdt>
          </w:p>
        </w:tc>
        <w:tc>
          <w:tcPr>
            <w:tcW w:w="9688" w:type="dxa"/>
            <w:vAlign w:val="center"/>
          </w:tcPr>
          <w:p w14:paraId="4A635CA2" w14:textId="59554D59" w:rsidR="00D33288" w:rsidRPr="008D794F" w:rsidRDefault="00D33288" w:rsidP="00D33288">
            <w:pPr>
              <w:rPr>
                <w:rFonts w:ascii="Arial" w:hAnsi="Arial"/>
                <w:sz w:val="22"/>
                <w:szCs w:val="22"/>
              </w:rPr>
            </w:pPr>
            <w:r w:rsidRPr="008D794F">
              <w:rPr>
                <w:rFonts w:ascii="Arial" w:hAnsi="Arial" w:cstheme="minorBidi"/>
              </w:rPr>
              <w:t>Transition Readiness Assessment (if available)</w:t>
            </w:r>
            <w:r w:rsidR="008F05A0" w:rsidRPr="008D794F">
              <w:rPr>
                <w:rFonts w:ascii="Arial" w:hAnsi="Arial" w:cstheme="minorBidi"/>
              </w:rPr>
              <w:t xml:space="preserve"> </w:t>
            </w:r>
          </w:p>
        </w:tc>
      </w:tr>
      <w:tr w:rsidR="00D33288" w:rsidRPr="0098274C" w14:paraId="75FD2557" w14:textId="77777777" w:rsidTr="006810B2">
        <w:trPr>
          <w:trHeight w:val="567"/>
        </w:trPr>
        <w:tc>
          <w:tcPr>
            <w:tcW w:w="567" w:type="dxa"/>
            <w:shd w:val="clear" w:color="auto" w:fill="auto"/>
            <w:vAlign w:val="center"/>
          </w:tcPr>
          <w:p w14:paraId="0ED229A7" w14:textId="0399E8CE" w:rsidR="00D33288" w:rsidRPr="007B1F00" w:rsidRDefault="00C71542" w:rsidP="00D33288">
            <w:pPr>
              <w:rPr>
                <w:rFonts w:asciiTheme="minorHAnsi" w:hAnsiTheme="minorHAnsi" w:cstheme="minorHAnsi"/>
                <w:sz w:val="22"/>
                <w:szCs w:val="22"/>
              </w:rPr>
            </w:pPr>
            <w:sdt>
              <w:sdtPr>
                <w:rPr>
                  <w:rFonts w:asciiTheme="minorHAnsi" w:hAnsiTheme="minorHAnsi" w:cstheme="minorHAnsi"/>
                </w:rPr>
                <w:id w:val="1226954297"/>
                <w14:checkbox>
                  <w14:checked w14:val="1"/>
                  <w14:checkedState w14:val="2612" w14:font="MS Gothic"/>
                  <w14:uncheckedState w14:val="2610" w14:font="MS Gothic"/>
                </w14:checkbox>
              </w:sdtPr>
              <w:sdtContent>
                <w:r w:rsidR="007B4B86">
                  <w:rPr>
                    <w:rFonts w:ascii="MS Gothic" w:eastAsia="MS Gothic" w:hAnsi="MS Gothic" w:cstheme="minorHAnsi" w:hint="eastAsia"/>
                  </w:rPr>
                  <w:t>☒</w:t>
                </w:r>
              </w:sdtContent>
            </w:sdt>
          </w:p>
        </w:tc>
        <w:tc>
          <w:tcPr>
            <w:tcW w:w="9688" w:type="dxa"/>
            <w:vAlign w:val="center"/>
          </w:tcPr>
          <w:p w14:paraId="2F94AEA8" w14:textId="7E0D3F30" w:rsidR="00D33288" w:rsidRPr="008D794F" w:rsidRDefault="00D33288" w:rsidP="00D33288">
            <w:pPr>
              <w:rPr>
                <w:rFonts w:ascii="Arial" w:hAnsi="Arial"/>
                <w:sz w:val="22"/>
                <w:szCs w:val="22"/>
              </w:rPr>
            </w:pPr>
            <w:r w:rsidRPr="008D794F">
              <w:rPr>
                <w:rFonts w:ascii="Arial" w:hAnsi="Arial" w:cstheme="minorBidi"/>
              </w:rPr>
              <w:t>National Strategic Plans (Health Sector and Disease specific)</w:t>
            </w:r>
          </w:p>
        </w:tc>
      </w:tr>
      <w:tr w:rsidR="00D33288" w:rsidRPr="0098274C" w14:paraId="0591D3E7" w14:textId="77777777" w:rsidTr="006810B2">
        <w:trPr>
          <w:trHeight w:val="567"/>
        </w:trPr>
        <w:tc>
          <w:tcPr>
            <w:tcW w:w="567" w:type="dxa"/>
            <w:shd w:val="clear" w:color="auto" w:fill="auto"/>
            <w:vAlign w:val="center"/>
          </w:tcPr>
          <w:p w14:paraId="45A7E14B" w14:textId="70C0F669" w:rsidR="00D33288" w:rsidRPr="007B1F00" w:rsidRDefault="00C71542" w:rsidP="00D33288">
            <w:pPr>
              <w:rPr>
                <w:rFonts w:asciiTheme="minorHAnsi" w:hAnsiTheme="minorHAnsi" w:cstheme="minorHAnsi"/>
                <w:sz w:val="22"/>
                <w:szCs w:val="22"/>
              </w:rPr>
            </w:pPr>
            <w:sdt>
              <w:sdtPr>
                <w:rPr>
                  <w:rFonts w:asciiTheme="minorHAnsi" w:hAnsiTheme="minorHAnsi" w:cstheme="minorHAnsi"/>
                </w:rPr>
                <w:id w:val="-1163155206"/>
                <w14:checkbox>
                  <w14:checked w14:val="0"/>
                  <w14:checkedState w14:val="2612" w14:font="MS Gothic"/>
                  <w14:uncheckedState w14:val="2610" w14:font="MS Gothic"/>
                </w14:checkbox>
              </w:sdtPr>
              <w:sdtContent/>
            </w:sdt>
            <w:r w:rsidR="00D33288" w:rsidRPr="007B1F00">
              <w:rPr>
                <w:rFonts w:ascii="Segoe UI Symbol" w:hAnsi="Segoe UI Symbol" w:cs="Segoe UI Symbol"/>
                <w:sz w:val="22"/>
                <w:szCs w:val="22"/>
              </w:rPr>
              <w:t>☐</w:t>
            </w:r>
          </w:p>
        </w:tc>
        <w:tc>
          <w:tcPr>
            <w:tcW w:w="9688" w:type="dxa"/>
            <w:vAlign w:val="center"/>
          </w:tcPr>
          <w:p w14:paraId="547AC985" w14:textId="35BA0E22" w:rsidR="00D33288" w:rsidRPr="008D794F" w:rsidRDefault="00D33288" w:rsidP="00D33288">
            <w:pPr>
              <w:rPr>
                <w:rFonts w:ascii="Arial" w:hAnsi="Arial"/>
                <w:sz w:val="22"/>
                <w:szCs w:val="22"/>
              </w:rPr>
            </w:pPr>
            <w:r w:rsidRPr="008D794F">
              <w:rPr>
                <w:rFonts w:ascii="Arial" w:hAnsi="Arial" w:cstheme="minorBidi"/>
                <w:lang w:eastAsia="zh-CN"/>
              </w:rPr>
              <w:t>All supporting documentation referenced in the funding request</w:t>
            </w:r>
          </w:p>
        </w:tc>
      </w:tr>
      <w:tr w:rsidR="00D33288" w:rsidRPr="0098274C" w14:paraId="2529886F" w14:textId="77777777" w:rsidTr="006810B2">
        <w:trPr>
          <w:trHeight w:val="567"/>
        </w:trPr>
        <w:tc>
          <w:tcPr>
            <w:tcW w:w="567" w:type="dxa"/>
            <w:shd w:val="clear" w:color="auto" w:fill="auto"/>
            <w:vAlign w:val="center"/>
          </w:tcPr>
          <w:p w14:paraId="7B19AFA1" w14:textId="4C5D0C20" w:rsidR="00D33288" w:rsidRPr="007B1F00" w:rsidRDefault="00C71542" w:rsidP="00D33288">
            <w:pPr>
              <w:rPr>
                <w:rFonts w:asciiTheme="minorHAnsi" w:hAnsiTheme="minorHAnsi" w:cstheme="minorHAnsi"/>
                <w:sz w:val="22"/>
                <w:szCs w:val="22"/>
              </w:rPr>
            </w:pPr>
            <w:sdt>
              <w:sdtPr>
                <w:rPr>
                  <w:rFonts w:asciiTheme="minorHAnsi" w:hAnsiTheme="minorHAnsi" w:cstheme="minorHAnsi"/>
                </w:rPr>
                <w:id w:val="1501008062"/>
                <w14:checkbox>
                  <w14:checked w14:val="1"/>
                  <w14:checkedState w14:val="2612" w14:font="MS Gothic"/>
                  <w14:uncheckedState w14:val="2610" w14:font="MS Gothic"/>
                </w14:checkbox>
              </w:sdtPr>
              <w:sdtContent>
                <w:r w:rsidR="00095737">
                  <w:rPr>
                    <w:rFonts w:ascii="MS Gothic" w:eastAsia="MS Gothic" w:hAnsi="MS Gothic" w:cstheme="minorHAnsi" w:hint="eastAsia"/>
                  </w:rPr>
                  <w:t>☒</w:t>
                </w:r>
              </w:sdtContent>
            </w:sdt>
          </w:p>
        </w:tc>
        <w:tc>
          <w:tcPr>
            <w:tcW w:w="9688" w:type="dxa"/>
            <w:vAlign w:val="center"/>
          </w:tcPr>
          <w:p w14:paraId="23739BB7" w14:textId="468E3A09" w:rsidR="00D33288" w:rsidRPr="008D794F" w:rsidRDefault="00D33288" w:rsidP="00D33288">
            <w:pPr>
              <w:rPr>
                <w:rFonts w:ascii="Arial" w:hAnsi="Arial"/>
                <w:sz w:val="22"/>
                <w:szCs w:val="22"/>
              </w:rPr>
            </w:pPr>
            <w:r w:rsidRPr="008D794F">
              <w:rPr>
                <w:rFonts w:ascii="Arial" w:hAnsi="Arial" w:cstheme="minorBidi"/>
              </w:rPr>
              <w:t>Health Product Management T</w:t>
            </w:r>
            <w:r w:rsidR="00AF2D87" w:rsidRPr="008D794F">
              <w:rPr>
                <w:rFonts w:ascii="Arial" w:hAnsi="Arial" w:cstheme="minorBidi"/>
              </w:rPr>
              <w:t xml:space="preserve">emplate </w:t>
            </w:r>
            <w:r w:rsidRPr="008D794F">
              <w:rPr>
                <w:rFonts w:ascii="Arial" w:hAnsi="Arial" w:cstheme="minorBidi"/>
              </w:rPr>
              <w:t>(if applicable)</w:t>
            </w:r>
            <w:r w:rsidR="008F05A0" w:rsidRPr="008D794F">
              <w:rPr>
                <w:rFonts w:ascii="Arial" w:hAnsi="Arial" w:cstheme="minorBidi"/>
              </w:rPr>
              <w:t xml:space="preserve"> </w:t>
            </w:r>
          </w:p>
        </w:tc>
      </w:tr>
      <w:tr w:rsidR="00D33288" w:rsidRPr="0098274C" w14:paraId="000B6993" w14:textId="77777777" w:rsidTr="00F268A0">
        <w:trPr>
          <w:trHeight w:val="567"/>
        </w:trPr>
        <w:tc>
          <w:tcPr>
            <w:tcW w:w="567" w:type="dxa"/>
            <w:shd w:val="clear" w:color="auto" w:fill="auto"/>
            <w:vAlign w:val="center"/>
          </w:tcPr>
          <w:p w14:paraId="5ABDDC04" w14:textId="29BE12E7" w:rsidR="00D33288" w:rsidRPr="007B1F00" w:rsidRDefault="00C71542" w:rsidP="00D33288">
            <w:pPr>
              <w:rPr>
                <w:rFonts w:asciiTheme="minorHAnsi" w:hAnsiTheme="minorHAnsi" w:cstheme="minorHAnsi"/>
                <w:sz w:val="22"/>
                <w:szCs w:val="22"/>
              </w:rPr>
            </w:pPr>
            <w:sdt>
              <w:sdtPr>
                <w:rPr>
                  <w:rFonts w:asciiTheme="minorHAnsi" w:hAnsiTheme="minorHAnsi" w:cstheme="minorHAnsi"/>
                </w:rPr>
                <w:id w:val="401407315"/>
                <w14:checkbox>
                  <w14:checked w14:val="1"/>
                  <w14:checkedState w14:val="2612" w14:font="MS Gothic"/>
                  <w14:uncheckedState w14:val="2610" w14:font="MS Gothic"/>
                </w14:checkbox>
              </w:sdtPr>
              <w:sdtContent>
                <w:r w:rsidR="0040643D">
                  <w:rPr>
                    <w:rFonts w:ascii="MS Gothic" w:eastAsia="MS Gothic" w:hAnsi="MS Gothic" w:cstheme="minorHAnsi" w:hint="eastAsia"/>
                  </w:rPr>
                  <w:t>☒</w:t>
                </w:r>
              </w:sdtContent>
            </w:sdt>
          </w:p>
        </w:tc>
        <w:tc>
          <w:tcPr>
            <w:tcW w:w="9688" w:type="dxa"/>
            <w:vAlign w:val="center"/>
          </w:tcPr>
          <w:p w14:paraId="40AE76AC" w14:textId="29AF564B" w:rsidR="00D33288" w:rsidRPr="008D794F" w:rsidRDefault="00D33288" w:rsidP="00D33288">
            <w:pPr>
              <w:rPr>
                <w:rFonts w:ascii="Arial" w:hAnsi="Arial"/>
                <w:sz w:val="22"/>
                <w:szCs w:val="22"/>
              </w:rPr>
            </w:pPr>
            <w:r w:rsidRPr="008D794F">
              <w:rPr>
                <w:rFonts w:ascii="Arial" w:hAnsi="Arial" w:cstheme="minorBidi"/>
              </w:rPr>
              <w:t>List of Abbreviations and Annexes</w:t>
            </w:r>
            <w:r w:rsidR="00605A90" w:rsidRPr="008D794F">
              <w:rPr>
                <w:rFonts w:ascii="Arial" w:hAnsi="Arial" w:cstheme="minorBidi"/>
              </w:rPr>
              <w:t xml:space="preserve"> </w:t>
            </w:r>
          </w:p>
        </w:tc>
      </w:tr>
    </w:tbl>
    <w:p w14:paraId="72F0A4CC" w14:textId="77777777" w:rsidR="006810B2" w:rsidRPr="00B271DB" w:rsidRDefault="006810B2" w:rsidP="004619FD">
      <w:pPr>
        <w:pStyle w:val="ListParagraph"/>
        <w:spacing w:line="360" w:lineRule="auto"/>
        <w:ind w:left="0"/>
        <w:rPr>
          <w:rFonts w:cs="Arial"/>
        </w:rPr>
      </w:pPr>
    </w:p>
    <w:bookmarkEnd w:id="22"/>
    <w:p w14:paraId="6E1D3450" w14:textId="323E3E9E" w:rsidR="009A6DE4" w:rsidRPr="004619FD" w:rsidRDefault="009A6DE4" w:rsidP="004619FD">
      <w:pPr>
        <w:spacing w:after="160" w:line="0" w:lineRule="auto"/>
      </w:pPr>
    </w:p>
    <w:p w14:paraId="46A8E238" w14:textId="77777777" w:rsidR="00411895" w:rsidRPr="004619FD" w:rsidRDefault="00411895">
      <w:pPr>
        <w:spacing w:after="160" w:line="0" w:lineRule="auto"/>
      </w:pPr>
    </w:p>
    <w:sectPr w:rsidR="00411895" w:rsidRPr="004619FD" w:rsidSect="00F5709E">
      <w:footerReference w:type="default" r:id="rId45"/>
      <w:footerReference w:type="first" r:id="rId46"/>
      <w:pgSz w:w="11906" w:h="16838" w:code="9"/>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5A274" w14:textId="77777777" w:rsidR="00484A34" w:rsidRPr="009F52F1" w:rsidRDefault="00484A34" w:rsidP="0013691B">
      <w:pPr>
        <w:spacing w:after="0" w:line="240" w:lineRule="auto"/>
      </w:pPr>
      <w:r w:rsidRPr="009F52F1">
        <w:separator/>
      </w:r>
    </w:p>
  </w:endnote>
  <w:endnote w:type="continuationSeparator" w:id="0">
    <w:p w14:paraId="5499DC55" w14:textId="77777777" w:rsidR="00484A34" w:rsidRPr="009F52F1" w:rsidRDefault="00484A34" w:rsidP="0013691B">
      <w:pPr>
        <w:spacing w:after="0" w:line="240" w:lineRule="auto"/>
      </w:pPr>
      <w:r w:rsidRPr="009F52F1">
        <w:continuationSeparator/>
      </w:r>
    </w:p>
  </w:endnote>
  <w:endnote w:type="continuationNotice" w:id="1">
    <w:p w14:paraId="67144879" w14:textId="77777777" w:rsidR="00484A34" w:rsidRDefault="00484A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 Pro">
    <w:altName w:val="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ndon Grotesque Ligh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0556792"/>
      <w:docPartObj>
        <w:docPartGallery w:val="Page Numbers (Bottom of Page)"/>
        <w:docPartUnique/>
      </w:docPartObj>
    </w:sdtPr>
    <w:sdtEndPr>
      <w:rPr>
        <w:noProof/>
      </w:rPr>
    </w:sdtEndPr>
    <w:sdtContent>
      <w:p w14:paraId="0E4B75CA" w14:textId="36AA210A" w:rsidR="00C71542" w:rsidRDefault="00C71542">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5E30F3AB" w14:textId="29B74E9F" w:rsidR="00C71542" w:rsidRPr="006364FF" w:rsidRDefault="00C71542" w:rsidP="006364FF">
    <w:pPr>
      <w:spacing w:after="0"/>
      <w:jc w:val="center"/>
      <w:rPr>
        <w:color w:val="A6A6A6" w:themeColor="background1" w:themeShade="A6"/>
        <w:sz w:val="18"/>
        <w:szCs w:val="18"/>
      </w:rPr>
    </w:pPr>
    <w:r w:rsidRPr="00D21468">
      <w:rPr>
        <w:color w:val="A6A6A6" w:themeColor="background1" w:themeShade="A6"/>
        <w:sz w:val="18"/>
        <w:szCs w:val="18"/>
      </w:rPr>
      <w:t xml:space="preserve"> </w:t>
    </w:r>
    <w:bookmarkStart w:id="23" w:name="_Hlk14420169"/>
    <w:r w:rsidRPr="006364FF">
      <w:rPr>
        <w:color w:val="A6A6A6" w:themeColor="background1" w:themeShade="A6"/>
        <w:sz w:val="18"/>
        <w:szCs w:val="18"/>
      </w:rPr>
      <w:t xml:space="preserve">Funding Request Form – </w:t>
    </w:r>
    <w:r>
      <w:rPr>
        <w:color w:val="A6A6A6" w:themeColor="background1" w:themeShade="A6"/>
        <w:sz w:val="18"/>
        <w:szCs w:val="18"/>
      </w:rPr>
      <w:t>Tailored for Focused Portfolios</w:t>
    </w:r>
  </w:p>
  <w:p w14:paraId="163F2751" w14:textId="4B5857CB" w:rsidR="00C71542" w:rsidRPr="009B192C" w:rsidRDefault="00C71542" w:rsidP="006364FF">
    <w:pPr>
      <w:spacing w:after="0"/>
      <w:jc w:val="center"/>
      <w:rPr>
        <w:b/>
        <w:color w:val="A6A6A6" w:themeColor="background1" w:themeShade="A6"/>
        <w:sz w:val="18"/>
        <w:szCs w:val="18"/>
      </w:rPr>
    </w:pPr>
    <w:r w:rsidRPr="006364FF">
      <w:rPr>
        <w:color w:val="A6A6A6" w:themeColor="background1" w:themeShade="A6"/>
        <w:sz w:val="18"/>
        <w:szCs w:val="18"/>
      </w:rPr>
      <w:t xml:space="preserve">Issue Date: </w:t>
    </w:r>
    <w:bookmarkEnd w:id="23"/>
    <w:r>
      <w:rPr>
        <w:color w:val="A6A6A6" w:themeColor="background1" w:themeShade="A6"/>
        <w:sz w:val="18"/>
        <w:szCs w:val="18"/>
      </w:rPr>
      <w:t>March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2C72B" w14:textId="39EF8D9B" w:rsidR="00C71542" w:rsidRDefault="00C71542" w:rsidP="00F5709E">
    <w:pPr>
      <w:spacing w:after="0"/>
      <w:jc w:val="center"/>
      <w:rPr>
        <w:color w:val="A6A6A6" w:themeColor="background1" w:themeShade="A6"/>
        <w:sz w:val="18"/>
        <w:szCs w:val="18"/>
      </w:rPr>
    </w:pPr>
    <w:r w:rsidRPr="00EF23C6">
      <w:rPr>
        <w:color w:val="A6A6A6" w:themeColor="background1" w:themeShade="A6"/>
        <w:sz w:val="18"/>
        <w:szCs w:val="18"/>
      </w:rPr>
      <w:t xml:space="preserve">Funding Request </w:t>
    </w:r>
    <w:r>
      <w:rPr>
        <w:color w:val="A6A6A6" w:themeColor="background1" w:themeShade="A6"/>
        <w:sz w:val="18"/>
        <w:szCs w:val="18"/>
      </w:rPr>
      <w:t>Form</w:t>
    </w:r>
    <w:r w:rsidRPr="00EF23C6">
      <w:rPr>
        <w:color w:val="A6A6A6" w:themeColor="background1" w:themeShade="A6"/>
        <w:sz w:val="18"/>
        <w:szCs w:val="18"/>
      </w:rPr>
      <w:t xml:space="preserve"> </w:t>
    </w:r>
    <w:r>
      <w:rPr>
        <w:color w:val="A6A6A6" w:themeColor="background1" w:themeShade="A6"/>
        <w:sz w:val="18"/>
        <w:szCs w:val="18"/>
      </w:rPr>
      <w:t>–</w:t>
    </w:r>
    <w:r w:rsidRPr="00EF23C6">
      <w:rPr>
        <w:color w:val="A6A6A6" w:themeColor="background1" w:themeShade="A6"/>
        <w:sz w:val="18"/>
        <w:szCs w:val="18"/>
      </w:rPr>
      <w:t xml:space="preserve"> </w:t>
    </w:r>
    <w:r>
      <w:rPr>
        <w:color w:val="A6A6A6" w:themeColor="background1" w:themeShade="A6"/>
        <w:sz w:val="18"/>
        <w:szCs w:val="18"/>
      </w:rPr>
      <w:t>Tailored for Focused Portfolios</w:t>
    </w:r>
  </w:p>
  <w:p w14:paraId="2BEB7DF9" w14:textId="54857839" w:rsidR="00C71542" w:rsidRDefault="00C71542" w:rsidP="00F5709E">
    <w:pPr>
      <w:pStyle w:val="Footer"/>
      <w:jc w:val="center"/>
    </w:pPr>
    <w:r>
      <w:rPr>
        <w:color w:val="A6A6A6" w:themeColor="background1" w:themeShade="A6"/>
        <w:sz w:val="18"/>
        <w:szCs w:val="18"/>
      </w:rPr>
      <w:t>Issue Date: March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C9AF0A" w14:textId="77777777" w:rsidR="00484A34" w:rsidRPr="009F52F1" w:rsidRDefault="00484A34" w:rsidP="0013691B">
      <w:pPr>
        <w:spacing w:after="0" w:line="240" w:lineRule="auto"/>
      </w:pPr>
      <w:r w:rsidRPr="009F52F1">
        <w:separator/>
      </w:r>
    </w:p>
  </w:footnote>
  <w:footnote w:type="continuationSeparator" w:id="0">
    <w:p w14:paraId="29B97CE1" w14:textId="77777777" w:rsidR="00484A34" w:rsidRPr="009F52F1" w:rsidRDefault="00484A34" w:rsidP="0013691B">
      <w:pPr>
        <w:spacing w:after="0" w:line="240" w:lineRule="auto"/>
      </w:pPr>
      <w:r w:rsidRPr="009F52F1">
        <w:continuationSeparator/>
      </w:r>
    </w:p>
  </w:footnote>
  <w:footnote w:type="continuationNotice" w:id="1">
    <w:p w14:paraId="1860CF5E" w14:textId="77777777" w:rsidR="00484A34" w:rsidRDefault="00484A34">
      <w:pPr>
        <w:spacing w:after="0" w:line="240" w:lineRule="auto"/>
      </w:pPr>
    </w:p>
  </w:footnote>
  <w:footnote w:id="2">
    <w:p w14:paraId="0231AB5C" w14:textId="77777777" w:rsidR="00C71542" w:rsidRDefault="00C71542" w:rsidP="00253CE0">
      <w:pPr>
        <w:pStyle w:val="FootnoteText"/>
        <w:ind w:right="386"/>
      </w:pPr>
      <w:r>
        <w:rPr>
          <w:rStyle w:val="FootnoteReference"/>
        </w:rPr>
        <w:footnoteRef/>
      </w:r>
      <w:r>
        <w:t xml:space="preserve"> </w:t>
      </w:r>
      <w:r>
        <w:rPr>
          <w:szCs w:val="16"/>
        </w:rPr>
        <w:t>PAARs can only be submitted with the Funding Request. To complete a PAAR, fill-in the Excel template that you will receive from the Global Fund Secretariat.</w:t>
      </w:r>
    </w:p>
  </w:footnote>
  <w:footnote w:id="3">
    <w:p w14:paraId="4687941B" w14:textId="77777777" w:rsidR="00C71542" w:rsidRDefault="00C71542" w:rsidP="00253CE0">
      <w:pPr>
        <w:pStyle w:val="FootnoteText"/>
        <w:ind w:right="386"/>
      </w:pPr>
      <w:r>
        <w:rPr>
          <w:rStyle w:val="FootnoteReference"/>
        </w:rPr>
        <w:footnoteRef/>
      </w:r>
      <w:r>
        <w:t>This is only relevant for applicants with designated matching funds as indicated in the allocation letter.</w:t>
      </w:r>
    </w:p>
    <w:p w14:paraId="5A49A5AD" w14:textId="77777777" w:rsidR="00C71542" w:rsidRDefault="00C71542" w:rsidP="00253CE0">
      <w:pPr>
        <w:pStyle w:val="FootnoteText"/>
        <w:ind w:right="386"/>
      </w:pPr>
    </w:p>
  </w:footnote>
  <w:footnote w:id="4">
    <w:p w14:paraId="2A919505" w14:textId="77777777" w:rsidR="00C71542" w:rsidRPr="00494D85" w:rsidRDefault="00C71542" w:rsidP="0071110F">
      <w:pPr>
        <w:pStyle w:val="FootnoteText"/>
        <w:rPr>
          <w:rFonts w:cs="Arial"/>
          <w:szCs w:val="16"/>
        </w:rPr>
      </w:pPr>
      <w:r w:rsidRPr="00494D85">
        <w:rPr>
          <w:rStyle w:val="FootnoteReference"/>
          <w:rFonts w:cs="Arial"/>
          <w:szCs w:val="16"/>
        </w:rPr>
        <w:footnoteRef/>
      </w:r>
      <w:r w:rsidRPr="00494D85">
        <w:rPr>
          <w:rFonts w:cs="Arial"/>
          <w:szCs w:val="16"/>
        </w:rPr>
        <w:t xml:space="preserve"> The World Bank, </w:t>
      </w:r>
      <w:hyperlink r:id="rId1" w:history="1">
        <w:r w:rsidRPr="00494D85">
          <w:rPr>
            <w:rStyle w:val="Hyperlink"/>
            <w:rFonts w:cs="Arial"/>
            <w:szCs w:val="16"/>
          </w:rPr>
          <w:t>http://data.worldbank.org/country/</w:t>
        </w:r>
      </w:hyperlink>
      <w:r>
        <w:rPr>
          <w:rStyle w:val="Hyperlink"/>
          <w:rFonts w:cs="Arial"/>
          <w:szCs w:val="16"/>
        </w:rPr>
        <w:t>moldova</w:t>
      </w:r>
      <w:r w:rsidRPr="00494D85">
        <w:rPr>
          <w:rFonts w:cs="Arial"/>
          <w:szCs w:val="16"/>
        </w:rPr>
        <w:t>; Atlas method, in current US dollars.</w:t>
      </w:r>
    </w:p>
  </w:footnote>
  <w:footnote w:id="5">
    <w:p w14:paraId="2E0EBA5B" w14:textId="77777777" w:rsidR="00C71542" w:rsidRDefault="00C71542" w:rsidP="0071110F">
      <w:pPr>
        <w:pStyle w:val="FootnoteText"/>
      </w:pPr>
      <w:r>
        <w:rPr>
          <w:rStyle w:val="FootnoteReference"/>
        </w:rPr>
        <w:footnoteRef/>
      </w:r>
      <w:r>
        <w:t xml:space="preserve"> Republic of Moldova official site. </w:t>
      </w:r>
      <w:hyperlink r:id="rId2" w:history="1">
        <w:r w:rsidRPr="00F11350">
          <w:rPr>
            <w:rStyle w:val="Hyperlink"/>
          </w:rPr>
          <w:t>https://moldova.md/en/content/administrative-territorial-organization-moldova</w:t>
        </w:r>
      </w:hyperlink>
      <w:r>
        <w:t xml:space="preserve"> </w:t>
      </w:r>
    </w:p>
  </w:footnote>
  <w:footnote w:id="6">
    <w:p w14:paraId="06101139" w14:textId="77777777" w:rsidR="00C71542" w:rsidRDefault="00C71542" w:rsidP="0071110F">
      <w:pPr>
        <w:pStyle w:val="FootnoteText"/>
      </w:pPr>
      <w:r>
        <w:rPr>
          <w:rStyle w:val="FootnoteReference"/>
        </w:rPr>
        <w:footnoteRef/>
      </w:r>
      <w:r>
        <w:t xml:space="preserve"> UNDP.Human Development Report Moldova 2019. Preliminary data.</w:t>
      </w:r>
    </w:p>
  </w:footnote>
  <w:footnote w:id="7">
    <w:p w14:paraId="31717B38" w14:textId="77777777" w:rsidR="00C71542" w:rsidRDefault="00C71542" w:rsidP="0071110F">
      <w:pPr>
        <w:pStyle w:val="FootnoteText"/>
      </w:pPr>
      <w:r>
        <w:rPr>
          <w:rStyle w:val="FootnoteReference"/>
        </w:rPr>
        <w:footnoteRef/>
      </w:r>
      <w:r>
        <w:t xml:space="preserve"> National Bureau of Statistics database: </w:t>
      </w:r>
      <w:hyperlink r:id="rId3" w:history="1">
        <w:r w:rsidRPr="00F11350">
          <w:rPr>
            <w:rStyle w:val="Hyperlink"/>
          </w:rPr>
          <w:t>https://statbank.statistica.md/pxweb/pxweb/ro/20%20Populatia%20si%20procesele%20demografice/20%20Populatia%20si%20procesele%20demografice__POPrec__POP010/POP010100rcl.px/table/tableViewLayout1/?rxid=b2ff27d7-0b96-43c9-934b-42e1a2a9a774</w:t>
        </w:r>
      </w:hyperlink>
      <w:r>
        <w:t xml:space="preserve"> </w:t>
      </w:r>
    </w:p>
  </w:footnote>
  <w:footnote w:id="8">
    <w:p w14:paraId="2307B771" w14:textId="77777777" w:rsidR="00C71542" w:rsidRPr="0007215E" w:rsidRDefault="00C71542" w:rsidP="004A2E91">
      <w:pPr>
        <w:pStyle w:val="FootnoteText"/>
        <w:rPr>
          <w:lang w:val="ro-MD"/>
        </w:rPr>
      </w:pPr>
      <w:r>
        <w:rPr>
          <w:rStyle w:val="FootnoteReference"/>
        </w:rPr>
        <w:footnoteRef/>
      </w:r>
      <w:r>
        <w:t xml:space="preserve"> </w:t>
      </w:r>
      <w:r>
        <w:rPr>
          <w:lang w:val="ro-MD"/>
        </w:rPr>
        <w:t>2015 Census in Transnistria.</w:t>
      </w:r>
    </w:p>
  </w:footnote>
  <w:footnote w:id="9">
    <w:p w14:paraId="75F0EC60" w14:textId="77777777" w:rsidR="00C71542" w:rsidRDefault="00C71542" w:rsidP="0071110F">
      <w:pPr>
        <w:pStyle w:val="FootnoteText"/>
      </w:pPr>
      <w:r>
        <w:rPr>
          <w:rStyle w:val="FootnoteReference"/>
        </w:rPr>
        <w:footnoteRef/>
      </w:r>
      <w:r>
        <w:t xml:space="preserve"> </w:t>
      </w:r>
    </w:p>
  </w:footnote>
  <w:footnote w:id="10">
    <w:p w14:paraId="36A916E9" w14:textId="77777777" w:rsidR="00C71542" w:rsidRDefault="00C71542" w:rsidP="0071110F">
      <w:pPr>
        <w:pStyle w:val="FootnoteText"/>
      </w:pPr>
      <w:r>
        <w:rPr>
          <w:rStyle w:val="FootnoteReference"/>
        </w:rPr>
        <w:footnoteRef/>
      </w:r>
      <w:r>
        <w:t xml:space="preserve">World Bank. Moldova economic update Spring 2020. </w:t>
      </w:r>
      <w:hyperlink r:id="rId4" w:history="1">
        <w:r w:rsidRPr="00F11350">
          <w:rPr>
            <w:rStyle w:val="Hyperlink"/>
          </w:rPr>
          <w:t>https://www.worldbank.org/en/country/moldova/brief/moldova-economic-update</w:t>
        </w:r>
      </w:hyperlink>
      <w:r>
        <w:t xml:space="preserve"> </w:t>
      </w:r>
    </w:p>
  </w:footnote>
  <w:footnote w:id="11">
    <w:p w14:paraId="0FE0C230" w14:textId="77777777" w:rsidR="00C71542" w:rsidRDefault="00C71542" w:rsidP="0071110F">
      <w:pPr>
        <w:pStyle w:val="FootnoteText"/>
      </w:pPr>
      <w:r>
        <w:rPr>
          <w:rStyle w:val="FootnoteReference"/>
        </w:rPr>
        <w:footnoteRef/>
      </w:r>
      <w:r>
        <w:t xml:space="preserve"> Tuberculosis surveillance and monitoring in Europe, 2019 (2017 data), Joint ECDC and WHO Report, 2019 </w:t>
      </w:r>
    </w:p>
  </w:footnote>
  <w:footnote w:id="12">
    <w:p w14:paraId="6F477BD4" w14:textId="77777777" w:rsidR="00C71542" w:rsidRPr="00476070" w:rsidRDefault="00C71542" w:rsidP="0011450F">
      <w:pPr>
        <w:pStyle w:val="FootnoteText"/>
        <w:rPr>
          <w:sz w:val="18"/>
          <w:szCs w:val="18"/>
        </w:rPr>
      </w:pPr>
      <w:r w:rsidRPr="00476070">
        <w:rPr>
          <w:rStyle w:val="FootnoteReference"/>
          <w:sz w:val="18"/>
          <w:szCs w:val="18"/>
        </w:rPr>
        <w:footnoteRef/>
      </w:r>
      <w:r w:rsidRPr="00476070">
        <w:rPr>
          <w:sz w:val="18"/>
          <w:szCs w:val="18"/>
        </w:rPr>
        <w:t xml:space="preserve"> </w:t>
      </w:r>
      <w:hyperlink r:id="rId5" w:history="1">
        <w:r w:rsidRPr="00476070">
          <w:rPr>
            <w:rStyle w:val="Hyperlink"/>
            <w:sz w:val="18"/>
            <w:szCs w:val="18"/>
          </w:rPr>
          <w:t>https://statistica.gov.md/category.php?l=en&amp;idc=103&amp;</w:t>
        </w:r>
      </w:hyperlink>
    </w:p>
  </w:footnote>
  <w:footnote w:id="13">
    <w:p w14:paraId="3C86613D" w14:textId="77777777" w:rsidR="00C71542" w:rsidRDefault="00C71542" w:rsidP="0071110F">
      <w:pPr>
        <w:pStyle w:val="FootnoteText"/>
      </w:pPr>
      <w:r>
        <w:rPr>
          <w:rStyle w:val="FootnoteReference"/>
        </w:rPr>
        <w:footnoteRef/>
      </w:r>
      <w:r>
        <w:t xml:space="preserve"> GLC mission report 2019.</w:t>
      </w:r>
    </w:p>
  </w:footnote>
  <w:footnote w:id="14">
    <w:p w14:paraId="4C84A736" w14:textId="77777777" w:rsidR="00C71542" w:rsidRPr="00A81C44" w:rsidRDefault="00C71542" w:rsidP="0071110F">
      <w:pPr>
        <w:pStyle w:val="FootnoteText"/>
        <w:rPr>
          <w:szCs w:val="16"/>
        </w:rPr>
      </w:pPr>
      <w:r>
        <w:rPr>
          <w:rStyle w:val="FootnoteReference"/>
        </w:rPr>
        <w:footnoteRef/>
      </w:r>
      <w:r>
        <w:t xml:space="preserve"> </w:t>
      </w:r>
      <w:r w:rsidRPr="00A81C44">
        <w:rPr>
          <w:szCs w:val="16"/>
        </w:rPr>
        <w:t>Presentation: Barbuć R. Aspects of Collaboration in Tuberculosis Control in Bălţi municipality, Clinic Hospital Balti,</w:t>
      </w:r>
    </w:p>
    <w:p w14:paraId="180F9C75" w14:textId="77777777" w:rsidR="00C71542" w:rsidRPr="00C71542" w:rsidRDefault="00C71542" w:rsidP="0071110F">
      <w:pPr>
        <w:pStyle w:val="FootnoteText"/>
        <w:rPr>
          <w:szCs w:val="16"/>
          <w:lang w:val="fr-FR"/>
        </w:rPr>
      </w:pPr>
      <w:r w:rsidRPr="00C71542">
        <w:rPr>
          <w:szCs w:val="16"/>
          <w:lang w:val="fr-FR"/>
        </w:rPr>
        <w:t>03/22/2019</w:t>
      </w:r>
    </w:p>
  </w:footnote>
  <w:footnote w:id="15">
    <w:p w14:paraId="29F2062D" w14:textId="77777777" w:rsidR="00C71542" w:rsidRPr="009D0320" w:rsidRDefault="00C71542" w:rsidP="0071110F">
      <w:pPr>
        <w:pStyle w:val="FootnoteText"/>
        <w:rPr>
          <w:lang w:val="ro-MD"/>
        </w:rPr>
      </w:pPr>
      <w:r>
        <w:rPr>
          <w:rStyle w:val="FootnoteReference"/>
        </w:rPr>
        <w:footnoteRef/>
      </w:r>
      <w:r w:rsidRPr="00C71542">
        <w:rPr>
          <w:lang w:val="fr-FR"/>
        </w:rPr>
        <w:t xml:space="preserve"> </w:t>
      </w:r>
      <w:r>
        <w:rPr>
          <w:lang w:val="ro-MD"/>
        </w:rPr>
        <w:t>NTCP data.</w:t>
      </w:r>
    </w:p>
  </w:footnote>
  <w:footnote w:id="16">
    <w:p w14:paraId="44E3C5BD" w14:textId="77777777" w:rsidR="00C71542" w:rsidRPr="00D40E94" w:rsidRDefault="00C71542" w:rsidP="0071110F">
      <w:pPr>
        <w:pStyle w:val="FootnoteText"/>
        <w:rPr>
          <w:lang w:val="en-GB"/>
        </w:rPr>
      </w:pPr>
      <w:r>
        <w:rPr>
          <w:rStyle w:val="FootnoteReference"/>
        </w:rPr>
        <w:footnoteRef/>
      </w:r>
      <w:r w:rsidRPr="00C71542">
        <w:rPr>
          <w:lang w:val="fr-FR"/>
        </w:rPr>
        <w:t xml:space="preserve"> Rucşineanu O. et al. </w:t>
      </w:r>
      <w:r>
        <w:t>Advocacy strategy for the transition to outpatient treatment of tuberculosis: Republic of Moldova 2016-2018. Bălţi : S. n., 2018</w:t>
      </w:r>
    </w:p>
  </w:footnote>
  <w:footnote w:id="17">
    <w:p w14:paraId="254ACC3C" w14:textId="225090B3" w:rsidR="00C71542" w:rsidRDefault="00C71542">
      <w:pPr>
        <w:pStyle w:val="FootnoteText"/>
      </w:pPr>
      <w:r>
        <w:rPr>
          <w:rStyle w:val="FootnoteReference"/>
        </w:rPr>
        <w:footnoteRef/>
      </w:r>
      <w:r>
        <w:t xml:space="preserve"> Burnet Institute et al  (2018) Optimizing Investment in Moldova’s TB Response. </w:t>
      </w:r>
      <w:hyperlink r:id="rId6" w:history="1">
        <w:r w:rsidRPr="006915FA">
          <w:rPr>
            <w:rStyle w:val="Hyperlink"/>
          </w:rPr>
          <w:t>http://optimamodel.com/pubs/Moldova%202018.pdf</w:t>
        </w:r>
      </w:hyperlink>
      <w:r>
        <w:t xml:space="preserve"> </w:t>
      </w:r>
    </w:p>
  </w:footnote>
  <w:footnote w:id="18">
    <w:p w14:paraId="7125B1E2" w14:textId="77777777" w:rsidR="00C71542" w:rsidRPr="0070659E" w:rsidRDefault="00C71542" w:rsidP="0071110F">
      <w:pPr>
        <w:pStyle w:val="FootnoteText"/>
      </w:pPr>
      <w:r>
        <w:rPr>
          <w:rStyle w:val="FootnoteReference"/>
        </w:rPr>
        <w:footnoteRef/>
      </w:r>
      <w:r>
        <w:t xml:space="preserve"> NTCP data 2020.</w:t>
      </w:r>
    </w:p>
  </w:footnote>
  <w:footnote w:id="19">
    <w:p w14:paraId="3682DCCD" w14:textId="480AECD3" w:rsidR="00C71542" w:rsidRDefault="00C71542" w:rsidP="000911AC">
      <w:pPr>
        <w:pStyle w:val="Heading2"/>
        <w:numPr>
          <w:ilvl w:val="0"/>
          <w:numId w:val="0"/>
        </w:numPr>
        <w:spacing w:before="0" w:after="0" w:line="240" w:lineRule="auto"/>
        <w:ind w:left="562" w:hanging="562"/>
        <w:jc w:val="both"/>
      </w:pPr>
      <w:r w:rsidRPr="000911AC">
        <w:rPr>
          <w:rStyle w:val="FootnoteReference"/>
          <w:b w:val="0"/>
        </w:rPr>
        <w:footnoteRef/>
      </w:r>
      <w:r w:rsidRPr="000911AC">
        <w:rPr>
          <w:b w:val="0"/>
          <w:sz w:val="16"/>
        </w:rPr>
        <w:t>TB REP: Country case on advancinf people-centred care in Moldova</w:t>
      </w:r>
      <w:r>
        <w:rPr>
          <w:b w:val="0"/>
          <w:sz w:val="16"/>
        </w:rPr>
        <w:t xml:space="preserve"> </w:t>
      </w:r>
      <w:hyperlink r:id="rId7" w:history="1">
        <w:r w:rsidRPr="006915FA">
          <w:rPr>
            <w:rStyle w:val="Hyperlink"/>
            <w:b w:val="0"/>
            <w:sz w:val="16"/>
          </w:rPr>
          <w:t>http://pas.md/en/PAS/Studies/Details/114</w:t>
        </w:r>
      </w:hyperlink>
      <w:r>
        <w:rPr>
          <w:b w:val="0"/>
          <w:sz w:val="16"/>
        </w:rPr>
        <w:t xml:space="preserve"> </w:t>
      </w:r>
    </w:p>
  </w:footnote>
  <w:footnote w:id="20">
    <w:p w14:paraId="0DA6996E" w14:textId="0EC867BC" w:rsidR="00C71542" w:rsidRDefault="00C71542">
      <w:pPr>
        <w:pStyle w:val="FootnoteText"/>
      </w:pPr>
      <w:r>
        <w:rPr>
          <w:rStyle w:val="FootnoteReference"/>
        </w:rPr>
        <w:footnoteRef/>
      </w:r>
      <w:r>
        <w:t xml:space="preserve"> </w:t>
      </w:r>
      <w:r w:rsidRPr="000911AC">
        <w:t>Technical assistance for development of sustainable financing models for TB control, allocation mechanism, and provider payment mechanisms for TB care in different care settings in the Republic of Moldova.</w:t>
      </w:r>
      <w:r>
        <w:rPr>
          <w:b/>
        </w:rPr>
        <w:t xml:space="preserve">  </w:t>
      </w:r>
      <w:hyperlink r:id="rId8" w:history="1">
        <w:r w:rsidRPr="006915FA">
          <w:rPr>
            <w:rStyle w:val="Hyperlink"/>
          </w:rPr>
          <w:t>http://pas.md/en/PAS/Studies/Details/172?fbclid=IwAR1kOhSXdOnX1q4LJLS3UOBuAs436Km-6ddI2CPjdxRGakPSAtROgjwu65s</w:t>
        </w:r>
      </w:hyperlink>
      <w:r>
        <w:t xml:space="preserve"> </w:t>
      </w:r>
    </w:p>
  </w:footnote>
  <w:footnote w:id="21">
    <w:p w14:paraId="4E261D38" w14:textId="3D3C5704" w:rsidR="00C71542" w:rsidRPr="00060809" w:rsidRDefault="00C71542" w:rsidP="0071110F">
      <w:pPr>
        <w:pStyle w:val="FootnoteText"/>
        <w:rPr>
          <w:sz w:val="18"/>
          <w:szCs w:val="18"/>
        </w:rPr>
      </w:pPr>
      <w:r w:rsidRPr="00A52B71">
        <w:rPr>
          <w:rStyle w:val="FootnoteReference"/>
          <w:sz w:val="18"/>
          <w:szCs w:val="18"/>
        </w:rPr>
        <w:footnoteRef/>
      </w:r>
      <w:r>
        <w:rPr>
          <w:sz w:val="18"/>
          <w:szCs w:val="18"/>
        </w:rPr>
        <w:t xml:space="preserve"> NTCP.</w:t>
      </w:r>
      <w:r w:rsidRPr="00A52B71">
        <w:rPr>
          <w:sz w:val="18"/>
          <w:szCs w:val="18"/>
        </w:rPr>
        <w:t xml:space="preserve"> People-Centered Model of TB Care </w:t>
      </w:r>
      <w:r>
        <w:rPr>
          <w:sz w:val="18"/>
          <w:szCs w:val="18"/>
        </w:rPr>
        <w:t>draft.</w:t>
      </w:r>
    </w:p>
  </w:footnote>
  <w:footnote w:id="22">
    <w:p w14:paraId="273BB966" w14:textId="77777777" w:rsidR="00C71542" w:rsidRPr="00894E1A" w:rsidRDefault="00C71542" w:rsidP="0071110F">
      <w:pPr>
        <w:pStyle w:val="NoSpacing"/>
        <w:rPr>
          <w:sz w:val="18"/>
          <w:szCs w:val="18"/>
        </w:rPr>
      </w:pPr>
      <w:r w:rsidRPr="00060809">
        <w:rPr>
          <w:rStyle w:val="FootnoteReference"/>
          <w:sz w:val="18"/>
          <w:szCs w:val="18"/>
        </w:rPr>
        <w:footnoteRef/>
      </w:r>
      <w:r w:rsidRPr="00060809">
        <w:rPr>
          <w:sz w:val="18"/>
          <w:szCs w:val="18"/>
        </w:rPr>
        <w:t xml:space="preserve"> National clinical protocol for </w:t>
      </w:r>
      <w:r w:rsidRPr="00060809">
        <w:rPr>
          <w:sz w:val="18"/>
          <w:szCs w:val="18"/>
          <w:lang w:val="ro-RO"/>
        </w:rPr>
        <w:t xml:space="preserve">TB in Adults and Children </w:t>
      </w:r>
      <w:hyperlink r:id="rId9" w:history="1">
        <w:r w:rsidRPr="00894E1A">
          <w:rPr>
            <w:rStyle w:val="Hyperlink"/>
            <w:rFonts w:eastAsia="Calibri" w:cstheme="minorHAnsi"/>
            <w:bCs/>
            <w:sz w:val="18"/>
            <w:szCs w:val="18"/>
          </w:rPr>
          <w:t>http://simetb.ifp.md/Download/oficial_docs/Ordin_MS_2020_05_05_nr_440_441-aprobare-protocoale.pdf</w:t>
        </w:r>
      </w:hyperlink>
      <w:r w:rsidRPr="00060809">
        <w:rPr>
          <w:sz w:val="18"/>
          <w:szCs w:val="18"/>
        </w:rPr>
        <w:t xml:space="preserve"> </w:t>
      </w:r>
    </w:p>
    <w:p w14:paraId="39443F8B" w14:textId="77777777" w:rsidR="00C71542" w:rsidRPr="00894E1A" w:rsidRDefault="00C71542" w:rsidP="0071110F">
      <w:pPr>
        <w:pStyle w:val="NoSpacing"/>
        <w:rPr>
          <w:rStyle w:val="Hyperlink"/>
          <w:rFonts w:eastAsia="Calibri" w:cstheme="minorHAnsi"/>
          <w:bCs/>
          <w:sz w:val="18"/>
          <w:szCs w:val="18"/>
        </w:rPr>
      </w:pPr>
      <w:hyperlink r:id="rId10" w:history="1">
        <w:r w:rsidRPr="00894E1A">
          <w:rPr>
            <w:rStyle w:val="Hyperlink"/>
            <w:rFonts w:eastAsia="Calibri" w:cstheme="minorHAnsi"/>
            <w:bCs/>
            <w:sz w:val="18"/>
            <w:szCs w:val="18"/>
          </w:rPr>
          <w:t>http://simetb.ifp.md/Download/oficial_docs/PCN-55-2020-Tuberculoza_la_copil.pdf</w:t>
        </w:r>
      </w:hyperlink>
      <w:r w:rsidRPr="00060809">
        <w:rPr>
          <w:rStyle w:val="Hyperlink"/>
          <w:rFonts w:eastAsia="Calibri" w:cstheme="minorHAnsi"/>
          <w:bCs/>
          <w:sz w:val="18"/>
          <w:szCs w:val="18"/>
        </w:rPr>
        <w:t xml:space="preserve"> </w:t>
      </w:r>
      <w:r w:rsidRPr="00894E1A">
        <w:rPr>
          <w:rStyle w:val="Hyperlink"/>
          <w:rFonts w:eastAsia="Calibri" w:cstheme="minorHAnsi"/>
          <w:bCs/>
          <w:sz w:val="18"/>
          <w:szCs w:val="18"/>
        </w:rPr>
        <w:t xml:space="preserve"> </w:t>
      </w:r>
    </w:p>
    <w:bookmarkStart w:id="3" w:name="_Hlk40356826"/>
    <w:p w14:paraId="0A4687E6" w14:textId="77777777" w:rsidR="00C71542" w:rsidRPr="00894E1A" w:rsidRDefault="00C71542" w:rsidP="0071110F">
      <w:pPr>
        <w:pStyle w:val="NoSpacing"/>
        <w:rPr>
          <w:rStyle w:val="Hyperlink"/>
          <w:rFonts w:eastAsia="Calibri" w:cstheme="minorHAnsi"/>
          <w:bCs/>
          <w:sz w:val="18"/>
          <w:szCs w:val="18"/>
        </w:rPr>
      </w:pPr>
      <w:r w:rsidRPr="00060809">
        <w:rPr>
          <w:rStyle w:val="Hyperlink"/>
          <w:rFonts w:eastAsia="Calibri" w:cstheme="minorHAnsi"/>
          <w:bCs/>
          <w:sz w:val="18"/>
          <w:szCs w:val="18"/>
          <w:lang w:val="ru-MD"/>
        </w:rPr>
        <w:fldChar w:fldCharType="begin"/>
      </w:r>
      <w:r w:rsidRPr="00894E1A">
        <w:rPr>
          <w:rStyle w:val="Hyperlink"/>
          <w:rFonts w:eastAsia="Calibri" w:cstheme="minorHAnsi"/>
          <w:bCs/>
          <w:sz w:val="18"/>
          <w:szCs w:val="18"/>
        </w:rPr>
        <w:instrText xml:space="preserve"> HYPERLINK "http://simetb.ifp.md/Download/oficial_docs/PCN-123-2020-Tuberculoza_la_adult.pdf" </w:instrText>
      </w:r>
      <w:r w:rsidRPr="00060809">
        <w:rPr>
          <w:rStyle w:val="Hyperlink"/>
          <w:rFonts w:eastAsia="Calibri" w:cstheme="minorHAnsi"/>
          <w:bCs/>
          <w:sz w:val="18"/>
          <w:szCs w:val="18"/>
          <w:lang w:val="ru-MD"/>
        </w:rPr>
        <w:fldChar w:fldCharType="separate"/>
      </w:r>
      <w:r w:rsidRPr="00894E1A">
        <w:rPr>
          <w:rStyle w:val="Hyperlink"/>
          <w:rFonts w:eastAsia="Calibri" w:cstheme="minorHAnsi"/>
          <w:bCs/>
          <w:sz w:val="18"/>
          <w:szCs w:val="18"/>
        </w:rPr>
        <w:t>http://simetb.ifp.md/Download/oficial_docs/PCN-123-2020-Tuberculoza_la_adult.pdf</w:t>
      </w:r>
      <w:r w:rsidRPr="00060809">
        <w:rPr>
          <w:rStyle w:val="Hyperlink"/>
          <w:rFonts w:eastAsia="Calibri" w:cstheme="minorHAnsi"/>
          <w:bCs/>
          <w:sz w:val="18"/>
          <w:szCs w:val="18"/>
          <w:lang w:val="ru-MD"/>
        </w:rPr>
        <w:fldChar w:fldCharType="end"/>
      </w:r>
      <w:r w:rsidRPr="00060809">
        <w:rPr>
          <w:rStyle w:val="Hyperlink"/>
          <w:rFonts w:eastAsia="Calibri" w:cstheme="minorHAnsi"/>
          <w:bCs/>
          <w:sz w:val="18"/>
          <w:szCs w:val="18"/>
        </w:rPr>
        <w:t xml:space="preserve"> </w:t>
      </w:r>
      <w:r w:rsidRPr="00894E1A">
        <w:rPr>
          <w:rStyle w:val="Hyperlink"/>
          <w:rFonts w:eastAsia="Calibri" w:cstheme="minorHAnsi"/>
          <w:bCs/>
          <w:sz w:val="18"/>
          <w:szCs w:val="18"/>
        </w:rPr>
        <w:t xml:space="preserve"> </w:t>
      </w:r>
      <w:bookmarkEnd w:id="3"/>
    </w:p>
  </w:footnote>
  <w:footnote w:id="23">
    <w:p w14:paraId="4ED83235" w14:textId="77777777" w:rsidR="00C71542" w:rsidRPr="00060809" w:rsidRDefault="00C71542" w:rsidP="0071110F">
      <w:pPr>
        <w:pStyle w:val="FootnoteText"/>
        <w:rPr>
          <w:sz w:val="18"/>
          <w:szCs w:val="18"/>
        </w:rPr>
      </w:pPr>
      <w:r w:rsidRPr="00060809">
        <w:rPr>
          <w:rStyle w:val="FootnoteReference"/>
          <w:sz w:val="18"/>
          <w:szCs w:val="18"/>
        </w:rPr>
        <w:footnoteRef/>
      </w:r>
      <w:r w:rsidRPr="00060809">
        <w:rPr>
          <w:sz w:val="18"/>
          <w:szCs w:val="18"/>
        </w:rPr>
        <w:t xml:space="preserve"> WHO global TB database 2018</w:t>
      </w:r>
    </w:p>
  </w:footnote>
  <w:footnote w:id="24">
    <w:p w14:paraId="570B092C" w14:textId="77777777" w:rsidR="00C71542" w:rsidRPr="00894E1A" w:rsidRDefault="00C71542" w:rsidP="0071110F">
      <w:pPr>
        <w:pStyle w:val="NoSpacing"/>
        <w:rPr>
          <w:rFonts w:eastAsia="Calibri" w:cstheme="minorHAnsi"/>
          <w:bCs/>
          <w:sz w:val="18"/>
          <w:szCs w:val="18"/>
        </w:rPr>
      </w:pPr>
      <w:r w:rsidRPr="00060809">
        <w:rPr>
          <w:rStyle w:val="FootnoteReference"/>
          <w:sz w:val="18"/>
          <w:szCs w:val="18"/>
        </w:rPr>
        <w:footnoteRef/>
      </w:r>
      <w:hyperlink r:id="rId11" w:history="1">
        <w:r w:rsidRPr="00894E1A">
          <w:rPr>
            <w:rStyle w:val="Hyperlink"/>
            <w:rFonts w:eastAsia="Calibri" w:cstheme="minorHAnsi"/>
            <w:bCs/>
            <w:sz w:val="18"/>
            <w:szCs w:val="18"/>
          </w:rPr>
          <w:t>http://old2.ms.gov.md/sites/default/files/legislatie/ordin_nr._1080_din_13.10.2014_cu_privire_la_masurile_de_eficientizare_a_depistarii_tuberculozei.pdf</w:t>
        </w:r>
      </w:hyperlink>
      <w:r w:rsidRPr="00060809">
        <w:rPr>
          <w:rFonts w:eastAsia="Calibri" w:cstheme="minorHAnsi"/>
          <w:bCs/>
          <w:sz w:val="18"/>
          <w:szCs w:val="18"/>
        </w:rPr>
        <w:t xml:space="preserve">; </w:t>
      </w:r>
      <w:r w:rsidRPr="00894E1A">
        <w:rPr>
          <w:rFonts w:eastAsia="Calibri" w:cstheme="minorHAnsi"/>
          <w:bCs/>
          <w:sz w:val="18"/>
          <w:szCs w:val="18"/>
        </w:rPr>
        <w:t xml:space="preserve"> </w:t>
      </w:r>
      <w:hyperlink r:id="rId12" w:history="1">
        <w:r w:rsidRPr="00894E1A">
          <w:rPr>
            <w:rStyle w:val="Hyperlink"/>
            <w:rFonts w:eastAsia="Calibri" w:cstheme="minorHAnsi"/>
            <w:bCs/>
            <w:sz w:val="18"/>
            <w:szCs w:val="18"/>
          </w:rPr>
          <w:t>http://old2.ms.gov.md/sites/default/files/legislatie/ord._411_din_31.05.2017_modificarea</w:t>
        </w:r>
        <w:r w:rsidRPr="00060809">
          <w:rPr>
            <w:rStyle w:val="Hyperlink"/>
            <w:rFonts w:eastAsia="Calibri" w:cstheme="minorHAnsi"/>
            <w:bCs/>
            <w:sz w:val="18"/>
            <w:szCs w:val="18"/>
          </w:rPr>
          <w:t xml:space="preserve"> </w:t>
        </w:r>
        <w:r w:rsidRPr="00894E1A">
          <w:rPr>
            <w:rStyle w:val="Hyperlink"/>
            <w:rFonts w:eastAsia="Calibri" w:cstheme="minorHAnsi"/>
            <w:bCs/>
            <w:sz w:val="18"/>
            <w:szCs w:val="18"/>
          </w:rPr>
          <w:t>1080</w:t>
        </w:r>
        <w:r w:rsidRPr="00060809">
          <w:rPr>
            <w:rStyle w:val="Hyperlink"/>
            <w:rFonts w:eastAsia="Calibri" w:cstheme="minorHAnsi"/>
            <w:bCs/>
            <w:sz w:val="18"/>
            <w:szCs w:val="18"/>
          </w:rPr>
          <w:t xml:space="preserve"> </w:t>
        </w:r>
        <w:r w:rsidRPr="00894E1A">
          <w:rPr>
            <w:rStyle w:val="Hyperlink"/>
            <w:rFonts w:eastAsia="Calibri" w:cstheme="minorHAnsi"/>
            <w:bCs/>
            <w:sz w:val="18"/>
            <w:szCs w:val="18"/>
          </w:rPr>
          <w:t>depistarea_tbc.pdf</w:t>
        </w:r>
      </w:hyperlink>
    </w:p>
  </w:footnote>
  <w:footnote w:id="25">
    <w:p w14:paraId="5D6BC8BB" w14:textId="77777777" w:rsidR="00C71542" w:rsidRPr="00060809" w:rsidRDefault="00C71542" w:rsidP="0071110F">
      <w:pPr>
        <w:pStyle w:val="FootnoteText"/>
        <w:rPr>
          <w:sz w:val="18"/>
          <w:szCs w:val="18"/>
        </w:rPr>
      </w:pPr>
      <w:r w:rsidRPr="00060809">
        <w:rPr>
          <w:rStyle w:val="FootnoteReference"/>
          <w:sz w:val="18"/>
          <w:szCs w:val="18"/>
        </w:rPr>
        <w:footnoteRef/>
      </w:r>
      <w:r w:rsidRPr="00060809">
        <w:rPr>
          <w:sz w:val="18"/>
          <w:szCs w:val="18"/>
        </w:rPr>
        <w:t xml:space="preserve"> The NTP 2019 data</w:t>
      </w:r>
    </w:p>
  </w:footnote>
  <w:footnote w:id="26">
    <w:p w14:paraId="6EE12608" w14:textId="231A4493" w:rsidR="00C71542" w:rsidRDefault="00C71542">
      <w:pPr>
        <w:pStyle w:val="FootnoteText"/>
      </w:pPr>
      <w:r>
        <w:rPr>
          <w:rStyle w:val="FootnoteReference"/>
        </w:rPr>
        <w:footnoteRef/>
      </w:r>
      <w:r>
        <w:t xml:space="preserve"> WHO (2019). Compendium of good practices in the implementation of the TB Action Plan for the European Region 2016-2020. </w:t>
      </w:r>
      <w:r w:rsidRPr="00B420E9">
        <w:t>Republic of Moldova. Joint effort of state and civil society actors in the early detection of active TB among contacts and high-risk groups</w:t>
      </w:r>
      <w:r>
        <w:t xml:space="preserve"> (p.9) </w:t>
      </w:r>
      <w:hyperlink r:id="rId13" w:history="1">
        <w:r w:rsidRPr="006915FA">
          <w:rPr>
            <w:rStyle w:val="Hyperlink"/>
          </w:rPr>
          <w:t>https://apps.who.int/iris/bitstream/handle/10665/311065/9789289053983-eng.pdf?sequence=1&amp;isAllowed=y</w:t>
        </w:r>
      </w:hyperlink>
      <w:r>
        <w:t xml:space="preserve"> </w:t>
      </w:r>
    </w:p>
  </w:footnote>
  <w:footnote w:id="27">
    <w:p w14:paraId="38E51734" w14:textId="5F2E60E6" w:rsidR="00C71542" w:rsidRDefault="00C71542">
      <w:pPr>
        <w:pStyle w:val="FootnoteText"/>
      </w:pPr>
      <w:r>
        <w:rPr>
          <w:rStyle w:val="FootnoteReference"/>
        </w:rPr>
        <w:footnoteRef/>
      </w:r>
      <w:r>
        <w:t xml:space="preserve"> Ministry of Justice Department of Penitentiary Instiutions, annual reporting data 2019. </w:t>
      </w:r>
    </w:p>
  </w:footnote>
  <w:footnote w:id="28">
    <w:p w14:paraId="0B008F6B" w14:textId="258A09DA" w:rsidR="00C71542" w:rsidRPr="00FF4FA9" w:rsidRDefault="00C71542" w:rsidP="0071110F">
      <w:pPr>
        <w:pStyle w:val="FootnoteText"/>
      </w:pPr>
      <w:r>
        <w:rPr>
          <w:rStyle w:val="FootnoteReference"/>
        </w:rPr>
        <w:footnoteRef/>
      </w:r>
      <w:r>
        <w:t xml:space="preserve">Matteelli A (2018) Technical Assistance for Strengthening the framework of TB/HIV collaborative activities in Moldova.   </w:t>
      </w:r>
      <w:hyperlink r:id="rId14" w:history="1">
        <w:r w:rsidRPr="006915FA">
          <w:rPr>
            <w:rStyle w:val="Hyperlink"/>
          </w:rPr>
          <w:t>http://pas.md/en/PAS/Studies/Details/173?fbclid=IwAR08GRlq3BcWIDZalwj8JWuEGYtocqsr_nNaHYcPgw1RRUaVcLI95alJ39U</w:t>
        </w:r>
      </w:hyperlink>
      <w:r>
        <w:t xml:space="preserve"> </w:t>
      </w:r>
    </w:p>
  </w:footnote>
  <w:footnote w:id="29">
    <w:p w14:paraId="2F8ABB69" w14:textId="78FAB140" w:rsidR="00C71542" w:rsidRPr="00FF4FA9" w:rsidRDefault="00C71542" w:rsidP="0071110F">
      <w:pPr>
        <w:pStyle w:val="FootnoteText"/>
      </w:pPr>
      <w:r>
        <w:rPr>
          <w:rStyle w:val="FootnoteReference"/>
        </w:rPr>
        <w:footnoteRef/>
      </w:r>
      <w:r>
        <w:t xml:space="preserve"> Chart audit of cased with TB/HIV coinfection 2014</w:t>
      </w:r>
      <w:hyperlink r:id="rId15" w:history="1">
        <w:r w:rsidRPr="006915FA">
          <w:rPr>
            <w:rStyle w:val="Hyperlink"/>
          </w:rPr>
          <w:t>http://pas.md/en/PAS/Studies/Details/27</w:t>
        </w:r>
      </w:hyperlink>
      <w:r>
        <w:t xml:space="preserve"> </w:t>
      </w:r>
    </w:p>
  </w:footnote>
  <w:footnote w:id="30">
    <w:p w14:paraId="7BCF555C" w14:textId="4B32356F" w:rsidR="00C71542" w:rsidRDefault="00C71542">
      <w:pPr>
        <w:pStyle w:val="FootnoteText"/>
      </w:pPr>
      <w:r>
        <w:rPr>
          <w:rStyle w:val="FootnoteReference"/>
        </w:rPr>
        <w:footnoteRef/>
      </w:r>
      <w:r>
        <w:t xml:space="preserve"> Recommendations of the 2017 Evaluation Report of NGO grants for TB services in Moldova (Annex 9 p. 5)</w:t>
      </w:r>
    </w:p>
  </w:footnote>
  <w:footnote w:id="31">
    <w:p w14:paraId="5FE33C0F" w14:textId="77777777" w:rsidR="00C71542" w:rsidRDefault="00C71542" w:rsidP="00886006">
      <w:pPr>
        <w:pStyle w:val="FootnoteText"/>
      </w:pPr>
      <w:r>
        <w:rPr>
          <w:rStyle w:val="FootnoteReference"/>
        </w:rPr>
        <w:footnoteRef/>
      </w:r>
      <w:r>
        <w:t xml:space="preserve"> WHO (2018). Compendium of Good Practices in the health sector response to HIV in the European Region ( p.95) </w:t>
      </w:r>
      <w:hyperlink r:id="rId16" w:history="1">
        <w:r w:rsidRPr="006915FA">
          <w:rPr>
            <w:rStyle w:val="Hyperlink"/>
          </w:rPr>
          <w:t>https://www.euro.who.int/en/publications/abstracts/compendium-of-good-practices-in-the-health-sector-response-to-hiv-in-the-who-european-region</w:t>
        </w:r>
      </w:hyperlink>
      <w:r>
        <w:t xml:space="preserve"> </w:t>
      </w:r>
    </w:p>
  </w:footnote>
  <w:footnote w:id="32">
    <w:p w14:paraId="2610BF34" w14:textId="2FF3958A" w:rsidR="00C71542" w:rsidRDefault="00C71542">
      <w:pPr>
        <w:pStyle w:val="FootnoteText"/>
      </w:pPr>
      <w:r>
        <w:rPr>
          <w:rStyle w:val="FootnoteReference"/>
        </w:rPr>
        <w:footnoteRef/>
      </w:r>
      <w:r>
        <w:t xml:space="preserve">Assessment of capacity building needs of NGOs working with key populations and healthcare providers in the Republic of Moldova </w:t>
      </w:r>
      <w:hyperlink r:id="rId17" w:history="1">
        <w:r w:rsidRPr="00C02448">
          <w:rPr>
            <w:rStyle w:val="Hyperlink"/>
          </w:rPr>
          <w:t>http://www.pas.md/en/PAS/Studies/Details/121</w:t>
        </w:r>
      </w:hyperlink>
      <w:r>
        <w:t xml:space="preserve"> </w:t>
      </w:r>
    </w:p>
  </w:footnote>
  <w:footnote w:id="33">
    <w:p w14:paraId="77DC8725" w14:textId="77777777" w:rsidR="00C71542" w:rsidRPr="0046043E" w:rsidRDefault="00C71542" w:rsidP="0071110F">
      <w:pPr>
        <w:pStyle w:val="FootnoteText"/>
        <w:rPr>
          <w:sz w:val="12"/>
        </w:rPr>
      </w:pPr>
      <w:r>
        <w:rPr>
          <w:rStyle w:val="FootnoteReference"/>
        </w:rPr>
        <w:footnoteRef/>
      </w:r>
      <w:r>
        <w:t xml:space="preserve"> </w:t>
      </w:r>
      <w:r w:rsidRPr="0046043E">
        <w:rPr>
          <w:rStyle w:val="e24kjd"/>
          <w:rFonts w:cs="Arial"/>
        </w:rPr>
        <w:t>Until 2019 a client was validated by a single visit / contact during the year with the provision of three main services per year. Starting 2019, the criteria expanded to include at least 6 visits per year with the provision of a basic package of services (exchange of syringes + alcohol wipe, condom, information material).</w:t>
      </w:r>
    </w:p>
  </w:footnote>
  <w:footnote w:id="34">
    <w:p w14:paraId="6239A122" w14:textId="77777777" w:rsidR="00C71542" w:rsidRPr="0049222A" w:rsidRDefault="00C71542" w:rsidP="0049222A">
      <w:pPr>
        <w:pStyle w:val="FootnoteText"/>
        <w:rPr>
          <w:sz w:val="18"/>
          <w:szCs w:val="18"/>
        </w:rPr>
      </w:pPr>
      <w:r w:rsidRPr="003D01CD">
        <w:rPr>
          <w:rStyle w:val="FootnoteReference"/>
          <w:sz w:val="18"/>
          <w:szCs w:val="18"/>
        </w:rPr>
        <w:footnoteRef/>
      </w:r>
      <w:r w:rsidRPr="003D01CD">
        <w:rPr>
          <w:sz w:val="18"/>
          <w:szCs w:val="18"/>
        </w:rPr>
        <w:t xml:space="preserve"> </w:t>
      </w:r>
      <w:r w:rsidRPr="0049222A">
        <w:rPr>
          <w:sz w:val="18"/>
          <w:szCs w:val="18"/>
        </w:rPr>
        <w:t xml:space="preserve">HIT Moldova 2012: </w:t>
      </w:r>
      <w:hyperlink r:id="rId18" w:history="1">
        <w:r w:rsidRPr="0049222A">
          <w:rPr>
            <w:rStyle w:val="Hyperlink"/>
            <w:sz w:val="18"/>
            <w:szCs w:val="18"/>
          </w:rPr>
          <w:t>https://www.euro.who.int/__data/assets/pdf_file/0006/178053/HiT-Moldova.pdf?ua=1</w:t>
        </w:r>
      </w:hyperlink>
      <w:r w:rsidRPr="0049222A">
        <w:rPr>
          <w:sz w:val="18"/>
          <w:szCs w:val="18"/>
        </w:rPr>
        <w:t xml:space="preserve"> </w:t>
      </w:r>
    </w:p>
  </w:footnote>
  <w:footnote w:id="35">
    <w:p w14:paraId="57E77795" w14:textId="77777777" w:rsidR="00C71542" w:rsidRPr="0049222A" w:rsidRDefault="00C71542" w:rsidP="0049222A">
      <w:pPr>
        <w:pStyle w:val="NoSpacing"/>
        <w:rPr>
          <w:sz w:val="18"/>
          <w:szCs w:val="18"/>
        </w:rPr>
      </w:pPr>
      <w:r w:rsidRPr="0049222A">
        <w:rPr>
          <w:rStyle w:val="FootnoteReference"/>
          <w:sz w:val="18"/>
          <w:szCs w:val="18"/>
        </w:rPr>
        <w:footnoteRef/>
      </w:r>
      <w:r w:rsidRPr="0049222A">
        <w:rPr>
          <w:sz w:val="18"/>
          <w:szCs w:val="18"/>
        </w:rPr>
        <w:t xml:space="preserve"> </w:t>
      </w:r>
      <w:r w:rsidRPr="0049222A">
        <w:rPr>
          <w:bCs/>
          <w:sz w:val="18"/>
          <w:szCs w:val="18"/>
        </w:rPr>
        <w:t xml:space="preserve">National Public Health Strategy 2014-2020, the Government Decision No. 1032, December 20, 2013, </w:t>
      </w:r>
      <w:hyperlink r:id="rId19" w:history="1">
        <w:r w:rsidRPr="0049222A">
          <w:rPr>
            <w:rStyle w:val="Hyperlink"/>
            <w:sz w:val="18"/>
            <w:szCs w:val="18"/>
          </w:rPr>
          <w:t>https://ansp.md/wp-content/uploads/2014/07/strategia-HG1032RUS.pdf</w:t>
        </w:r>
      </w:hyperlink>
      <w:r w:rsidRPr="0049222A">
        <w:rPr>
          <w:sz w:val="18"/>
          <w:szCs w:val="18"/>
        </w:rPr>
        <w:t xml:space="preserve"> </w:t>
      </w:r>
    </w:p>
  </w:footnote>
  <w:footnote w:id="36">
    <w:p w14:paraId="65E36DFC" w14:textId="77777777" w:rsidR="00C71542" w:rsidRPr="0049222A" w:rsidRDefault="00C71542" w:rsidP="0049222A">
      <w:pPr>
        <w:pStyle w:val="NoSpacing"/>
        <w:rPr>
          <w:sz w:val="18"/>
          <w:szCs w:val="18"/>
        </w:rPr>
      </w:pPr>
      <w:r w:rsidRPr="0049222A">
        <w:rPr>
          <w:rStyle w:val="FootnoteReference"/>
          <w:sz w:val="18"/>
          <w:szCs w:val="18"/>
        </w:rPr>
        <w:footnoteRef/>
      </w:r>
      <w:r w:rsidRPr="0049222A">
        <w:rPr>
          <w:sz w:val="18"/>
          <w:szCs w:val="18"/>
        </w:rPr>
        <w:t xml:space="preserve"> </w:t>
      </w:r>
      <w:bookmarkStart w:id="5" w:name="_Hlk40348453"/>
      <w:r w:rsidRPr="0049222A">
        <w:rPr>
          <w:bCs/>
          <w:sz w:val="18"/>
          <w:szCs w:val="18"/>
        </w:rPr>
        <w:t>National Development Strategy “Moldova 2030”, submitted to the Government and Parliament of the Republic of Moldova for approval,</w:t>
      </w:r>
      <w:r w:rsidRPr="0049222A">
        <w:rPr>
          <w:sz w:val="18"/>
          <w:szCs w:val="18"/>
        </w:rPr>
        <w:t xml:space="preserve"> </w:t>
      </w:r>
      <w:hyperlink r:id="rId20" w:history="1">
        <w:r w:rsidRPr="0049222A">
          <w:rPr>
            <w:rStyle w:val="Hyperlink"/>
            <w:sz w:val="18"/>
            <w:szCs w:val="18"/>
          </w:rPr>
          <w:t>https://gov.md/sites/default/files/document/attachments/intr40_12_0.pdf</w:t>
        </w:r>
      </w:hyperlink>
      <w:r w:rsidRPr="0049222A">
        <w:rPr>
          <w:sz w:val="18"/>
          <w:szCs w:val="18"/>
        </w:rPr>
        <w:t xml:space="preserve"> </w:t>
      </w:r>
      <w:bookmarkEnd w:id="5"/>
    </w:p>
  </w:footnote>
  <w:footnote w:id="37">
    <w:p w14:paraId="02462E0B" w14:textId="0863341D" w:rsidR="00C71542" w:rsidRDefault="00C71542">
      <w:pPr>
        <w:pStyle w:val="FootnoteText"/>
      </w:pPr>
      <w:r>
        <w:rPr>
          <w:rStyle w:val="FootnoteReference"/>
        </w:rPr>
        <w:footnoteRef/>
      </w:r>
      <w:r>
        <w:t xml:space="preserve"> National Bureau of Statistics. </w:t>
      </w:r>
    </w:p>
  </w:footnote>
  <w:footnote w:id="38">
    <w:p w14:paraId="4B32AEC9" w14:textId="0D007CED" w:rsidR="00C71542" w:rsidRPr="0049222A" w:rsidRDefault="00C71542" w:rsidP="0049222A">
      <w:pPr>
        <w:spacing w:after="0" w:line="240" w:lineRule="auto"/>
        <w:rPr>
          <w:rFonts w:cs="Arial"/>
          <w:sz w:val="18"/>
          <w:szCs w:val="18"/>
        </w:rPr>
      </w:pPr>
      <w:r w:rsidRPr="0049222A">
        <w:rPr>
          <w:rStyle w:val="FootnoteReference"/>
          <w:sz w:val="18"/>
          <w:szCs w:val="18"/>
        </w:rPr>
        <w:footnoteRef/>
      </w:r>
      <w:r w:rsidRPr="0049222A">
        <w:rPr>
          <w:sz w:val="18"/>
          <w:szCs w:val="18"/>
        </w:rPr>
        <w:t xml:space="preserve"> </w:t>
      </w:r>
      <w:r w:rsidRPr="0049222A">
        <w:rPr>
          <w:rFonts w:cs="Arial"/>
          <w:sz w:val="18"/>
          <w:szCs w:val="18"/>
        </w:rPr>
        <w:t>WHO Health for all databse</w:t>
      </w:r>
      <w:r w:rsidRPr="0049222A">
        <w:rPr>
          <w:rFonts w:eastAsia="Times New Roman" w:cs="Arial"/>
          <w:color w:val="201F1E"/>
          <w:sz w:val="18"/>
          <w:szCs w:val="18"/>
          <w:shd w:val="clear" w:color="auto" w:fill="FFFFFF"/>
        </w:rPr>
        <w:t>:  </w:t>
      </w:r>
      <w:hyperlink r:id="rId21" w:anchor="id=19664&amp;tab=table" w:history="1">
        <w:r w:rsidRPr="0049222A">
          <w:rPr>
            <w:rStyle w:val="Hyperlink"/>
            <w:rFonts w:eastAsia="Times New Roman" w:cs="Arial"/>
            <w:sz w:val="18"/>
            <w:szCs w:val="18"/>
            <w:shd w:val="clear" w:color="auto" w:fill="FFFFFF"/>
          </w:rPr>
          <w:t>https://gateway.euro.who.int/ru/indicators/hfa_569-6720-total-health-expenditure-ppp-per-capita-who-estimates/visualizations/#id=19664&amp;tab=table</w:t>
        </w:r>
      </w:hyperlink>
    </w:p>
  </w:footnote>
  <w:footnote w:id="39">
    <w:p w14:paraId="318DBFDE" w14:textId="21E9C1FF" w:rsidR="00C71542" w:rsidRPr="0049222A" w:rsidRDefault="00C71542" w:rsidP="0049222A">
      <w:pPr>
        <w:pStyle w:val="NoSpacing"/>
        <w:rPr>
          <w:bCs/>
          <w:sz w:val="18"/>
          <w:szCs w:val="18"/>
        </w:rPr>
      </w:pPr>
      <w:r w:rsidRPr="0049222A">
        <w:rPr>
          <w:bCs/>
          <w:sz w:val="18"/>
          <w:szCs w:val="18"/>
        </w:rPr>
        <w:footnoteRef/>
      </w:r>
      <w:r w:rsidRPr="0049222A">
        <w:rPr>
          <w:bCs/>
          <w:sz w:val="18"/>
          <w:szCs w:val="18"/>
        </w:rPr>
        <w:t xml:space="preserve"> WHO, PAS Center (2015). Barriers and facilitating factors in access to health services in the Republic of Moldova. </w:t>
      </w:r>
      <w:hyperlink r:id="rId22" w:history="1">
        <w:r w:rsidRPr="0049222A">
          <w:rPr>
            <w:rStyle w:val="Hyperlink"/>
            <w:bCs/>
            <w:sz w:val="18"/>
            <w:szCs w:val="18"/>
          </w:rPr>
          <w:t>https://www.euro.who.int/__data/assets/pdf_file/0018/183510/e96775-final.pdf</w:t>
        </w:r>
      </w:hyperlink>
      <w:r w:rsidRPr="0049222A">
        <w:rPr>
          <w:bCs/>
          <w:sz w:val="18"/>
          <w:szCs w:val="18"/>
        </w:rPr>
        <w:t xml:space="preserve"> </w:t>
      </w:r>
    </w:p>
  </w:footnote>
  <w:footnote w:id="40">
    <w:p w14:paraId="068618C7" w14:textId="557BA2EA" w:rsidR="00C71542" w:rsidRPr="0049222A" w:rsidRDefault="00C71542" w:rsidP="0049222A">
      <w:pPr>
        <w:pStyle w:val="FootnoteText"/>
        <w:rPr>
          <w:sz w:val="18"/>
          <w:szCs w:val="18"/>
        </w:rPr>
      </w:pPr>
      <w:r w:rsidRPr="0049222A">
        <w:rPr>
          <w:rStyle w:val="FootnoteReference"/>
          <w:sz w:val="18"/>
          <w:szCs w:val="18"/>
        </w:rPr>
        <w:footnoteRef/>
      </w:r>
      <w:r w:rsidRPr="0049222A">
        <w:rPr>
          <w:sz w:val="18"/>
          <w:szCs w:val="18"/>
        </w:rPr>
        <w:t xml:space="preserve"> Vian et al (2015) Barriers to universal health coverage in Republic of Moldova: a policy analysis of forma and informal out-of-pocket payments. </w:t>
      </w:r>
      <w:hyperlink r:id="rId23" w:history="1">
        <w:r w:rsidRPr="0049222A">
          <w:rPr>
            <w:rStyle w:val="Hyperlink"/>
            <w:sz w:val="18"/>
            <w:szCs w:val="18"/>
          </w:rPr>
          <w:t>https://www.ncbi.nlm.nih.gov/pmc/articles/PMC4531477/</w:t>
        </w:r>
      </w:hyperlink>
      <w:r w:rsidRPr="0049222A">
        <w:rPr>
          <w:sz w:val="18"/>
          <w:szCs w:val="18"/>
        </w:rPr>
        <w:t xml:space="preserve"> </w:t>
      </w:r>
    </w:p>
  </w:footnote>
  <w:footnote w:id="41">
    <w:p w14:paraId="4D7B3D44" w14:textId="77777777" w:rsidR="00C71542" w:rsidRPr="00252EE9" w:rsidRDefault="00C71542" w:rsidP="000F2330">
      <w:pPr>
        <w:pStyle w:val="FootnoteText"/>
        <w:rPr>
          <w:sz w:val="18"/>
          <w:szCs w:val="18"/>
        </w:rPr>
      </w:pPr>
      <w:r w:rsidRPr="00252EE9">
        <w:rPr>
          <w:rStyle w:val="FootnoteReference"/>
          <w:sz w:val="18"/>
          <w:szCs w:val="18"/>
        </w:rPr>
        <w:footnoteRef/>
      </w:r>
      <w:r w:rsidRPr="00252EE9">
        <w:rPr>
          <w:sz w:val="18"/>
          <w:szCs w:val="18"/>
        </w:rPr>
        <w:t xml:space="preserve"> Moldova: Overview of corruption and anti-corruption, a focus on the healthcare and procurement sectors, 2017</w:t>
      </w:r>
    </w:p>
  </w:footnote>
  <w:footnote w:id="42">
    <w:p w14:paraId="0BEA44A1" w14:textId="2A926485" w:rsidR="00C71542" w:rsidRPr="00060809" w:rsidRDefault="00C71542" w:rsidP="000F2330">
      <w:pPr>
        <w:pStyle w:val="FootnoteText"/>
        <w:rPr>
          <w:sz w:val="18"/>
          <w:szCs w:val="18"/>
        </w:rPr>
      </w:pPr>
      <w:r w:rsidRPr="00060809">
        <w:rPr>
          <w:rStyle w:val="FootnoteReference"/>
          <w:sz w:val="18"/>
          <w:szCs w:val="18"/>
        </w:rPr>
        <w:footnoteRef/>
      </w:r>
      <w:r w:rsidRPr="00060809">
        <w:rPr>
          <w:sz w:val="18"/>
          <w:szCs w:val="18"/>
        </w:rPr>
        <w:t xml:space="preserve"> Focused Country Evaluations, </w:t>
      </w:r>
      <w:r w:rsidRPr="00060809">
        <w:rPr>
          <w:rFonts w:cs="Brandon Grotesque Light"/>
          <w:color w:val="000000"/>
          <w:sz w:val="18"/>
          <w:szCs w:val="18"/>
        </w:rPr>
        <w:t>Moldova TB Evaluation, APMG, 2020</w:t>
      </w:r>
      <w:r>
        <w:rPr>
          <w:rFonts w:cs="Brandon Grotesque Light"/>
          <w:color w:val="000000"/>
          <w:sz w:val="18"/>
          <w:szCs w:val="18"/>
        </w:rPr>
        <w:t xml:space="preserve"> (Annex 4)</w:t>
      </w:r>
    </w:p>
  </w:footnote>
  <w:footnote w:id="43">
    <w:p w14:paraId="6B0046D8" w14:textId="2DA7E023" w:rsidR="00C71542" w:rsidRPr="0049222A" w:rsidRDefault="00C71542" w:rsidP="0049222A">
      <w:pPr>
        <w:pStyle w:val="FootnoteText"/>
        <w:rPr>
          <w:sz w:val="18"/>
          <w:szCs w:val="18"/>
        </w:rPr>
      </w:pPr>
      <w:r w:rsidRPr="0049222A">
        <w:rPr>
          <w:rStyle w:val="FootnoteReference"/>
          <w:sz w:val="18"/>
          <w:szCs w:val="18"/>
        </w:rPr>
        <w:footnoteRef/>
      </w:r>
      <w:r w:rsidRPr="0049222A">
        <w:rPr>
          <w:sz w:val="18"/>
          <w:szCs w:val="18"/>
        </w:rPr>
        <w:t xml:space="preserve"> Leimane I (2017). Health Workforce for Tuberculosis treatment an</w:t>
      </w:r>
      <w:r>
        <w:rPr>
          <w:sz w:val="18"/>
          <w:szCs w:val="18"/>
        </w:rPr>
        <w:t>d</w:t>
      </w:r>
      <w:r w:rsidRPr="0049222A">
        <w:rPr>
          <w:sz w:val="18"/>
          <w:szCs w:val="18"/>
        </w:rPr>
        <w:t xml:space="preserve"> support in the Republic of Moldova. </w:t>
      </w:r>
      <w:hyperlink r:id="rId24" w:history="1">
        <w:r w:rsidRPr="0049222A">
          <w:rPr>
            <w:rStyle w:val="Hyperlink"/>
            <w:sz w:val="18"/>
            <w:szCs w:val="18"/>
          </w:rPr>
          <w:t>http://pas.md/en/PAS/Studies/Details/171</w:t>
        </w:r>
      </w:hyperlink>
      <w:r w:rsidRPr="0049222A">
        <w:rPr>
          <w:sz w:val="18"/>
          <w:szCs w:val="18"/>
        </w:rPr>
        <w:t xml:space="preserve"> </w:t>
      </w:r>
    </w:p>
  </w:footnote>
  <w:footnote w:id="44">
    <w:p w14:paraId="22E501EE" w14:textId="77777777" w:rsidR="00C71542" w:rsidRDefault="00C71542" w:rsidP="0020456D">
      <w:pPr>
        <w:pStyle w:val="FootnoteText"/>
      </w:pPr>
      <w:r>
        <w:rPr>
          <w:rStyle w:val="FootnoteReference"/>
        </w:rPr>
        <w:footnoteRef/>
      </w:r>
      <w:r>
        <w:t xml:space="preserve"> WHO (2018) Compendium of good practices in the health sector response to HIV in the European region. </w:t>
      </w:r>
      <w:hyperlink r:id="rId25" w:history="1">
        <w:r w:rsidRPr="006915FA">
          <w:rPr>
            <w:rStyle w:val="Hyperlink"/>
          </w:rPr>
          <w:t>https://www.euro.who.int/en/publications/abstracts/compendium-of-good-practices-in-the-health-sector-response-to-hiv-in-the-who-european-region</w:t>
        </w:r>
      </w:hyperlink>
      <w:r>
        <w:t xml:space="preserve"> </w:t>
      </w:r>
      <w:r w:rsidRPr="009773FC">
        <w:t xml:space="preserve"> </w:t>
      </w:r>
      <w:r>
        <w:t xml:space="preserve"> </w:t>
      </w:r>
    </w:p>
  </w:footnote>
  <w:footnote w:id="45">
    <w:p w14:paraId="630B87D2" w14:textId="07D621B5" w:rsidR="00C71542" w:rsidRDefault="00C71542">
      <w:pPr>
        <w:pStyle w:val="FootnoteText"/>
      </w:pPr>
      <w:r>
        <w:rPr>
          <w:rStyle w:val="FootnoteReference"/>
        </w:rPr>
        <w:footnoteRef/>
      </w:r>
      <w:r>
        <w:t xml:space="preserve"> Cioban A an Birnat A (2017). Tuberculosis in Moldova: knowledge attitudes and practices in general population and key affected populations.  </w:t>
      </w:r>
      <w:hyperlink r:id="rId26" w:history="1">
        <w:r w:rsidRPr="006915FA">
          <w:rPr>
            <w:rStyle w:val="Hyperlink"/>
          </w:rPr>
          <w:t>http://www.pas.md/en/PAS/Studies/Details/79</w:t>
        </w:r>
      </w:hyperlink>
      <w:r>
        <w:t xml:space="preserve"> </w:t>
      </w:r>
    </w:p>
  </w:footnote>
  <w:footnote w:id="46">
    <w:p w14:paraId="5C8946D1" w14:textId="598E1A08" w:rsidR="00C71542" w:rsidRDefault="00C71542">
      <w:pPr>
        <w:pStyle w:val="FootnoteText"/>
      </w:pPr>
      <w:r>
        <w:rPr>
          <w:rStyle w:val="FootnoteReference"/>
        </w:rPr>
        <w:footnoteRef/>
      </w:r>
      <w:r>
        <w:t xml:space="preserve">UN Moldova (2018) The People Living with HIV Stigma Index  </w:t>
      </w:r>
      <w:hyperlink r:id="rId27" w:history="1">
        <w:r w:rsidRPr="006915FA">
          <w:rPr>
            <w:rStyle w:val="Hyperlink"/>
          </w:rPr>
          <w:t>https://www.stigmaindex.org/country-report/moldova/</w:t>
        </w:r>
      </w:hyperlink>
      <w:r>
        <w:t xml:space="preserve"> </w:t>
      </w:r>
    </w:p>
  </w:footnote>
  <w:footnote w:id="47">
    <w:p w14:paraId="5ECB5EC0" w14:textId="77777777" w:rsidR="00C71542" w:rsidRDefault="00C71542" w:rsidP="007A5868">
      <w:pPr>
        <w:pStyle w:val="FootnoteText"/>
      </w:pPr>
      <w:r>
        <w:rPr>
          <w:rStyle w:val="FootnoteReference"/>
        </w:rPr>
        <w:footnoteRef/>
      </w:r>
      <w:r>
        <w:t xml:space="preserve"> Moldova Social Cohesion and Reconciliaion Index. </w:t>
      </w:r>
      <w:hyperlink r:id="rId28" w:history="1">
        <w:r w:rsidRPr="006915FA">
          <w:rPr>
            <w:rStyle w:val="Hyperlink"/>
          </w:rPr>
          <w:t>https://www.scoreforpeace.org/en/moldova/2018-General%20population-0</w:t>
        </w:r>
      </w:hyperlink>
      <w:r>
        <w:t xml:space="preserve"> </w:t>
      </w:r>
    </w:p>
  </w:footnote>
  <w:footnote w:id="48">
    <w:p w14:paraId="3AFED733" w14:textId="77777777" w:rsidR="00C71542" w:rsidRDefault="00C71542" w:rsidP="007A5868">
      <w:pPr>
        <w:pStyle w:val="FootnoteText"/>
      </w:pPr>
      <w:r>
        <w:rPr>
          <w:rStyle w:val="FootnoteReference"/>
        </w:rPr>
        <w:footnoteRef/>
      </w:r>
      <w:r>
        <w:t xml:space="preserve"> </w:t>
      </w:r>
      <w:hyperlink r:id="rId29" w:history="1">
        <w:r w:rsidRPr="006915FA">
          <w:rPr>
            <w:rStyle w:val="Hyperlink"/>
          </w:rPr>
          <w:t>http://md.one.un.org/content/unct/moldova/en/home/publications/joint-publications/perceptions-of-human-rights-in-the-republic-of-moldova/</w:t>
        </w:r>
      </w:hyperlink>
      <w:r>
        <w:t xml:space="preserve"> </w:t>
      </w:r>
    </w:p>
  </w:footnote>
  <w:footnote w:id="49">
    <w:p w14:paraId="1964A63C" w14:textId="77777777" w:rsidR="00C71542" w:rsidRDefault="00C71542" w:rsidP="000F2330">
      <w:pPr>
        <w:pStyle w:val="FootnoteText"/>
      </w:pPr>
      <w:r>
        <w:rPr>
          <w:rStyle w:val="FootnoteReference"/>
        </w:rPr>
        <w:footnoteRef/>
      </w:r>
      <w:r>
        <w:t xml:space="preserve"> </w:t>
      </w:r>
      <w:hyperlink r:id="rId30" w:history="1">
        <w:r w:rsidRPr="006915FA">
          <w:rPr>
            <w:rStyle w:val="Hyperlink"/>
          </w:rPr>
          <w:t>https://moldova.unwomen.org/en/biblioteca-digitala/publicatii/2016/01/report-on-costing-of-domestic-violence-and-violence-against-women-in-moldova</w:t>
        </w:r>
      </w:hyperlink>
      <w:r>
        <w:t xml:space="preserve"> </w:t>
      </w:r>
    </w:p>
  </w:footnote>
  <w:footnote w:id="50">
    <w:p w14:paraId="183B5862" w14:textId="3681DC5B" w:rsidR="00C71542" w:rsidRDefault="00C71542" w:rsidP="0015208B">
      <w:pPr>
        <w:pStyle w:val="FootnoteText"/>
      </w:pPr>
      <w:r>
        <w:rPr>
          <w:rStyle w:val="FootnoteReference"/>
        </w:rPr>
        <w:footnoteRef/>
      </w:r>
      <w:r>
        <w:t xml:space="preserve"> </w:t>
      </w:r>
      <w:hyperlink r:id="rId31" w:history="1">
        <w:r w:rsidRPr="006915FA">
          <w:rPr>
            <w:rStyle w:val="Hyperlink"/>
          </w:rPr>
          <w:t>http://optimamodel.com/pubs/Moldova_2020.pdf</w:t>
        </w:r>
      </w:hyperlink>
      <w:r>
        <w:t xml:space="preserve"> </w:t>
      </w:r>
    </w:p>
  </w:footnote>
  <w:footnote w:id="51">
    <w:p w14:paraId="075850FF" w14:textId="2B34B825" w:rsidR="00C71542" w:rsidRDefault="00C71542" w:rsidP="0015208B">
      <w:pPr>
        <w:pStyle w:val="FootnoteText"/>
      </w:pPr>
      <w:r>
        <w:rPr>
          <w:rStyle w:val="FootnoteReference"/>
        </w:rPr>
        <w:footnoteRef/>
      </w:r>
      <w:r>
        <w:t xml:space="preserve"> </w:t>
      </w:r>
      <w:hyperlink r:id="rId32" w:history="1">
        <w:r w:rsidRPr="00BD51AA">
          <w:rPr>
            <w:rStyle w:val="Hyperlink"/>
          </w:rPr>
          <w:t>http://optimamodel.com/pubs/Moldova%202018.pdf</w:t>
        </w:r>
      </w:hyperlink>
    </w:p>
  </w:footnote>
  <w:footnote w:id="52">
    <w:p w14:paraId="2B09BA9B" w14:textId="77777777" w:rsidR="00C71542" w:rsidRPr="00A26CB5" w:rsidRDefault="00C71542" w:rsidP="005E4CE2">
      <w:pPr>
        <w:pStyle w:val="FootnoteText"/>
        <w:rPr>
          <w:sz w:val="14"/>
        </w:rPr>
      </w:pPr>
      <w:r>
        <w:rPr>
          <w:rStyle w:val="FootnoteReference"/>
        </w:rPr>
        <w:footnoteRef/>
      </w:r>
      <w:r>
        <w:t xml:space="preserve"> </w:t>
      </w:r>
      <w:r w:rsidRPr="00A26CB5">
        <w:rPr>
          <w:rFonts w:cs="Arial"/>
          <w:sz w:val="18"/>
        </w:rPr>
        <w:t xml:space="preserve">STP’s Paradigm Shift: Global Plan to End TB 2018-2022  (page 57) </w:t>
      </w:r>
      <w:hyperlink r:id="rId33" w:history="1">
        <w:r w:rsidRPr="00A26CB5">
          <w:rPr>
            <w:rStyle w:val="Hyperlink"/>
            <w:rFonts w:cs="Arial"/>
            <w:sz w:val="18"/>
          </w:rPr>
          <w:t>http://www.stoptb.org/assets/documents/global/plan/GPR_2018-2022_Digital.pdf</w:t>
        </w:r>
      </w:hyperlink>
      <w:r w:rsidRPr="00A26CB5">
        <w:rPr>
          <w:rFonts w:cs="Arial"/>
          <w:sz w:val="18"/>
        </w:rPr>
        <w:t xml:space="preserve"> </w:t>
      </w:r>
    </w:p>
  </w:footnote>
  <w:footnote w:id="53">
    <w:p w14:paraId="4E0CC74E" w14:textId="77777777" w:rsidR="00C71542" w:rsidRPr="00C71542" w:rsidRDefault="00C71542" w:rsidP="0015208B">
      <w:pPr>
        <w:spacing w:after="0" w:line="240" w:lineRule="auto"/>
        <w:jc w:val="both"/>
        <w:rPr>
          <w:sz w:val="10"/>
          <w:lang w:val="fr-FR"/>
        </w:rPr>
      </w:pPr>
      <w:r>
        <w:rPr>
          <w:rStyle w:val="FootnoteReference"/>
        </w:rPr>
        <w:footnoteRef/>
      </w:r>
      <w:r>
        <w:t xml:space="preserve"> </w:t>
      </w:r>
      <w:r w:rsidRPr="005A52E3">
        <w:rPr>
          <w:sz w:val="18"/>
        </w:rPr>
        <w:t xml:space="preserve">Jenkins etc al (2013) </w:t>
      </w:r>
      <w:r w:rsidRPr="005A52E3">
        <w:rPr>
          <w:sz w:val="16"/>
        </w:rPr>
        <w:t xml:space="preserve">Assessing </w:t>
      </w:r>
      <w:r w:rsidRPr="000A7A8A">
        <w:rPr>
          <w:sz w:val="16"/>
        </w:rPr>
        <w:t xml:space="preserve">spatial heterogeneity of MDR-TB in a high burden country. </w:t>
      </w:r>
      <w:r>
        <w:t xml:space="preserve"> </w:t>
      </w:r>
      <w:hyperlink r:id="rId34" w:tgtFrame="pmc_ext" w:history="1">
        <w:r w:rsidRPr="00C71542">
          <w:rPr>
            <w:rStyle w:val="cit"/>
            <w:color w:val="0000FF"/>
            <w:sz w:val="16"/>
            <w:u w:val="single"/>
            <w:lang w:val="fr-FR"/>
          </w:rPr>
          <w:t xml:space="preserve">Eur Respir J. 2013 Nov; 42(5): </w:t>
        </w:r>
      </w:hyperlink>
      <w:r w:rsidRPr="00C71542">
        <w:rPr>
          <w:sz w:val="16"/>
          <w:lang w:val="fr-FR"/>
        </w:rPr>
        <w:t xml:space="preserve"> https://www.ncbi.nlm.nih.gov/pmc/articles/PMC3800490/</w:t>
      </w:r>
    </w:p>
  </w:footnote>
  <w:footnote w:id="54">
    <w:p w14:paraId="5B46E668" w14:textId="77777777" w:rsidR="00C71542" w:rsidRDefault="00C71542" w:rsidP="0015208B">
      <w:pPr>
        <w:pStyle w:val="FootnoteText"/>
      </w:pPr>
      <w:r>
        <w:rPr>
          <w:rStyle w:val="FootnoteReference"/>
        </w:rPr>
        <w:footnoteRef/>
      </w:r>
      <w:r>
        <w:t xml:space="preserve"> </w:t>
      </w:r>
      <w:r w:rsidRPr="0018464A">
        <w:t>Research in progress, no publication yet.</w:t>
      </w:r>
    </w:p>
  </w:footnote>
  <w:footnote w:id="55">
    <w:p w14:paraId="4A021346" w14:textId="77777777" w:rsidR="00C71542" w:rsidRPr="00C71542" w:rsidRDefault="00C71542" w:rsidP="0015208B">
      <w:pPr>
        <w:spacing w:after="0" w:line="240" w:lineRule="auto"/>
        <w:jc w:val="both"/>
        <w:rPr>
          <w:lang w:val="fr-FR"/>
        </w:rPr>
      </w:pPr>
      <w:r w:rsidRPr="005A52E3">
        <w:rPr>
          <w:rStyle w:val="FootnoteReference"/>
          <w:sz w:val="20"/>
        </w:rPr>
        <w:footnoteRef/>
      </w:r>
      <w:r w:rsidRPr="00C71542">
        <w:rPr>
          <w:sz w:val="18"/>
          <w:lang w:val="fr-FR"/>
        </w:rPr>
        <w:t>Jenkins etc al (2013</w:t>
      </w:r>
      <w:r w:rsidRPr="00C71542">
        <w:rPr>
          <w:sz w:val="20"/>
          <w:lang w:val="fr-FR"/>
        </w:rPr>
        <w:t>)</w:t>
      </w:r>
    </w:p>
  </w:footnote>
  <w:footnote w:id="56">
    <w:p w14:paraId="4CAA490F" w14:textId="77777777" w:rsidR="00C71542" w:rsidRPr="00572FC4" w:rsidRDefault="00C71542" w:rsidP="0015208B">
      <w:pPr>
        <w:pStyle w:val="FootnoteText"/>
      </w:pPr>
      <w:r>
        <w:rPr>
          <w:rStyle w:val="FootnoteReference"/>
        </w:rPr>
        <w:footnoteRef/>
      </w:r>
      <w:r w:rsidRPr="00C71542">
        <w:rPr>
          <w:lang w:val="fr-FR"/>
        </w:rPr>
        <w:t xml:space="preserve"> </w:t>
      </w:r>
      <w:hyperlink r:id="rId35" w:history="1">
        <w:r w:rsidRPr="00C71542">
          <w:rPr>
            <w:rStyle w:val="Hyperlink"/>
            <w:lang w:val="fr-FR"/>
          </w:rPr>
          <w:t>Vesga</w:t>
        </w:r>
      </w:hyperlink>
      <w:hyperlink r:id="rId36" w:history="1">
        <w:r w:rsidRPr="00C71542">
          <w:rPr>
            <w:rStyle w:val="Hyperlink"/>
            <w:lang w:val="fr-FR"/>
          </w:rPr>
          <w:t xml:space="preserve"> </w:t>
        </w:r>
      </w:hyperlink>
      <w:r w:rsidRPr="00C71542">
        <w:rPr>
          <w:lang w:val="fr-FR"/>
        </w:rPr>
        <w:t xml:space="preserve">et al. </w:t>
      </w:r>
      <w:r w:rsidRPr="00572FC4">
        <w:t>M</w:t>
      </w:r>
      <w:r w:rsidRPr="00572FC4">
        <w:rPr>
          <w:b/>
          <w:bCs/>
        </w:rPr>
        <w:t xml:space="preserve"> Assessing tuberculosis control priorities in high-burden settings: a modelling approach.</w:t>
      </w:r>
      <w:hyperlink r:id="rId37" w:history="1">
        <w:r w:rsidRPr="00572FC4">
          <w:rPr>
            <w:rStyle w:val="Hyperlink"/>
          </w:rPr>
          <w:t xml:space="preserve"> Lancet Glob Health.</w:t>
        </w:r>
      </w:hyperlink>
      <w:r w:rsidRPr="00572FC4">
        <w:t xml:space="preserve"> 2019</w:t>
      </w:r>
    </w:p>
    <w:p w14:paraId="3BC19C1E" w14:textId="77777777" w:rsidR="00C71542" w:rsidRPr="00572FC4" w:rsidRDefault="00C71542" w:rsidP="0015208B">
      <w:pPr>
        <w:pStyle w:val="FootnoteText"/>
      </w:pPr>
      <w:r w:rsidRPr="00572FC4">
        <w:t xml:space="preserve">Reid, MJA et al (2019). Building a tuberculosis-free world:  The </w:t>
      </w:r>
      <w:r w:rsidRPr="00572FC4">
        <w:rPr>
          <w:i/>
          <w:iCs/>
        </w:rPr>
        <w:t>Lancet</w:t>
      </w:r>
      <w:r w:rsidRPr="00572FC4">
        <w:t xml:space="preserve"> Commission on tuberculosis</w:t>
      </w:r>
    </w:p>
    <w:p w14:paraId="0D8EF24F" w14:textId="77777777" w:rsidR="00C71542" w:rsidRDefault="00C71542" w:rsidP="0015208B">
      <w:pPr>
        <w:pStyle w:val="FootnoteText"/>
      </w:pPr>
    </w:p>
  </w:footnote>
  <w:footnote w:id="57">
    <w:p w14:paraId="196ACDBF" w14:textId="0F6555EE" w:rsidR="00C71542" w:rsidRDefault="00C71542">
      <w:pPr>
        <w:pStyle w:val="FootnoteText"/>
      </w:pPr>
      <w:r>
        <w:rPr>
          <w:rStyle w:val="FootnoteReference"/>
        </w:rPr>
        <w:footnoteRef/>
      </w:r>
      <w:r>
        <w:t xml:space="preserve"> WHO (2019). Assessment of collaborations between TB HIV and viral hepatitis services of Republic of Moldova. Country mission report. Draft.</w:t>
      </w:r>
    </w:p>
  </w:footnote>
  <w:footnote w:id="58">
    <w:p w14:paraId="076FC63D" w14:textId="0FE1C93C" w:rsidR="00C71542" w:rsidRDefault="00C71542">
      <w:pPr>
        <w:pStyle w:val="FootnoteText"/>
      </w:pPr>
      <w:r>
        <w:rPr>
          <w:rStyle w:val="FootnoteReference"/>
        </w:rPr>
        <w:footnoteRef/>
      </w:r>
      <w:r>
        <w:t xml:space="preserve"> Godwin (2015) TB/HIV&amp;AIDS Consultancy Report. Assessment of the National TB and HIV/AIDS&amp;STIs Programme’s management and scenarios aimed at improving overall NPs management, governance and control in Moldova.</w:t>
      </w:r>
    </w:p>
  </w:footnote>
  <w:footnote w:id="59">
    <w:p w14:paraId="7650B992" w14:textId="77777777" w:rsidR="00C71542" w:rsidRPr="00252EE9" w:rsidRDefault="00C71542" w:rsidP="00F8440F">
      <w:pPr>
        <w:autoSpaceDE w:val="0"/>
        <w:autoSpaceDN w:val="0"/>
        <w:adjustRightInd w:val="0"/>
        <w:spacing w:after="0" w:line="240" w:lineRule="auto"/>
        <w:rPr>
          <w:sz w:val="18"/>
          <w:szCs w:val="18"/>
        </w:rPr>
      </w:pPr>
      <w:r w:rsidRPr="00252EE9">
        <w:rPr>
          <w:rStyle w:val="FootnoteReference"/>
          <w:sz w:val="18"/>
          <w:szCs w:val="18"/>
        </w:rPr>
        <w:footnoteRef/>
      </w:r>
      <w:r w:rsidRPr="00252EE9">
        <w:rPr>
          <w:sz w:val="18"/>
          <w:szCs w:val="18"/>
        </w:rPr>
        <w:t xml:space="preserve"> Multisectoral accountability framework to accelerate progress to end tuberculosis by 2030</w:t>
      </w:r>
    </w:p>
  </w:footnote>
  <w:footnote w:id="60">
    <w:p w14:paraId="00BC7823" w14:textId="77777777" w:rsidR="00C71542" w:rsidRPr="00060809" w:rsidRDefault="00C71542" w:rsidP="00104DFE">
      <w:pPr>
        <w:pStyle w:val="FootnoteText"/>
        <w:rPr>
          <w:sz w:val="18"/>
          <w:szCs w:val="18"/>
        </w:rPr>
      </w:pPr>
      <w:r w:rsidRPr="00060809">
        <w:rPr>
          <w:rStyle w:val="FootnoteReference"/>
          <w:sz w:val="18"/>
          <w:szCs w:val="18"/>
        </w:rPr>
        <w:footnoteRef/>
      </w:r>
      <w:r w:rsidRPr="00060809">
        <w:rPr>
          <w:sz w:val="18"/>
          <w:szCs w:val="18"/>
        </w:rPr>
        <w:t xml:space="preserve"> A people-centered Model of TB Care, Blueprint for EECA countries, first edition, 2017 </w:t>
      </w:r>
    </w:p>
  </w:footnote>
  <w:footnote w:id="61">
    <w:p w14:paraId="59597B0E" w14:textId="77777777" w:rsidR="00C71542" w:rsidRPr="00060809" w:rsidRDefault="00C71542" w:rsidP="00104DFE">
      <w:pPr>
        <w:pStyle w:val="FootnoteText"/>
        <w:rPr>
          <w:sz w:val="18"/>
          <w:szCs w:val="18"/>
        </w:rPr>
      </w:pPr>
      <w:r w:rsidRPr="00060809">
        <w:rPr>
          <w:rStyle w:val="FootnoteReference"/>
          <w:sz w:val="18"/>
          <w:szCs w:val="18"/>
        </w:rPr>
        <w:footnoteRef/>
      </w:r>
      <w:r w:rsidRPr="00060809">
        <w:rPr>
          <w:sz w:val="18"/>
          <w:szCs w:val="18"/>
        </w:rPr>
        <w:t xml:space="preserve"> TB NSP 2016-2020</w:t>
      </w:r>
    </w:p>
  </w:footnote>
  <w:footnote w:id="62">
    <w:p w14:paraId="58D2A599" w14:textId="77777777" w:rsidR="00C71542" w:rsidRPr="00060809" w:rsidRDefault="00C71542" w:rsidP="00104DFE">
      <w:pPr>
        <w:pStyle w:val="FootnoteText"/>
        <w:rPr>
          <w:sz w:val="18"/>
          <w:szCs w:val="18"/>
        </w:rPr>
      </w:pPr>
      <w:r w:rsidRPr="00060809">
        <w:rPr>
          <w:rStyle w:val="FootnoteReference"/>
          <w:sz w:val="18"/>
          <w:szCs w:val="18"/>
        </w:rPr>
        <w:footnoteRef/>
      </w:r>
      <w:r w:rsidRPr="00060809">
        <w:rPr>
          <w:sz w:val="18"/>
          <w:szCs w:val="18"/>
        </w:rPr>
        <w:t xml:space="preserve"> </w:t>
      </w:r>
      <w:r w:rsidRPr="00060809">
        <w:rPr>
          <w:bCs/>
          <w:sz w:val="18"/>
          <w:szCs w:val="18"/>
        </w:rPr>
        <w:t>Roadmap for the modernization of the phthisiop</w:t>
      </w:r>
      <w:r>
        <w:rPr>
          <w:bCs/>
          <w:sz w:val="18"/>
          <w:szCs w:val="18"/>
        </w:rPr>
        <w:t>neumology</w:t>
      </w:r>
      <w:r w:rsidRPr="00060809">
        <w:rPr>
          <w:bCs/>
          <w:sz w:val="18"/>
          <w:szCs w:val="18"/>
        </w:rPr>
        <w:t xml:space="preserve"> service, The MOHSP order No. 305 of 04/14/2011</w:t>
      </w:r>
    </w:p>
  </w:footnote>
  <w:footnote w:id="63">
    <w:p w14:paraId="2427B7E6" w14:textId="77777777" w:rsidR="00C71542" w:rsidRPr="00060809" w:rsidRDefault="00C71542" w:rsidP="00104DFE">
      <w:pPr>
        <w:pStyle w:val="FootnoteText"/>
        <w:rPr>
          <w:sz w:val="18"/>
          <w:szCs w:val="18"/>
        </w:rPr>
      </w:pPr>
      <w:r w:rsidRPr="00060809">
        <w:rPr>
          <w:rStyle w:val="FootnoteReference"/>
          <w:sz w:val="18"/>
          <w:szCs w:val="18"/>
        </w:rPr>
        <w:footnoteRef/>
      </w:r>
      <w:r w:rsidRPr="00060809">
        <w:rPr>
          <w:sz w:val="18"/>
          <w:szCs w:val="18"/>
        </w:rPr>
        <w:t xml:space="preserve"> TB REP Moldova 2018 </w:t>
      </w:r>
    </w:p>
  </w:footnote>
  <w:footnote w:id="64">
    <w:p w14:paraId="22C6B9D0" w14:textId="77777777" w:rsidR="00C71542" w:rsidRPr="00060809" w:rsidRDefault="00C71542" w:rsidP="00104DFE">
      <w:pPr>
        <w:pStyle w:val="FootnoteText"/>
        <w:rPr>
          <w:sz w:val="18"/>
          <w:szCs w:val="18"/>
        </w:rPr>
      </w:pPr>
      <w:r w:rsidRPr="00060809">
        <w:rPr>
          <w:rStyle w:val="FootnoteReference"/>
          <w:sz w:val="18"/>
          <w:szCs w:val="18"/>
        </w:rPr>
        <w:footnoteRef/>
      </w:r>
      <w:r w:rsidRPr="00060809">
        <w:rPr>
          <w:sz w:val="18"/>
          <w:szCs w:val="18"/>
        </w:rPr>
        <w:t xml:space="preserve"> A N</w:t>
      </w:r>
      <w:r w:rsidRPr="00060809">
        <w:rPr>
          <w:rFonts w:cs="Brandon Grotesque Light"/>
          <w:color w:val="000000"/>
          <w:sz w:val="18"/>
          <w:szCs w:val="18"/>
        </w:rPr>
        <w:t>ational Guide to a People-Centered Model of TB Care</w:t>
      </w:r>
    </w:p>
  </w:footnote>
  <w:footnote w:id="65">
    <w:p w14:paraId="63B37861" w14:textId="77777777" w:rsidR="00C71542" w:rsidRDefault="00C71542" w:rsidP="00253CE0">
      <w:pPr>
        <w:pStyle w:val="FootnoteText"/>
        <w:rPr>
          <w:sz w:val="20"/>
        </w:rPr>
      </w:pPr>
      <w:r>
        <w:rPr>
          <w:rStyle w:val="FootnoteReference"/>
        </w:rPr>
        <w:footnoteRef/>
      </w:r>
      <w:r>
        <w:t xml:space="preserve"> Study “Perception of human rights in the Republic of Moldova”, People’s Advocate Office and the Office of the United Nations High Commissioner for Human Rights (OHCHR), in consultation with the United Nations Development Program (UNDP) Moldova, Chisinau, 2016 </w:t>
      </w:r>
      <w:hyperlink r:id="rId38" w:history="1">
        <w:r>
          <w:rPr>
            <w:rStyle w:val="Hyperlink"/>
          </w:rPr>
          <w:t>https://tbinternet.ohchr.org/Treaties/CRC/Shared%20Documents/MDA/INT_CRC_IFS_MDA_26438_E.pdf</w:t>
        </w:r>
      </w:hyperlink>
      <w:r>
        <w:t xml:space="preserve"> </w:t>
      </w:r>
    </w:p>
    <w:p w14:paraId="771E1E71" w14:textId="77777777" w:rsidR="00C71542" w:rsidRDefault="00C71542" w:rsidP="00253CE0">
      <w:pPr>
        <w:pStyle w:val="FootnoteText"/>
      </w:pPr>
    </w:p>
  </w:footnote>
  <w:footnote w:id="66">
    <w:p w14:paraId="5982C2E5" w14:textId="77777777" w:rsidR="00C71542" w:rsidRDefault="00C71542" w:rsidP="00253CE0">
      <w:pPr>
        <w:pStyle w:val="FootnoteText"/>
      </w:pPr>
      <w:r>
        <w:rPr>
          <w:rStyle w:val="FootnoteReference"/>
        </w:rPr>
        <w:footnoteRef/>
      </w:r>
      <w:r>
        <w:t xml:space="preserve"> SCORE – Social Cohesion and Reconciliation Study, UN Moldova, 2018, </w:t>
      </w:r>
      <w:hyperlink r:id="rId39" w:history="1">
        <w:r>
          <w:rPr>
            <w:rStyle w:val="Hyperlink"/>
          </w:rPr>
          <w:t>https://www.scoreforpeace.org/en/moldova/2018-General%20population-0</w:t>
        </w:r>
      </w:hyperlink>
      <w:r>
        <w:t xml:space="preserve">  </w:t>
      </w:r>
    </w:p>
  </w:footnote>
  <w:footnote w:id="67">
    <w:p w14:paraId="269A5140" w14:textId="0C239BF3" w:rsidR="00C71542" w:rsidRDefault="00C71542">
      <w:pPr>
        <w:pStyle w:val="FootnoteText"/>
      </w:pPr>
      <w:r>
        <w:rPr>
          <w:rStyle w:val="FootnoteReference"/>
        </w:rPr>
        <w:footnoteRef/>
      </w:r>
      <w:r>
        <w:t xml:space="preserve"> </w:t>
      </w:r>
      <w:r w:rsidRPr="004407F0">
        <w:t>An updated implementation arrangement map is mandatory if the program is continuing with the same PR(s). In cases where the PR is changing, the implementation arrangement map may be submitted at the grant-making stage.</w:t>
      </w:r>
    </w:p>
  </w:footnote>
  <w:footnote w:id="68">
    <w:p w14:paraId="6E662F01" w14:textId="33AC9C5D" w:rsidR="00C71542" w:rsidRDefault="00C71542">
      <w:pPr>
        <w:pStyle w:val="FootnoteText"/>
      </w:pPr>
      <w:r>
        <w:rPr>
          <w:rStyle w:val="FootnoteReference"/>
        </w:rPr>
        <w:footnoteRef/>
      </w:r>
      <w:r>
        <w:t xml:space="preserve"> </w:t>
      </w:r>
      <w:r>
        <w:rPr>
          <w:rFonts w:asciiTheme="minorHAnsi" w:hAnsiTheme="minorHAnsi" w:cstheme="minorHAnsi"/>
          <w:iCs/>
        </w:rPr>
        <w:t>N</w:t>
      </w:r>
      <w:r w:rsidRPr="005C32A6">
        <w:rPr>
          <w:rFonts w:asciiTheme="minorHAnsi" w:hAnsiTheme="minorHAnsi" w:cstheme="minorHAnsi"/>
          <w:iCs/>
        </w:rPr>
        <w:t>ote that information derived from the supporting documentation provided in response to the questions below, including information on funding landscape or domestic commitments, may be made publicly available by the Global Fund</w:t>
      </w:r>
      <w:r w:rsidRPr="005C32A6">
        <w:rPr>
          <w:rFonts w:asciiTheme="minorHAnsi" w:hAnsiTheme="minorHAnsi" w:cstheme="minorHAnsi"/>
        </w:rPr>
        <w:t>.</w:t>
      </w:r>
    </w:p>
  </w:footnote>
  <w:footnote w:id="69">
    <w:p w14:paraId="19FBD5B9" w14:textId="77777777" w:rsidR="00C71542" w:rsidRDefault="00C71542" w:rsidP="00BB3300">
      <w:pPr>
        <w:pStyle w:val="FootnoteText"/>
      </w:pPr>
      <w:r>
        <w:rPr>
          <w:rStyle w:val="FootnoteReference"/>
        </w:rPr>
        <w:footnoteRef/>
      </w:r>
      <w:r>
        <w:t xml:space="preserve"> WHO (2018). Compendium of Good Practices in the health sector response to HIV in the European Region ( p.95) </w:t>
      </w:r>
      <w:hyperlink r:id="rId40" w:history="1">
        <w:r w:rsidRPr="006915FA">
          <w:rPr>
            <w:rStyle w:val="Hyperlink"/>
          </w:rPr>
          <w:t>https://www.euro.who.int/en/publications/abstracts/compendium-of-good-practices-in-the-health-sector-response-to-hiv-in-the-who-european-region</w:t>
        </w:r>
      </w:hyperlink>
      <w:r>
        <w:t xml:space="preserve"> </w:t>
      </w:r>
    </w:p>
  </w:footnote>
  <w:footnote w:id="70">
    <w:p w14:paraId="24E9F9E5" w14:textId="77777777" w:rsidR="00C71542" w:rsidRDefault="00C71542" w:rsidP="00C71542">
      <w:pPr>
        <w:pStyle w:val="FootnoteText"/>
      </w:pPr>
      <w:r>
        <w:rPr>
          <w:rStyle w:val="FootnoteReference"/>
        </w:rPr>
        <w:footnoteRef/>
      </w:r>
      <w:r>
        <w:t xml:space="preserve"> </w:t>
      </w:r>
      <w:hyperlink r:id="rId41" w:history="1">
        <w:r w:rsidRPr="00736241">
          <w:rPr>
            <w:rStyle w:val="Hyperlink"/>
          </w:rPr>
          <w:t>https://www.legis.md/cautare/getResults?doc_id=111740&amp;lang=ro</w:t>
        </w:r>
      </w:hyperlink>
      <w:r>
        <w:t xml:space="preserve"> </w:t>
      </w:r>
    </w:p>
  </w:footnote>
  <w:footnote w:id="71">
    <w:p w14:paraId="798B0F71" w14:textId="77777777" w:rsidR="00C71542" w:rsidRDefault="00C71542" w:rsidP="008A7F7E">
      <w:pPr>
        <w:pStyle w:val="FootnoteText"/>
      </w:pPr>
      <w:r>
        <w:rPr>
          <w:rStyle w:val="FootnoteReference"/>
        </w:rPr>
        <w:footnoteRef/>
      </w:r>
      <w:r>
        <w:t xml:space="preserve"> </w:t>
      </w:r>
      <w:r w:rsidRPr="00B74DAA">
        <w:t>An updated implementation arrangement map is mandatory if the program is continuing with the same PR(s). In cases where the PR is changing, the implementation arrangement map may be submitted at the grant-making stage.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76A59F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2261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D3E66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90E7E8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A04B29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C4147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0E5A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D252B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88E7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19CAA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951BB2"/>
    <w:multiLevelType w:val="multilevel"/>
    <w:tmpl w:val="8F7AD060"/>
    <w:styleLink w:val="NumbLstBullet"/>
    <w:lvl w:ilvl="0">
      <w:start w:val="1"/>
      <w:numFmt w:val="bullet"/>
      <w:pStyle w:val="Bullet1"/>
      <w:lvlText w:val=""/>
      <w:lvlJc w:val="left"/>
      <w:pPr>
        <w:tabs>
          <w:tab w:val="num" w:pos="397"/>
        </w:tabs>
        <w:ind w:left="397" w:hanging="397"/>
      </w:pPr>
      <w:rPr>
        <w:rFonts w:ascii="Wingdings" w:hAnsi="Wingdings" w:cs="Times New Roman" w:hint="default"/>
        <w:color w:val="auto"/>
      </w:rPr>
    </w:lvl>
    <w:lvl w:ilvl="1">
      <w:start w:val="1"/>
      <w:numFmt w:val="bullet"/>
      <w:pStyle w:val="Bullet2"/>
      <w:lvlText w:val=""/>
      <w:lvlJc w:val="left"/>
      <w:pPr>
        <w:tabs>
          <w:tab w:val="num" w:pos="794"/>
        </w:tabs>
        <w:ind w:left="794" w:hanging="397"/>
      </w:pPr>
      <w:rPr>
        <w:rFonts w:ascii="Wingdings" w:hAnsi="Wingdings" w:cs="Times New Roman" w:hint="default"/>
        <w:color w:val="auto"/>
      </w:rPr>
    </w:lvl>
    <w:lvl w:ilvl="2">
      <w:start w:val="1"/>
      <w:numFmt w:val="bullet"/>
      <w:pStyle w:val="Bullet3"/>
      <w:lvlText w:val=""/>
      <w:lvlJc w:val="left"/>
      <w:pPr>
        <w:tabs>
          <w:tab w:val="num" w:pos="1191"/>
        </w:tabs>
        <w:ind w:left="1191" w:hanging="397"/>
      </w:pPr>
      <w:rPr>
        <w:rFonts w:ascii="Wingdings" w:hAnsi="Wingdings" w:cs="Wingdings" w:hint="default"/>
        <w:color w:val="auto"/>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361"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1" w15:restartNumberingAfterBreak="0">
    <w:nsid w:val="055654BE"/>
    <w:multiLevelType w:val="hybridMultilevel"/>
    <w:tmpl w:val="6D66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CC2312"/>
    <w:multiLevelType w:val="hybridMultilevel"/>
    <w:tmpl w:val="5212DC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6E48BB"/>
    <w:multiLevelType w:val="hybridMultilevel"/>
    <w:tmpl w:val="D1F0A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B53401"/>
    <w:multiLevelType w:val="hybridMultilevel"/>
    <w:tmpl w:val="95B8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16164B"/>
    <w:multiLevelType w:val="hybridMultilevel"/>
    <w:tmpl w:val="DD92B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BD36E0"/>
    <w:multiLevelType w:val="hybridMultilevel"/>
    <w:tmpl w:val="D0249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D318FD"/>
    <w:multiLevelType w:val="hybridMultilevel"/>
    <w:tmpl w:val="B9604CEE"/>
    <w:lvl w:ilvl="0" w:tplc="5E8223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344584"/>
    <w:multiLevelType w:val="hybridMultilevel"/>
    <w:tmpl w:val="A15AA8C6"/>
    <w:lvl w:ilvl="0" w:tplc="CAEAFEDA">
      <w:start w:val="1"/>
      <w:numFmt w:val="lowerLetter"/>
      <w:lvlText w:val="%1)"/>
      <w:lvlJc w:val="left"/>
      <w:pPr>
        <w:ind w:left="1080" w:hanging="360"/>
      </w:pPr>
      <w:rPr>
        <w:rFonts w:eastAsia="Times New Roman"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5576D6B"/>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172B0EB5"/>
    <w:multiLevelType w:val="hybridMultilevel"/>
    <w:tmpl w:val="BD806C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A70B54"/>
    <w:multiLevelType w:val="hybridMultilevel"/>
    <w:tmpl w:val="6BB0C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9F4FFA"/>
    <w:multiLevelType w:val="hybridMultilevel"/>
    <w:tmpl w:val="0D06F58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DA4435A"/>
    <w:multiLevelType w:val="hybridMultilevel"/>
    <w:tmpl w:val="3F10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4D2373"/>
    <w:multiLevelType w:val="hybridMultilevel"/>
    <w:tmpl w:val="5372C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E626B2"/>
    <w:multiLevelType w:val="hybridMultilevel"/>
    <w:tmpl w:val="AB34744E"/>
    <w:lvl w:ilvl="0" w:tplc="474C7D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426252"/>
    <w:multiLevelType w:val="hybridMultilevel"/>
    <w:tmpl w:val="738E9C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264A0C10"/>
    <w:multiLevelType w:val="hybridMultilevel"/>
    <w:tmpl w:val="FC7E1884"/>
    <w:lvl w:ilvl="0" w:tplc="481E06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8353DFE"/>
    <w:multiLevelType w:val="hybridMultilevel"/>
    <w:tmpl w:val="D7C0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8AE4DE2"/>
    <w:multiLevelType w:val="hybridMultilevel"/>
    <w:tmpl w:val="52E2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C108AA"/>
    <w:multiLevelType w:val="hybridMultilevel"/>
    <w:tmpl w:val="07246EC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B3C5A3D"/>
    <w:multiLevelType w:val="multilevel"/>
    <w:tmpl w:val="7200E4CE"/>
    <w:styleLink w:val="NumHeadingsLst"/>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none"/>
      <w:lvlText w:val=""/>
      <w:lvlJc w:val="left"/>
      <w:pPr>
        <w:ind w:left="567" w:firstLine="0"/>
      </w:pPr>
      <w:rPr>
        <w:rFonts w:hint="default"/>
      </w:rPr>
    </w:lvl>
    <w:lvl w:ilvl="3">
      <w:start w:val="1"/>
      <w:numFmt w:val="none"/>
      <w:lvlText w:val=""/>
      <w:lvlJc w:val="left"/>
      <w:pPr>
        <w:ind w:left="567" w:firstLine="0"/>
      </w:pPr>
      <w:rPr>
        <w:rFonts w:hint="default"/>
      </w:rPr>
    </w:lvl>
    <w:lvl w:ilvl="4">
      <w:start w:val="1"/>
      <w:numFmt w:val="none"/>
      <w:lvlText w:val=""/>
      <w:lvlJc w:val="left"/>
      <w:pPr>
        <w:ind w:left="567" w:firstLine="0"/>
      </w:pPr>
      <w:rPr>
        <w:rFonts w:hint="default"/>
      </w:rPr>
    </w:lvl>
    <w:lvl w:ilvl="5">
      <w:start w:val="1"/>
      <w:numFmt w:val="none"/>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lvlText w:val=""/>
      <w:lvlJc w:val="left"/>
      <w:pPr>
        <w:ind w:left="567" w:firstLine="0"/>
      </w:pPr>
      <w:rPr>
        <w:rFonts w:hint="default"/>
      </w:rPr>
    </w:lvl>
  </w:abstractNum>
  <w:abstractNum w:abstractNumId="32" w15:restartNumberingAfterBreak="0">
    <w:nsid w:val="2BD9680F"/>
    <w:multiLevelType w:val="hybridMultilevel"/>
    <w:tmpl w:val="BFBAD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F0A3BF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F8C4B8B"/>
    <w:multiLevelType w:val="hybridMultilevel"/>
    <w:tmpl w:val="B27CF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191472D"/>
    <w:multiLevelType w:val="hybridMultilevel"/>
    <w:tmpl w:val="B0A654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826295"/>
    <w:multiLevelType w:val="hybridMultilevel"/>
    <w:tmpl w:val="6F50B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4670CEB"/>
    <w:multiLevelType w:val="hybridMultilevel"/>
    <w:tmpl w:val="884A01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34B00731"/>
    <w:multiLevelType w:val="hybridMultilevel"/>
    <w:tmpl w:val="3D1607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62B45EC"/>
    <w:multiLevelType w:val="hybridMultilevel"/>
    <w:tmpl w:val="77C8A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A702157"/>
    <w:multiLevelType w:val="hybridMultilevel"/>
    <w:tmpl w:val="7554A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FE10E7"/>
    <w:multiLevelType w:val="hybridMultilevel"/>
    <w:tmpl w:val="3C889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E0F180B"/>
    <w:multiLevelType w:val="hybridMultilevel"/>
    <w:tmpl w:val="42FC3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A86A71"/>
    <w:multiLevelType w:val="hybridMultilevel"/>
    <w:tmpl w:val="8ABA9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ED02E0"/>
    <w:multiLevelType w:val="hybridMultilevel"/>
    <w:tmpl w:val="D2EC5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0B0219"/>
    <w:multiLevelType w:val="hybridMultilevel"/>
    <w:tmpl w:val="2C8E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9B15C6"/>
    <w:multiLevelType w:val="hybridMultilevel"/>
    <w:tmpl w:val="069E2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4E3724B"/>
    <w:multiLevelType w:val="hybridMultilevel"/>
    <w:tmpl w:val="0798A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212ECD"/>
    <w:multiLevelType w:val="hybridMultilevel"/>
    <w:tmpl w:val="39B4F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F251DB"/>
    <w:multiLevelType w:val="hybridMultilevel"/>
    <w:tmpl w:val="06763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773F84"/>
    <w:multiLevelType w:val="hybridMultilevel"/>
    <w:tmpl w:val="9D4E4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FF131A"/>
    <w:multiLevelType w:val="multilevel"/>
    <w:tmpl w:val="17A0D06E"/>
    <w:styleLink w:val="NumbListAlpha"/>
    <w:lvl w:ilvl="0">
      <w:start w:val="1"/>
      <w:numFmt w:val="lowerLetter"/>
      <w:pStyle w:val="AlphaList1"/>
      <w:lvlText w:val="%1."/>
      <w:lvlJc w:val="left"/>
      <w:pPr>
        <w:tabs>
          <w:tab w:val="num" w:pos="397"/>
        </w:tabs>
        <w:ind w:left="397" w:hanging="397"/>
      </w:pPr>
      <w:rPr>
        <w:rFonts w:hint="default"/>
      </w:rPr>
    </w:lvl>
    <w:lvl w:ilvl="1">
      <w:start w:val="1"/>
      <w:numFmt w:val="lowerRoman"/>
      <w:pStyle w:val="AlphaList2"/>
      <w:lvlText w:val="%2."/>
      <w:lvlJc w:val="left"/>
      <w:pPr>
        <w:tabs>
          <w:tab w:val="num" w:pos="794"/>
        </w:tabs>
        <w:ind w:left="794" w:hanging="397"/>
      </w:pPr>
      <w:rPr>
        <w:rFonts w:hint="default"/>
      </w:rPr>
    </w:lvl>
    <w:lvl w:ilvl="2">
      <w:start w:val="1"/>
      <w:numFmt w:val="none"/>
      <w:suff w:val="nothing"/>
      <w:lvlText w:val=""/>
      <w:lvlJc w:val="left"/>
      <w:pPr>
        <w:ind w:left="794" w:hanging="397"/>
      </w:pPr>
      <w:rPr>
        <w:rFonts w:hint="default"/>
      </w:rPr>
    </w:lvl>
    <w:lvl w:ilvl="3">
      <w:start w:val="1"/>
      <w:numFmt w:val="none"/>
      <w:suff w:val="nothing"/>
      <w:lvlText w:val=""/>
      <w:lvlJc w:val="left"/>
      <w:pPr>
        <w:ind w:left="794" w:hanging="397"/>
      </w:pPr>
      <w:rPr>
        <w:rFonts w:hint="default"/>
      </w:rPr>
    </w:lvl>
    <w:lvl w:ilvl="4">
      <w:start w:val="1"/>
      <w:numFmt w:val="none"/>
      <w:suff w:val="nothing"/>
      <w:lvlText w:val=""/>
      <w:lvlJc w:val="left"/>
      <w:pPr>
        <w:ind w:left="794" w:hanging="397"/>
      </w:pPr>
      <w:rPr>
        <w:rFonts w:hint="default"/>
      </w:rPr>
    </w:lvl>
    <w:lvl w:ilvl="5">
      <w:start w:val="1"/>
      <w:numFmt w:val="none"/>
      <w:suff w:val="nothing"/>
      <w:lvlText w:val=""/>
      <w:lvlJc w:val="left"/>
      <w:pPr>
        <w:ind w:left="794" w:hanging="397"/>
      </w:pPr>
      <w:rPr>
        <w:rFonts w:hint="default"/>
      </w:rPr>
    </w:lvl>
    <w:lvl w:ilvl="6">
      <w:start w:val="1"/>
      <w:numFmt w:val="none"/>
      <w:suff w:val="nothing"/>
      <w:lvlText w:val=""/>
      <w:lvlJc w:val="left"/>
      <w:pPr>
        <w:ind w:left="794" w:hanging="397"/>
      </w:pPr>
      <w:rPr>
        <w:rFonts w:hint="default"/>
      </w:rPr>
    </w:lvl>
    <w:lvl w:ilvl="7">
      <w:start w:val="1"/>
      <w:numFmt w:val="none"/>
      <w:suff w:val="nothing"/>
      <w:lvlText w:val=""/>
      <w:lvlJc w:val="left"/>
      <w:pPr>
        <w:ind w:left="794" w:hanging="397"/>
      </w:pPr>
      <w:rPr>
        <w:rFonts w:hint="default"/>
      </w:rPr>
    </w:lvl>
    <w:lvl w:ilvl="8">
      <w:start w:val="1"/>
      <w:numFmt w:val="none"/>
      <w:lvlRestart w:val="3"/>
      <w:suff w:val="nothing"/>
      <w:lvlText w:val=""/>
      <w:lvlJc w:val="left"/>
      <w:pPr>
        <w:ind w:left="794" w:hanging="397"/>
      </w:pPr>
      <w:rPr>
        <w:rFonts w:hint="default"/>
      </w:rPr>
    </w:lvl>
  </w:abstractNum>
  <w:abstractNum w:abstractNumId="52" w15:restartNumberingAfterBreak="0">
    <w:nsid w:val="4BBA7260"/>
    <w:multiLevelType w:val="hybridMultilevel"/>
    <w:tmpl w:val="54025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C1C2541"/>
    <w:multiLevelType w:val="hybridMultilevel"/>
    <w:tmpl w:val="A3DA8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DCC478D"/>
    <w:multiLevelType w:val="hybridMultilevel"/>
    <w:tmpl w:val="6A34E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DF44F8D"/>
    <w:multiLevelType w:val="hybridMultilevel"/>
    <w:tmpl w:val="491E5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CF31C0"/>
    <w:multiLevelType w:val="multilevel"/>
    <w:tmpl w:val="17A0D06E"/>
    <w:numStyleLink w:val="NumbListAlpha"/>
  </w:abstractNum>
  <w:abstractNum w:abstractNumId="57" w15:restartNumberingAfterBreak="0">
    <w:nsid w:val="50952110"/>
    <w:multiLevelType w:val="hybridMultilevel"/>
    <w:tmpl w:val="098236E4"/>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1667D79"/>
    <w:multiLevelType w:val="hybridMultilevel"/>
    <w:tmpl w:val="99B43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2EC6CCB"/>
    <w:multiLevelType w:val="hybridMultilevel"/>
    <w:tmpl w:val="738E9C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53E07DF0"/>
    <w:multiLevelType w:val="hybridMultilevel"/>
    <w:tmpl w:val="7E1C8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45C0814"/>
    <w:multiLevelType w:val="hybridMultilevel"/>
    <w:tmpl w:val="10446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EC340C"/>
    <w:multiLevelType w:val="hybridMultilevel"/>
    <w:tmpl w:val="D3C25334"/>
    <w:lvl w:ilvl="0" w:tplc="3AD20F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C881F4F"/>
    <w:multiLevelType w:val="hybridMultilevel"/>
    <w:tmpl w:val="4A54F538"/>
    <w:lvl w:ilvl="0" w:tplc="C0E80D58">
      <w:start w:val="1"/>
      <w:numFmt w:val="lowerLetter"/>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5D8629BB"/>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619F540F"/>
    <w:multiLevelType w:val="hybridMultilevel"/>
    <w:tmpl w:val="1E32C9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21B7DDE"/>
    <w:multiLevelType w:val="hybridMultilevel"/>
    <w:tmpl w:val="23AAA8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4915EE9"/>
    <w:multiLevelType w:val="hybridMultilevel"/>
    <w:tmpl w:val="B7CA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1A12B3"/>
    <w:multiLevelType w:val="hybridMultilevel"/>
    <w:tmpl w:val="3EA0D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C3B739F"/>
    <w:multiLevelType w:val="hybridMultilevel"/>
    <w:tmpl w:val="DA94F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CA70264"/>
    <w:multiLevelType w:val="hybridMultilevel"/>
    <w:tmpl w:val="A650C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D5406BA"/>
    <w:multiLevelType w:val="hybridMultilevel"/>
    <w:tmpl w:val="9CE2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EA16687"/>
    <w:multiLevelType w:val="hybridMultilevel"/>
    <w:tmpl w:val="858849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15B1019"/>
    <w:multiLevelType w:val="hybridMultilevel"/>
    <w:tmpl w:val="6BA89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1B44D1A"/>
    <w:multiLevelType w:val="hybridMultilevel"/>
    <w:tmpl w:val="257C6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1EB160B"/>
    <w:multiLevelType w:val="hybridMultilevel"/>
    <w:tmpl w:val="C4D83FD0"/>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2434B1D"/>
    <w:multiLevelType w:val="hybridMultilevel"/>
    <w:tmpl w:val="DA186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28065CF"/>
    <w:multiLevelType w:val="hybridMultilevel"/>
    <w:tmpl w:val="0B6EC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2D819CA"/>
    <w:multiLevelType w:val="hybridMultilevel"/>
    <w:tmpl w:val="9BE8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460AD6"/>
    <w:multiLevelType w:val="hybridMultilevel"/>
    <w:tmpl w:val="2D987EEA"/>
    <w:lvl w:ilvl="0" w:tplc="04090017">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73B3643B"/>
    <w:multiLevelType w:val="hybridMultilevel"/>
    <w:tmpl w:val="C20C0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987127B"/>
    <w:multiLevelType w:val="hybridMultilevel"/>
    <w:tmpl w:val="4620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DCB225C"/>
    <w:multiLevelType w:val="hybridMultilevel"/>
    <w:tmpl w:val="92FC56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7EF12EF7"/>
    <w:multiLevelType w:val="hybridMultilevel"/>
    <w:tmpl w:val="F3688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51"/>
  </w:num>
  <w:num w:numId="13">
    <w:abstractNumId w:val="31"/>
  </w:num>
  <w:num w:numId="14">
    <w:abstractNumId w:val="56"/>
  </w:num>
  <w:num w:numId="15">
    <w:abstractNumId w:val="33"/>
  </w:num>
  <w:num w:numId="16">
    <w:abstractNumId w:val="64"/>
  </w:num>
  <w:num w:numId="17">
    <w:abstractNumId w:val="19"/>
  </w:num>
  <w:num w:numId="18">
    <w:abstractNumId w:val="31"/>
    <w:lvlOverride w:ilvl="0">
      <w:lvl w:ilvl="0">
        <w:start w:val="1"/>
        <w:numFmt w:val="decimal"/>
        <w:pStyle w:val="Heading1"/>
        <w:lvlText w:val="%1."/>
        <w:lvlJc w:val="left"/>
        <w:pPr>
          <w:ind w:left="567" w:hanging="567"/>
        </w:pPr>
        <w:rPr>
          <w:rFonts w:hint="default"/>
        </w:rPr>
      </w:lvl>
    </w:lvlOverride>
    <w:lvlOverride w:ilvl="1">
      <w:lvl w:ilvl="1">
        <w:start w:val="1"/>
        <w:numFmt w:val="decimal"/>
        <w:pStyle w:val="Heading2"/>
        <w:lvlText w:val="%1.%2"/>
        <w:lvlJc w:val="left"/>
        <w:pPr>
          <w:ind w:left="567" w:hanging="567"/>
        </w:pPr>
        <w:rPr>
          <w:rFonts w:hint="default"/>
          <w:b/>
          <w:color w:val="auto"/>
        </w:rPr>
      </w:lvl>
    </w:lvlOverride>
    <w:lvlOverride w:ilvl="2">
      <w:lvl w:ilvl="2">
        <w:start w:val="1"/>
        <w:numFmt w:val="none"/>
        <w:lvlText w:val=""/>
        <w:lvlJc w:val="left"/>
        <w:pPr>
          <w:ind w:left="567" w:firstLine="0"/>
        </w:pPr>
        <w:rPr>
          <w:rFonts w:hint="default"/>
        </w:rPr>
      </w:lvl>
    </w:lvlOverride>
    <w:lvlOverride w:ilvl="3">
      <w:lvl w:ilvl="3">
        <w:start w:val="1"/>
        <w:numFmt w:val="none"/>
        <w:lvlText w:val=""/>
        <w:lvlJc w:val="left"/>
        <w:pPr>
          <w:ind w:left="567" w:firstLine="0"/>
        </w:pPr>
        <w:rPr>
          <w:rFonts w:hint="default"/>
        </w:rPr>
      </w:lvl>
    </w:lvlOverride>
    <w:lvlOverride w:ilvl="4">
      <w:lvl w:ilvl="4">
        <w:start w:val="1"/>
        <w:numFmt w:val="none"/>
        <w:lvlText w:val=""/>
        <w:lvlJc w:val="left"/>
        <w:pPr>
          <w:ind w:left="567" w:firstLine="0"/>
        </w:pPr>
        <w:rPr>
          <w:rFonts w:hint="default"/>
        </w:rPr>
      </w:lvl>
    </w:lvlOverride>
    <w:lvlOverride w:ilvl="5">
      <w:lvl w:ilvl="5">
        <w:start w:val="1"/>
        <w:numFmt w:val="none"/>
        <w:lvlText w:val=""/>
        <w:lvlJc w:val="left"/>
        <w:pPr>
          <w:ind w:left="567" w:firstLine="0"/>
        </w:pPr>
        <w:rPr>
          <w:rFonts w:hint="default"/>
        </w:rPr>
      </w:lvl>
    </w:lvlOverride>
    <w:lvlOverride w:ilvl="6">
      <w:lvl w:ilvl="6">
        <w:start w:val="1"/>
        <w:numFmt w:val="none"/>
        <w:lvlText w:val=""/>
        <w:lvlJc w:val="left"/>
        <w:pPr>
          <w:ind w:left="567" w:firstLine="0"/>
        </w:pPr>
        <w:rPr>
          <w:rFonts w:hint="default"/>
        </w:rPr>
      </w:lvl>
    </w:lvlOverride>
    <w:lvlOverride w:ilvl="7">
      <w:lvl w:ilvl="7">
        <w:start w:val="1"/>
        <w:numFmt w:val="none"/>
        <w:lvlText w:val=""/>
        <w:lvlJc w:val="left"/>
        <w:pPr>
          <w:ind w:left="567" w:firstLine="0"/>
        </w:pPr>
        <w:rPr>
          <w:rFonts w:hint="default"/>
        </w:rPr>
      </w:lvl>
    </w:lvlOverride>
    <w:lvlOverride w:ilvl="8">
      <w:lvl w:ilvl="8">
        <w:start w:val="1"/>
        <w:numFmt w:val="none"/>
        <w:lvlText w:val=""/>
        <w:lvlJc w:val="left"/>
        <w:pPr>
          <w:ind w:left="567" w:firstLine="0"/>
        </w:pPr>
        <w:rPr>
          <w:rFonts w:hint="default"/>
        </w:rPr>
      </w:lvl>
    </w:lvlOverride>
  </w:num>
  <w:num w:numId="19">
    <w:abstractNumId w:val="18"/>
  </w:num>
  <w:num w:numId="20">
    <w:abstractNumId w:val="22"/>
  </w:num>
  <w:num w:numId="21">
    <w:abstractNumId w:val="79"/>
  </w:num>
  <w:num w:numId="22">
    <w:abstractNumId w:val="63"/>
  </w:num>
  <w:num w:numId="23">
    <w:abstractNumId w:val="57"/>
  </w:num>
  <w:num w:numId="24">
    <w:abstractNumId w:val="65"/>
  </w:num>
  <w:num w:numId="25">
    <w:abstractNumId w:val="60"/>
  </w:num>
  <w:num w:numId="26">
    <w:abstractNumId w:val="13"/>
  </w:num>
  <w:num w:numId="27">
    <w:abstractNumId w:val="23"/>
  </w:num>
  <w:num w:numId="28">
    <w:abstractNumId w:val="61"/>
  </w:num>
  <w:num w:numId="29">
    <w:abstractNumId w:val="40"/>
  </w:num>
  <w:num w:numId="30">
    <w:abstractNumId w:val="42"/>
  </w:num>
  <w:num w:numId="31">
    <w:abstractNumId w:val="17"/>
  </w:num>
  <w:num w:numId="32">
    <w:abstractNumId w:val="14"/>
  </w:num>
  <w:num w:numId="33">
    <w:abstractNumId w:val="76"/>
  </w:num>
  <w:num w:numId="34">
    <w:abstractNumId w:val="77"/>
  </w:num>
  <w:num w:numId="35">
    <w:abstractNumId w:val="50"/>
  </w:num>
  <w:num w:numId="36">
    <w:abstractNumId w:val="55"/>
  </w:num>
  <w:num w:numId="37">
    <w:abstractNumId w:val="16"/>
  </w:num>
  <w:num w:numId="38">
    <w:abstractNumId w:val="44"/>
  </w:num>
  <w:num w:numId="39">
    <w:abstractNumId w:val="24"/>
  </w:num>
  <w:num w:numId="40">
    <w:abstractNumId w:val="73"/>
  </w:num>
  <w:num w:numId="41">
    <w:abstractNumId w:val="67"/>
  </w:num>
  <w:num w:numId="42">
    <w:abstractNumId w:val="78"/>
  </w:num>
  <w:num w:numId="43">
    <w:abstractNumId w:val="46"/>
  </w:num>
  <w:num w:numId="44">
    <w:abstractNumId w:val="83"/>
  </w:num>
  <w:num w:numId="45">
    <w:abstractNumId w:val="15"/>
  </w:num>
  <w:num w:numId="46">
    <w:abstractNumId w:val="71"/>
  </w:num>
  <w:num w:numId="47">
    <w:abstractNumId w:val="47"/>
  </w:num>
  <w:num w:numId="48">
    <w:abstractNumId w:val="25"/>
  </w:num>
  <w:num w:numId="49">
    <w:abstractNumId w:val="74"/>
  </w:num>
  <w:num w:numId="50">
    <w:abstractNumId w:val="72"/>
  </w:num>
  <w:num w:numId="51">
    <w:abstractNumId w:val="82"/>
  </w:num>
  <w:num w:numId="52">
    <w:abstractNumId w:val="37"/>
  </w:num>
  <w:num w:numId="53">
    <w:abstractNumId w:val="27"/>
  </w:num>
  <w:num w:numId="54">
    <w:abstractNumId w:val="36"/>
  </w:num>
  <w:num w:numId="55">
    <w:abstractNumId w:val="41"/>
  </w:num>
  <w:num w:numId="56">
    <w:abstractNumId w:val="58"/>
  </w:num>
  <w:num w:numId="57">
    <w:abstractNumId w:val="11"/>
  </w:num>
  <w:num w:numId="58">
    <w:abstractNumId w:val="45"/>
  </w:num>
  <w:num w:numId="59">
    <w:abstractNumId w:val="80"/>
  </w:num>
  <w:num w:numId="60">
    <w:abstractNumId w:val="53"/>
  </w:num>
  <w:num w:numId="61">
    <w:abstractNumId w:val="29"/>
  </w:num>
  <w:num w:numId="62">
    <w:abstractNumId w:val="48"/>
  </w:num>
  <w:num w:numId="63">
    <w:abstractNumId w:val="34"/>
  </w:num>
  <w:num w:numId="6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8"/>
  </w:num>
  <w:num w:numId="66">
    <w:abstractNumId w:val="70"/>
  </w:num>
  <w:num w:numId="67">
    <w:abstractNumId w:val="68"/>
  </w:num>
  <w:num w:numId="68">
    <w:abstractNumId w:val="54"/>
  </w:num>
  <w:num w:numId="69">
    <w:abstractNumId w:val="43"/>
  </w:num>
  <w:num w:numId="70">
    <w:abstractNumId w:val="69"/>
  </w:num>
  <w:num w:numId="71">
    <w:abstractNumId w:val="39"/>
  </w:num>
  <w:num w:numId="72">
    <w:abstractNumId w:val="59"/>
  </w:num>
  <w:num w:numId="73">
    <w:abstractNumId w:val="62"/>
  </w:num>
  <w:num w:numId="74">
    <w:abstractNumId w:val="21"/>
  </w:num>
  <w:num w:numId="75">
    <w:abstractNumId w:val="38"/>
  </w:num>
  <w:num w:numId="76">
    <w:abstractNumId w:val="30"/>
  </w:num>
  <w:num w:numId="77">
    <w:abstractNumId w:val="66"/>
  </w:num>
  <w:num w:numId="78">
    <w:abstractNumId w:val="20"/>
  </w:num>
  <w:num w:numId="79">
    <w:abstractNumId w:val="12"/>
  </w:num>
  <w:num w:numId="80">
    <w:abstractNumId w:val="35"/>
  </w:num>
  <w:num w:numId="81">
    <w:abstractNumId w:val="75"/>
  </w:num>
  <w:num w:numId="82">
    <w:abstractNumId w:val="49"/>
  </w:num>
  <w:num w:numId="83">
    <w:abstractNumId w:val="32"/>
  </w:num>
  <w:num w:numId="84">
    <w:abstractNumId w:val="81"/>
  </w:num>
  <w:num w:numId="85">
    <w:abstractNumId w:val="5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displayBackgroundShape/>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ype" w:val="ReportCol1"/>
    <w:docVar w:name="Template" w:val="GF Report Template 1 Column.dotx"/>
  </w:docVars>
  <w:rsids>
    <w:rsidRoot w:val="00D8465B"/>
    <w:rsid w:val="00000135"/>
    <w:rsid w:val="0000017F"/>
    <w:rsid w:val="000010E9"/>
    <w:rsid w:val="00001706"/>
    <w:rsid w:val="00002449"/>
    <w:rsid w:val="000028BC"/>
    <w:rsid w:val="000067A2"/>
    <w:rsid w:val="000067AC"/>
    <w:rsid w:val="00010133"/>
    <w:rsid w:val="00011D45"/>
    <w:rsid w:val="00011D89"/>
    <w:rsid w:val="00012773"/>
    <w:rsid w:val="00015D01"/>
    <w:rsid w:val="00017D73"/>
    <w:rsid w:val="00021A9D"/>
    <w:rsid w:val="000226A7"/>
    <w:rsid w:val="000242DD"/>
    <w:rsid w:val="00024539"/>
    <w:rsid w:val="00024DFE"/>
    <w:rsid w:val="00026B43"/>
    <w:rsid w:val="00027195"/>
    <w:rsid w:val="0002767D"/>
    <w:rsid w:val="00027D89"/>
    <w:rsid w:val="00031C81"/>
    <w:rsid w:val="00032FF7"/>
    <w:rsid w:val="00034984"/>
    <w:rsid w:val="00034B94"/>
    <w:rsid w:val="00036281"/>
    <w:rsid w:val="00037366"/>
    <w:rsid w:val="0004343B"/>
    <w:rsid w:val="000451C3"/>
    <w:rsid w:val="0004628A"/>
    <w:rsid w:val="00047C4F"/>
    <w:rsid w:val="00047D69"/>
    <w:rsid w:val="00050B7A"/>
    <w:rsid w:val="00054E5F"/>
    <w:rsid w:val="00057F5E"/>
    <w:rsid w:val="00061E43"/>
    <w:rsid w:val="000646CB"/>
    <w:rsid w:val="000646CF"/>
    <w:rsid w:val="000671C7"/>
    <w:rsid w:val="00067799"/>
    <w:rsid w:val="00071C82"/>
    <w:rsid w:val="00074D0F"/>
    <w:rsid w:val="00075919"/>
    <w:rsid w:val="0008377E"/>
    <w:rsid w:val="00084682"/>
    <w:rsid w:val="00084740"/>
    <w:rsid w:val="00084B50"/>
    <w:rsid w:val="000873DD"/>
    <w:rsid w:val="000875D3"/>
    <w:rsid w:val="000911AC"/>
    <w:rsid w:val="0009143A"/>
    <w:rsid w:val="0009442E"/>
    <w:rsid w:val="00095737"/>
    <w:rsid w:val="000A0A56"/>
    <w:rsid w:val="000A1C57"/>
    <w:rsid w:val="000A61F2"/>
    <w:rsid w:val="000B0A5E"/>
    <w:rsid w:val="000B0D63"/>
    <w:rsid w:val="000B13A7"/>
    <w:rsid w:val="000B7775"/>
    <w:rsid w:val="000C1578"/>
    <w:rsid w:val="000C377B"/>
    <w:rsid w:val="000C647F"/>
    <w:rsid w:val="000C67B1"/>
    <w:rsid w:val="000D3F2F"/>
    <w:rsid w:val="000E0ACF"/>
    <w:rsid w:val="000E523B"/>
    <w:rsid w:val="000E5BFC"/>
    <w:rsid w:val="000F2330"/>
    <w:rsid w:val="000F5BD5"/>
    <w:rsid w:val="000F7531"/>
    <w:rsid w:val="001036AD"/>
    <w:rsid w:val="001048D8"/>
    <w:rsid w:val="00104DFE"/>
    <w:rsid w:val="00107610"/>
    <w:rsid w:val="0010764D"/>
    <w:rsid w:val="00110820"/>
    <w:rsid w:val="00112420"/>
    <w:rsid w:val="001139B3"/>
    <w:rsid w:val="0011450F"/>
    <w:rsid w:val="001169B8"/>
    <w:rsid w:val="0012123D"/>
    <w:rsid w:val="00121C96"/>
    <w:rsid w:val="00125656"/>
    <w:rsid w:val="00133325"/>
    <w:rsid w:val="0013691B"/>
    <w:rsid w:val="00137E99"/>
    <w:rsid w:val="001433CF"/>
    <w:rsid w:val="00143F79"/>
    <w:rsid w:val="00146C73"/>
    <w:rsid w:val="0015208B"/>
    <w:rsid w:val="0015301F"/>
    <w:rsid w:val="00153CB0"/>
    <w:rsid w:val="001540E2"/>
    <w:rsid w:val="00157A14"/>
    <w:rsid w:val="00160565"/>
    <w:rsid w:val="00161D5F"/>
    <w:rsid w:val="00162741"/>
    <w:rsid w:val="00165B8E"/>
    <w:rsid w:val="0016617F"/>
    <w:rsid w:val="00171C99"/>
    <w:rsid w:val="00172EDE"/>
    <w:rsid w:val="00173666"/>
    <w:rsid w:val="00173817"/>
    <w:rsid w:val="00183185"/>
    <w:rsid w:val="0018464A"/>
    <w:rsid w:val="00197AE7"/>
    <w:rsid w:val="001B1438"/>
    <w:rsid w:val="001B3039"/>
    <w:rsid w:val="001B4FE2"/>
    <w:rsid w:val="001B7717"/>
    <w:rsid w:val="001C0EA4"/>
    <w:rsid w:val="001C2071"/>
    <w:rsid w:val="001C3DD1"/>
    <w:rsid w:val="001D32A9"/>
    <w:rsid w:val="001D3A6E"/>
    <w:rsid w:val="001D4608"/>
    <w:rsid w:val="001D57CE"/>
    <w:rsid w:val="001D5CEF"/>
    <w:rsid w:val="001E1ADF"/>
    <w:rsid w:val="001E4991"/>
    <w:rsid w:val="001F37FE"/>
    <w:rsid w:val="001F46EE"/>
    <w:rsid w:val="001F7F10"/>
    <w:rsid w:val="0020456D"/>
    <w:rsid w:val="002054A3"/>
    <w:rsid w:val="0020615A"/>
    <w:rsid w:val="002145BF"/>
    <w:rsid w:val="00216E9D"/>
    <w:rsid w:val="002213C8"/>
    <w:rsid w:val="00221560"/>
    <w:rsid w:val="00222640"/>
    <w:rsid w:val="002233FE"/>
    <w:rsid w:val="00226000"/>
    <w:rsid w:val="00227187"/>
    <w:rsid w:val="00230069"/>
    <w:rsid w:val="00230476"/>
    <w:rsid w:val="00231E5B"/>
    <w:rsid w:val="00235CA2"/>
    <w:rsid w:val="002362E7"/>
    <w:rsid w:val="002367FB"/>
    <w:rsid w:val="00236822"/>
    <w:rsid w:val="0024020E"/>
    <w:rsid w:val="00244EDC"/>
    <w:rsid w:val="00246A77"/>
    <w:rsid w:val="002505ED"/>
    <w:rsid w:val="00251A43"/>
    <w:rsid w:val="0025351E"/>
    <w:rsid w:val="00253763"/>
    <w:rsid w:val="00253CE0"/>
    <w:rsid w:val="00254D2F"/>
    <w:rsid w:val="00260CDF"/>
    <w:rsid w:val="002624AD"/>
    <w:rsid w:val="00263E19"/>
    <w:rsid w:val="00266AEC"/>
    <w:rsid w:val="0027163F"/>
    <w:rsid w:val="00276608"/>
    <w:rsid w:val="002772A6"/>
    <w:rsid w:val="002802D7"/>
    <w:rsid w:val="00282E1F"/>
    <w:rsid w:val="00284808"/>
    <w:rsid w:val="00287C4E"/>
    <w:rsid w:val="00291BF7"/>
    <w:rsid w:val="00292879"/>
    <w:rsid w:val="002938CB"/>
    <w:rsid w:val="00294A62"/>
    <w:rsid w:val="00297706"/>
    <w:rsid w:val="0029796C"/>
    <w:rsid w:val="002A4684"/>
    <w:rsid w:val="002A534F"/>
    <w:rsid w:val="002A57E1"/>
    <w:rsid w:val="002A5B89"/>
    <w:rsid w:val="002A72DB"/>
    <w:rsid w:val="002A7635"/>
    <w:rsid w:val="002B07E9"/>
    <w:rsid w:val="002B0F35"/>
    <w:rsid w:val="002B2635"/>
    <w:rsid w:val="002B4065"/>
    <w:rsid w:val="002B6A8E"/>
    <w:rsid w:val="002C35FE"/>
    <w:rsid w:val="002C3CEB"/>
    <w:rsid w:val="002D3CA0"/>
    <w:rsid w:val="002D5537"/>
    <w:rsid w:val="002D5A90"/>
    <w:rsid w:val="002E1987"/>
    <w:rsid w:val="002E2691"/>
    <w:rsid w:val="002E2B51"/>
    <w:rsid w:val="002E4929"/>
    <w:rsid w:val="002E6104"/>
    <w:rsid w:val="002E7B41"/>
    <w:rsid w:val="002F1AF0"/>
    <w:rsid w:val="002F23B7"/>
    <w:rsid w:val="002F2F7C"/>
    <w:rsid w:val="002F5A38"/>
    <w:rsid w:val="003022B3"/>
    <w:rsid w:val="00303F18"/>
    <w:rsid w:val="00304EE8"/>
    <w:rsid w:val="0030680A"/>
    <w:rsid w:val="00311FEB"/>
    <w:rsid w:val="00314800"/>
    <w:rsid w:val="00315BCF"/>
    <w:rsid w:val="0031628B"/>
    <w:rsid w:val="00320FCB"/>
    <w:rsid w:val="003221F0"/>
    <w:rsid w:val="0032424D"/>
    <w:rsid w:val="00324C68"/>
    <w:rsid w:val="00324FEB"/>
    <w:rsid w:val="00325D20"/>
    <w:rsid w:val="00325D42"/>
    <w:rsid w:val="00326A25"/>
    <w:rsid w:val="00326A6B"/>
    <w:rsid w:val="00326B65"/>
    <w:rsid w:val="0034172D"/>
    <w:rsid w:val="003436A3"/>
    <w:rsid w:val="00344AF1"/>
    <w:rsid w:val="00347335"/>
    <w:rsid w:val="00347E6D"/>
    <w:rsid w:val="00356882"/>
    <w:rsid w:val="00361089"/>
    <w:rsid w:val="00364326"/>
    <w:rsid w:val="003669CF"/>
    <w:rsid w:val="0037258B"/>
    <w:rsid w:val="003744D9"/>
    <w:rsid w:val="0037621C"/>
    <w:rsid w:val="00376598"/>
    <w:rsid w:val="00377AA9"/>
    <w:rsid w:val="003844E1"/>
    <w:rsid w:val="0038486D"/>
    <w:rsid w:val="003860E7"/>
    <w:rsid w:val="00386186"/>
    <w:rsid w:val="00390E9F"/>
    <w:rsid w:val="0039496C"/>
    <w:rsid w:val="00395135"/>
    <w:rsid w:val="00397B91"/>
    <w:rsid w:val="003A0F8A"/>
    <w:rsid w:val="003A13B6"/>
    <w:rsid w:val="003A1F32"/>
    <w:rsid w:val="003A4972"/>
    <w:rsid w:val="003A5EB1"/>
    <w:rsid w:val="003A7A93"/>
    <w:rsid w:val="003B09C8"/>
    <w:rsid w:val="003B54E4"/>
    <w:rsid w:val="003C4B9E"/>
    <w:rsid w:val="003C7B23"/>
    <w:rsid w:val="003C7F2F"/>
    <w:rsid w:val="003D286E"/>
    <w:rsid w:val="003D4795"/>
    <w:rsid w:val="003D55FC"/>
    <w:rsid w:val="003D59BD"/>
    <w:rsid w:val="003D5D6D"/>
    <w:rsid w:val="003D67DA"/>
    <w:rsid w:val="003D70F4"/>
    <w:rsid w:val="003F167F"/>
    <w:rsid w:val="003F2658"/>
    <w:rsid w:val="003F269B"/>
    <w:rsid w:val="003F4F26"/>
    <w:rsid w:val="00404876"/>
    <w:rsid w:val="0040643D"/>
    <w:rsid w:val="00411895"/>
    <w:rsid w:val="00411A6F"/>
    <w:rsid w:val="00411CF4"/>
    <w:rsid w:val="00413649"/>
    <w:rsid w:val="00414164"/>
    <w:rsid w:val="00414929"/>
    <w:rsid w:val="00416B90"/>
    <w:rsid w:val="00417876"/>
    <w:rsid w:val="0042079A"/>
    <w:rsid w:val="00421004"/>
    <w:rsid w:val="00424998"/>
    <w:rsid w:val="00424BFA"/>
    <w:rsid w:val="00427041"/>
    <w:rsid w:val="0042750D"/>
    <w:rsid w:val="004344C5"/>
    <w:rsid w:val="004345DC"/>
    <w:rsid w:val="00434657"/>
    <w:rsid w:val="00437DC3"/>
    <w:rsid w:val="004407F0"/>
    <w:rsid w:val="004431F4"/>
    <w:rsid w:val="00443C2F"/>
    <w:rsid w:val="004456B9"/>
    <w:rsid w:val="004473B4"/>
    <w:rsid w:val="00450045"/>
    <w:rsid w:val="00451CBE"/>
    <w:rsid w:val="00454E8A"/>
    <w:rsid w:val="004551D2"/>
    <w:rsid w:val="00457496"/>
    <w:rsid w:val="0046043E"/>
    <w:rsid w:val="004619FD"/>
    <w:rsid w:val="00463442"/>
    <w:rsid w:val="00464F55"/>
    <w:rsid w:val="004734A5"/>
    <w:rsid w:val="0047497A"/>
    <w:rsid w:val="00475BE9"/>
    <w:rsid w:val="00477290"/>
    <w:rsid w:val="004807FB"/>
    <w:rsid w:val="00484A34"/>
    <w:rsid w:val="00485066"/>
    <w:rsid w:val="00490205"/>
    <w:rsid w:val="0049222A"/>
    <w:rsid w:val="004A2E91"/>
    <w:rsid w:val="004A6A64"/>
    <w:rsid w:val="004A7E7B"/>
    <w:rsid w:val="004B3CB6"/>
    <w:rsid w:val="004B4E06"/>
    <w:rsid w:val="004B50E0"/>
    <w:rsid w:val="004B567E"/>
    <w:rsid w:val="004C41DA"/>
    <w:rsid w:val="004D4827"/>
    <w:rsid w:val="004E0779"/>
    <w:rsid w:val="004F034A"/>
    <w:rsid w:val="004F22B2"/>
    <w:rsid w:val="004F3DBF"/>
    <w:rsid w:val="004F6EC0"/>
    <w:rsid w:val="004F750D"/>
    <w:rsid w:val="00500903"/>
    <w:rsid w:val="00500EA7"/>
    <w:rsid w:val="005028D9"/>
    <w:rsid w:val="00516717"/>
    <w:rsid w:val="005232AC"/>
    <w:rsid w:val="00526322"/>
    <w:rsid w:val="0052762D"/>
    <w:rsid w:val="005279BC"/>
    <w:rsid w:val="00527ED3"/>
    <w:rsid w:val="005327C3"/>
    <w:rsid w:val="00533D7B"/>
    <w:rsid w:val="0053784E"/>
    <w:rsid w:val="005422B6"/>
    <w:rsid w:val="00543D4F"/>
    <w:rsid w:val="005457B4"/>
    <w:rsid w:val="0054635E"/>
    <w:rsid w:val="0055523F"/>
    <w:rsid w:val="005578E8"/>
    <w:rsid w:val="00560074"/>
    <w:rsid w:val="00560096"/>
    <w:rsid w:val="00560302"/>
    <w:rsid w:val="00561767"/>
    <w:rsid w:val="00562B3D"/>
    <w:rsid w:val="005653B2"/>
    <w:rsid w:val="005659E0"/>
    <w:rsid w:val="0057138C"/>
    <w:rsid w:val="00572198"/>
    <w:rsid w:val="005735F0"/>
    <w:rsid w:val="00573A39"/>
    <w:rsid w:val="00576254"/>
    <w:rsid w:val="00576BE5"/>
    <w:rsid w:val="00576E18"/>
    <w:rsid w:val="00582570"/>
    <w:rsid w:val="00582BFD"/>
    <w:rsid w:val="0058415B"/>
    <w:rsid w:val="00587400"/>
    <w:rsid w:val="0059661D"/>
    <w:rsid w:val="005977CA"/>
    <w:rsid w:val="005A1EDA"/>
    <w:rsid w:val="005A7DE2"/>
    <w:rsid w:val="005A7F49"/>
    <w:rsid w:val="005B03D1"/>
    <w:rsid w:val="005B21F7"/>
    <w:rsid w:val="005B648A"/>
    <w:rsid w:val="005D02D2"/>
    <w:rsid w:val="005D1399"/>
    <w:rsid w:val="005D4524"/>
    <w:rsid w:val="005D63AE"/>
    <w:rsid w:val="005E0753"/>
    <w:rsid w:val="005E0AB3"/>
    <w:rsid w:val="005E2D19"/>
    <w:rsid w:val="005E4CE2"/>
    <w:rsid w:val="005E5287"/>
    <w:rsid w:val="005E5FAA"/>
    <w:rsid w:val="005E6229"/>
    <w:rsid w:val="005E78AE"/>
    <w:rsid w:val="005F6D34"/>
    <w:rsid w:val="00600BA8"/>
    <w:rsid w:val="00604CBD"/>
    <w:rsid w:val="00605A90"/>
    <w:rsid w:val="00606C49"/>
    <w:rsid w:val="00611DCB"/>
    <w:rsid w:val="00611DD1"/>
    <w:rsid w:val="00613892"/>
    <w:rsid w:val="00615FF6"/>
    <w:rsid w:val="00616566"/>
    <w:rsid w:val="00620010"/>
    <w:rsid w:val="0062460F"/>
    <w:rsid w:val="006253D6"/>
    <w:rsid w:val="00631023"/>
    <w:rsid w:val="006326F8"/>
    <w:rsid w:val="00633BBC"/>
    <w:rsid w:val="00633D5C"/>
    <w:rsid w:val="0063467F"/>
    <w:rsid w:val="006364FF"/>
    <w:rsid w:val="00637448"/>
    <w:rsid w:val="00644ADF"/>
    <w:rsid w:val="0064521E"/>
    <w:rsid w:val="0064597B"/>
    <w:rsid w:val="00651751"/>
    <w:rsid w:val="006533BD"/>
    <w:rsid w:val="00661C8B"/>
    <w:rsid w:val="0066207C"/>
    <w:rsid w:val="00663D90"/>
    <w:rsid w:val="00664D00"/>
    <w:rsid w:val="0066560C"/>
    <w:rsid w:val="006677A6"/>
    <w:rsid w:val="00667DF0"/>
    <w:rsid w:val="00671956"/>
    <w:rsid w:val="00673318"/>
    <w:rsid w:val="00673D5D"/>
    <w:rsid w:val="0067503A"/>
    <w:rsid w:val="00675C66"/>
    <w:rsid w:val="006807B4"/>
    <w:rsid w:val="006810B2"/>
    <w:rsid w:val="006810F9"/>
    <w:rsid w:val="00681ABF"/>
    <w:rsid w:val="00681D31"/>
    <w:rsid w:val="00682891"/>
    <w:rsid w:val="00687B1C"/>
    <w:rsid w:val="00690D28"/>
    <w:rsid w:val="0069127F"/>
    <w:rsid w:val="006915AE"/>
    <w:rsid w:val="00691D78"/>
    <w:rsid w:val="006928DF"/>
    <w:rsid w:val="006931FE"/>
    <w:rsid w:val="00693ED1"/>
    <w:rsid w:val="006A22EC"/>
    <w:rsid w:val="006A3FF7"/>
    <w:rsid w:val="006B5836"/>
    <w:rsid w:val="006B7844"/>
    <w:rsid w:val="006B7D63"/>
    <w:rsid w:val="006C0196"/>
    <w:rsid w:val="006C10E7"/>
    <w:rsid w:val="006C1655"/>
    <w:rsid w:val="006C4EFE"/>
    <w:rsid w:val="006C7912"/>
    <w:rsid w:val="006D029C"/>
    <w:rsid w:val="006D0D17"/>
    <w:rsid w:val="006D106F"/>
    <w:rsid w:val="006D1A08"/>
    <w:rsid w:val="006D65C9"/>
    <w:rsid w:val="006D7841"/>
    <w:rsid w:val="006D7C30"/>
    <w:rsid w:val="006D7EAB"/>
    <w:rsid w:val="006E0942"/>
    <w:rsid w:val="006E3D54"/>
    <w:rsid w:val="006E4BAC"/>
    <w:rsid w:val="006E6461"/>
    <w:rsid w:val="006E6875"/>
    <w:rsid w:val="006F2316"/>
    <w:rsid w:val="006F2AA1"/>
    <w:rsid w:val="006F4286"/>
    <w:rsid w:val="006F6F93"/>
    <w:rsid w:val="00700E91"/>
    <w:rsid w:val="00701406"/>
    <w:rsid w:val="0070200C"/>
    <w:rsid w:val="007043C7"/>
    <w:rsid w:val="007047B3"/>
    <w:rsid w:val="0070650E"/>
    <w:rsid w:val="00710A12"/>
    <w:rsid w:val="0071110F"/>
    <w:rsid w:val="00711EC6"/>
    <w:rsid w:val="00713B46"/>
    <w:rsid w:val="0071454E"/>
    <w:rsid w:val="00720B79"/>
    <w:rsid w:val="00723D34"/>
    <w:rsid w:val="007273BE"/>
    <w:rsid w:val="00731A0B"/>
    <w:rsid w:val="007321CC"/>
    <w:rsid w:val="007364E8"/>
    <w:rsid w:val="007410E8"/>
    <w:rsid w:val="0074146F"/>
    <w:rsid w:val="007418FD"/>
    <w:rsid w:val="00741B1B"/>
    <w:rsid w:val="00756002"/>
    <w:rsid w:val="00756BA1"/>
    <w:rsid w:val="00756D32"/>
    <w:rsid w:val="0075707F"/>
    <w:rsid w:val="00757FA6"/>
    <w:rsid w:val="00760AF4"/>
    <w:rsid w:val="00761F4E"/>
    <w:rsid w:val="007629F9"/>
    <w:rsid w:val="00764F1E"/>
    <w:rsid w:val="00766593"/>
    <w:rsid w:val="00770158"/>
    <w:rsid w:val="007744DC"/>
    <w:rsid w:val="00777F70"/>
    <w:rsid w:val="00781834"/>
    <w:rsid w:val="00786ABD"/>
    <w:rsid w:val="0078718D"/>
    <w:rsid w:val="00792674"/>
    <w:rsid w:val="00794CE6"/>
    <w:rsid w:val="00795EB5"/>
    <w:rsid w:val="007A2B25"/>
    <w:rsid w:val="007A52B7"/>
    <w:rsid w:val="007A5868"/>
    <w:rsid w:val="007A59CE"/>
    <w:rsid w:val="007A5D57"/>
    <w:rsid w:val="007A6358"/>
    <w:rsid w:val="007B02C4"/>
    <w:rsid w:val="007B1F00"/>
    <w:rsid w:val="007B301C"/>
    <w:rsid w:val="007B4B86"/>
    <w:rsid w:val="007C0508"/>
    <w:rsid w:val="007C1690"/>
    <w:rsid w:val="007C72C8"/>
    <w:rsid w:val="007C7857"/>
    <w:rsid w:val="007E2786"/>
    <w:rsid w:val="007E28BF"/>
    <w:rsid w:val="007E3A64"/>
    <w:rsid w:val="007F1274"/>
    <w:rsid w:val="007F1B02"/>
    <w:rsid w:val="007F25F3"/>
    <w:rsid w:val="007F2F62"/>
    <w:rsid w:val="007F53E8"/>
    <w:rsid w:val="007F6CC2"/>
    <w:rsid w:val="007F6E8A"/>
    <w:rsid w:val="008029B8"/>
    <w:rsid w:val="00803993"/>
    <w:rsid w:val="00804414"/>
    <w:rsid w:val="0080478C"/>
    <w:rsid w:val="00805279"/>
    <w:rsid w:val="00810CCB"/>
    <w:rsid w:val="008129C4"/>
    <w:rsid w:val="008140B4"/>
    <w:rsid w:val="008164C3"/>
    <w:rsid w:val="00822D0E"/>
    <w:rsid w:val="00823A34"/>
    <w:rsid w:val="00824D66"/>
    <w:rsid w:val="0083536E"/>
    <w:rsid w:val="008376E7"/>
    <w:rsid w:val="00844368"/>
    <w:rsid w:val="00850A36"/>
    <w:rsid w:val="00850EF3"/>
    <w:rsid w:val="008514B0"/>
    <w:rsid w:val="00851B7F"/>
    <w:rsid w:val="00851B9B"/>
    <w:rsid w:val="00854A89"/>
    <w:rsid w:val="00854F0D"/>
    <w:rsid w:val="00861A97"/>
    <w:rsid w:val="00862145"/>
    <w:rsid w:val="008659A5"/>
    <w:rsid w:val="0086619D"/>
    <w:rsid w:val="008664A6"/>
    <w:rsid w:val="00866542"/>
    <w:rsid w:val="0087373E"/>
    <w:rsid w:val="00875E9C"/>
    <w:rsid w:val="0087616F"/>
    <w:rsid w:val="00882DA1"/>
    <w:rsid w:val="00882DC3"/>
    <w:rsid w:val="00883367"/>
    <w:rsid w:val="00886006"/>
    <w:rsid w:val="00890D60"/>
    <w:rsid w:val="0089117B"/>
    <w:rsid w:val="008912E9"/>
    <w:rsid w:val="008A2F57"/>
    <w:rsid w:val="008A3F1D"/>
    <w:rsid w:val="008A6551"/>
    <w:rsid w:val="008A6AEA"/>
    <w:rsid w:val="008A7F7E"/>
    <w:rsid w:val="008B2146"/>
    <w:rsid w:val="008B3BF5"/>
    <w:rsid w:val="008B4877"/>
    <w:rsid w:val="008B4CC6"/>
    <w:rsid w:val="008B73A7"/>
    <w:rsid w:val="008B741B"/>
    <w:rsid w:val="008C0962"/>
    <w:rsid w:val="008C21CF"/>
    <w:rsid w:val="008C36D5"/>
    <w:rsid w:val="008D0B88"/>
    <w:rsid w:val="008D2446"/>
    <w:rsid w:val="008D3585"/>
    <w:rsid w:val="008D5732"/>
    <w:rsid w:val="008D794F"/>
    <w:rsid w:val="008E1B1A"/>
    <w:rsid w:val="008E1EAE"/>
    <w:rsid w:val="008E4748"/>
    <w:rsid w:val="008F05A0"/>
    <w:rsid w:val="008F14A9"/>
    <w:rsid w:val="008F1EFB"/>
    <w:rsid w:val="008F6B82"/>
    <w:rsid w:val="009026A1"/>
    <w:rsid w:val="00904DE4"/>
    <w:rsid w:val="0090611F"/>
    <w:rsid w:val="00906417"/>
    <w:rsid w:val="00906555"/>
    <w:rsid w:val="00907DE9"/>
    <w:rsid w:val="00910134"/>
    <w:rsid w:val="009102CC"/>
    <w:rsid w:val="00910C10"/>
    <w:rsid w:val="009111BE"/>
    <w:rsid w:val="00914387"/>
    <w:rsid w:val="009203E3"/>
    <w:rsid w:val="00930929"/>
    <w:rsid w:val="00931AFF"/>
    <w:rsid w:val="00934262"/>
    <w:rsid w:val="0093555B"/>
    <w:rsid w:val="00935B0E"/>
    <w:rsid w:val="00936973"/>
    <w:rsid w:val="00940386"/>
    <w:rsid w:val="0094167C"/>
    <w:rsid w:val="0094486C"/>
    <w:rsid w:val="00945196"/>
    <w:rsid w:val="00950025"/>
    <w:rsid w:val="00950217"/>
    <w:rsid w:val="00953F18"/>
    <w:rsid w:val="00957A4D"/>
    <w:rsid w:val="0096146C"/>
    <w:rsid w:val="0096410B"/>
    <w:rsid w:val="00971B4A"/>
    <w:rsid w:val="00971DBD"/>
    <w:rsid w:val="00975618"/>
    <w:rsid w:val="00975D66"/>
    <w:rsid w:val="0097669A"/>
    <w:rsid w:val="009773FC"/>
    <w:rsid w:val="009811D3"/>
    <w:rsid w:val="0098143C"/>
    <w:rsid w:val="009835CB"/>
    <w:rsid w:val="00985446"/>
    <w:rsid w:val="00985BF5"/>
    <w:rsid w:val="0098682A"/>
    <w:rsid w:val="00992B2A"/>
    <w:rsid w:val="009A1DC8"/>
    <w:rsid w:val="009A28E5"/>
    <w:rsid w:val="009A3C69"/>
    <w:rsid w:val="009A63DB"/>
    <w:rsid w:val="009A6DE4"/>
    <w:rsid w:val="009B192C"/>
    <w:rsid w:val="009B1BDA"/>
    <w:rsid w:val="009B4D07"/>
    <w:rsid w:val="009B7CC7"/>
    <w:rsid w:val="009C1A68"/>
    <w:rsid w:val="009C5A81"/>
    <w:rsid w:val="009C5BD1"/>
    <w:rsid w:val="009C63A7"/>
    <w:rsid w:val="009D0BAC"/>
    <w:rsid w:val="009D32FF"/>
    <w:rsid w:val="009E0AB1"/>
    <w:rsid w:val="009F0C9D"/>
    <w:rsid w:val="009F1A4B"/>
    <w:rsid w:val="009F1F7D"/>
    <w:rsid w:val="009F3110"/>
    <w:rsid w:val="009F52F1"/>
    <w:rsid w:val="00A05C82"/>
    <w:rsid w:val="00A06BA5"/>
    <w:rsid w:val="00A07EE4"/>
    <w:rsid w:val="00A10DAE"/>
    <w:rsid w:val="00A122B2"/>
    <w:rsid w:val="00A13A2F"/>
    <w:rsid w:val="00A13C52"/>
    <w:rsid w:val="00A14C13"/>
    <w:rsid w:val="00A1688D"/>
    <w:rsid w:val="00A17138"/>
    <w:rsid w:val="00A200CE"/>
    <w:rsid w:val="00A205F8"/>
    <w:rsid w:val="00A23459"/>
    <w:rsid w:val="00A24EE3"/>
    <w:rsid w:val="00A26CB5"/>
    <w:rsid w:val="00A3346F"/>
    <w:rsid w:val="00A33760"/>
    <w:rsid w:val="00A3449A"/>
    <w:rsid w:val="00A3464D"/>
    <w:rsid w:val="00A361E4"/>
    <w:rsid w:val="00A372CB"/>
    <w:rsid w:val="00A375A9"/>
    <w:rsid w:val="00A40C93"/>
    <w:rsid w:val="00A425D8"/>
    <w:rsid w:val="00A428A7"/>
    <w:rsid w:val="00A42939"/>
    <w:rsid w:val="00A42DB1"/>
    <w:rsid w:val="00A4492A"/>
    <w:rsid w:val="00A44B9A"/>
    <w:rsid w:val="00A458EF"/>
    <w:rsid w:val="00A522BA"/>
    <w:rsid w:val="00A55015"/>
    <w:rsid w:val="00A55D45"/>
    <w:rsid w:val="00A57DC5"/>
    <w:rsid w:val="00A603C6"/>
    <w:rsid w:val="00A6327A"/>
    <w:rsid w:val="00A63F2F"/>
    <w:rsid w:val="00A6407D"/>
    <w:rsid w:val="00A653F7"/>
    <w:rsid w:val="00A70C41"/>
    <w:rsid w:val="00A74F4C"/>
    <w:rsid w:val="00A757CB"/>
    <w:rsid w:val="00A76BD8"/>
    <w:rsid w:val="00A77418"/>
    <w:rsid w:val="00A77789"/>
    <w:rsid w:val="00A77CCB"/>
    <w:rsid w:val="00A80BD5"/>
    <w:rsid w:val="00A82FB8"/>
    <w:rsid w:val="00A83924"/>
    <w:rsid w:val="00A8507E"/>
    <w:rsid w:val="00A86996"/>
    <w:rsid w:val="00A87B4A"/>
    <w:rsid w:val="00A905E1"/>
    <w:rsid w:val="00A91BD8"/>
    <w:rsid w:val="00A9213B"/>
    <w:rsid w:val="00A937D6"/>
    <w:rsid w:val="00A95164"/>
    <w:rsid w:val="00AA1140"/>
    <w:rsid w:val="00AA1E00"/>
    <w:rsid w:val="00AA25E4"/>
    <w:rsid w:val="00AA45C3"/>
    <w:rsid w:val="00AA4ACC"/>
    <w:rsid w:val="00AA6133"/>
    <w:rsid w:val="00AA64EC"/>
    <w:rsid w:val="00AB0657"/>
    <w:rsid w:val="00AB3105"/>
    <w:rsid w:val="00AB6271"/>
    <w:rsid w:val="00AC5EC3"/>
    <w:rsid w:val="00AD08BB"/>
    <w:rsid w:val="00AD11AC"/>
    <w:rsid w:val="00AD161C"/>
    <w:rsid w:val="00AD189E"/>
    <w:rsid w:val="00AD2EFA"/>
    <w:rsid w:val="00AD32ED"/>
    <w:rsid w:val="00AD462A"/>
    <w:rsid w:val="00AD7466"/>
    <w:rsid w:val="00AD7D8D"/>
    <w:rsid w:val="00AE2B19"/>
    <w:rsid w:val="00AE7A47"/>
    <w:rsid w:val="00AF0843"/>
    <w:rsid w:val="00AF191E"/>
    <w:rsid w:val="00AF19B0"/>
    <w:rsid w:val="00AF2473"/>
    <w:rsid w:val="00AF2D87"/>
    <w:rsid w:val="00AF420D"/>
    <w:rsid w:val="00AF708F"/>
    <w:rsid w:val="00B05D67"/>
    <w:rsid w:val="00B072B0"/>
    <w:rsid w:val="00B175AC"/>
    <w:rsid w:val="00B20664"/>
    <w:rsid w:val="00B20C1B"/>
    <w:rsid w:val="00B20D45"/>
    <w:rsid w:val="00B22260"/>
    <w:rsid w:val="00B24496"/>
    <w:rsid w:val="00B25E0F"/>
    <w:rsid w:val="00B266D3"/>
    <w:rsid w:val="00B27189"/>
    <w:rsid w:val="00B271DB"/>
    <w:rsid w:val="00B2724B"/>
    <w:rsid w:val="00B305C8"/>
    <w:rsid w:val="00B33A61"/>
    <w:rsid w:val="00B4096F"/>
    <w:rsid w:val="00B420E9"/>
    <w:rsid w:val="00B45357"/>
    <w:rsid w:val="00B501E9"/>
    <w:rsid w:val="00B51D27"/>
    <w:rsid w:val="00B52F3C"/>
    <w:rsid w:val="00B54A6E"/>
    <w:rsid w:val="00B559D5"/>
    <w:rsid w:val="00B5705D"/>
    <w:rsid w:val="00B57683"/>
    <w:rsid w:val="00B60A27"/>
    <w:rsid w:val="00B60E99"/>
    <w:rsid w:val="00B63C35"/>
    <w:rsid w:val="00B6467A"/>
    <w:rsid w:val="00B64FBE"/>
    <w:rsid w:val="00B654E1"/>
    <w:rsid w:val="00B677ED"/>
    <w:rsid w:val="00B72A56"/>
    <w:rsid w:val="00B7419A"/>
    <w:rsid w:val="00B74DAA"/>
    <w:rsid w:val="00B772D6"/>
    <w:rsid w:val="00B846B4"/>
    <w:rsid w:val="00B8478D"/>
    <w:rsid w:val="00B84958"/>
    <w:rsid w:val="00B8511E"/>
    <w:rsid w:val="00B87E2A"/>
    <w:rsid w:val="00B90406"/>
    <w:rsid w:val="00B957DD"/>
    <w:rsid w:val="00B958CE"/>
    <w:rsid w:val="00BA0F29"/>
    <w:rsid w:val="00BA263C"/>
    <w:rsid w:val="00BA2C95"/>
    <w:rsid w:val="00BA4B58"/>
    <w:rsid w:val="00BB0048"/>
    <w:rsid w:val="00BB1365"/>
    <w:rsid w:val="00BB3300"/>
    <w:rsid w:val="00BB476D"/>
    <w:rsid w:val="00BB6500"/>
    <w:rsid w:val="00BB7474"/>
    <w:rsid w:val="00BB77C6"/>
    <w:rsid w:val="00BB782B"/>
    <w:rsid w:val="00BC0A41"/>
    <w:rsid w:val="00BC19AC"/>
    <w:rsid w:val="00BC6637"/>
    <w:rsid w:val="00BC7B0F"/>
    <w:rsid w:val="00BD0AF6"/>
    <w:rsid w:val="00BD1700"/>
    <w:rsid w:val="00BD19BF"/>
    <w:rsid w:val="00BD50B8"/>
    <w:rsid w:val="00BD6706"/>
    <w:rsid w:val="00BD6B50"/>
    <w:rsid w:val="00BE0F0C"/>
    <w:rsid w:val="00BE6DED"/>
    <w:rsid w:val="00BF1A33"/>
    <w:rsid w:val="00BF2372"/>
    <w:rsid w:val="00BF377D"/>
    <w:rsid w:val="00BF4BEE"/>
    <w:rsid w:val="00C011D1"/>
    <w:rsid w:val="00C03EA7"/>
    <w:rsid w:val="00C07F83"/>
    <w:rsid w:val="00C11349"/>
    <w:rsid w:val="00C1409F"/>
    <w:rsid w:val="00C150AA"/>
    <w:rsid w:val="00C164E6"/>
    <w:rsid w:val="00C16F89"/>
    <w:rsid w:val="00C24753"/>
    <w:rsid w:val="00C24EAA"/>
    <w:rsid w:val="00C25475"/>
    <w:rsid w:val="00C26026"/>
    <w:rsid w:val="00C26862"/>
    <w:rsid w:val="00C30BD7"/>
    <w:rsid w:val="00C325A5"/>
    <w:rsid w:val="00C368B3"/>
    <w:rsid w:val="00C40A24"/>
    <w:rsid w:val="00C41214"/>
    <w:rsid w:val="00C4686B"/>
    <w:rsid w:val="00C47397"/>
    <w:rsid w:val="00C50369"/>
    <w:rsid w:val="00C53A40"/>
    <w:rsid w:val="00C551FC"/>
    <w:rsid w:val="00C60DF6"/>
    <w:rsid w:val="00C6157F"/>
    <w:rsid w:val="00C64479"/>
    <w:rsid w:val="00C66310"/>
    <w:rsid w:val="00C66623"/>
    <w:rsid w:val="00C713CE"/>
    <w:rsid w:val="00C71542"/>
    <w:rsid w:val="00C74839"/>
    <w:rsid w:val="00C75ACA"/>
    <w:rsid w:val="00C90AD1"/>
    <w:rsid w:val="00C921BC"/>
    <w:rsid w:val="00C96EAB"/>
    <w:rsid w:val="00C96ED5"/>
    <w:rsid w:val="00CA1283"/>
    <w:rsid w:val="00CA1714"/>
    <w:rsid w:val="00CA47ED"/>
    <w:rsid w:val="00CA5409"/>
    <w:rsid w:val="00CA5885"/>
    <w:rsid w:val="00CA5FC1"/>
    <w:rsid w:val="00CA637C"/>
    <w:rsid w:val="00CA674F"/>
    <w:rsid w:val="00CA750B"/>
    <w:rsid w:val="00CA7D8E"/>
    <w:rsid w:val="00CB23AA"/>
    <w:rsid w:val="00CB3645"/>
    <w:rsid w:val="00CB5F7B"/>
    <w:rsid w:val="00CB63FE"/>
    <w:rsid w:val="00CC14C5"/>
    <w:rsid w:val="00CC5931"/>
    <w:rsid w:val="00CC7C56"/>
    <w:rsid w:val="00CC7D39"/>
    <w:rsid w:val="00CD0532"/>
    <w:rsid w:val="00CD0C20"/>
    <w:rsid w:val="00CD50F1"/>
    <w:rsid w:val="00CE65F1"/>
    <w:rsid w:val="00CE665B"/>
    <w:rsid w:val="00CF198D"/>
    <w:rsid w:val="00D00A6A"/>
    <w:rsid w:val="00D02C53"/>
    <w:rsid w:val="00D06ADA"/>
    <w:rsid w:val="00D11438"/>
    <w:rsid w:val="00D115BA"/>
    <w:rsid w:val="00D16FEC"/>
    <w:rsid w:val="00D178CB"/>
    <w:rsid w:val="00D17D61"/>
    <w:rsid w:val="00D20451"/>
    <w:rsid w:val="00D2069F"/>
    <w:rsid w:val="00D21468"/>
    <w:rsid w:val="00D2174E"/>
    <w:rsid w:val="00D26046"/>
    <w:rsid w:val="00D26A7A"/>
    <w:rsid w:val="00D276B4"/>
    <w:rsid w:val="00D30BFB"/>
    <w:rsid w:val="00D32057"/>
    <w:rsid w:val="00D33288"/>
    <w:rsid w:val="00D36FDA"/>
    <w:rsid w:val="00D42C6A"/>
    <w:rsid w:val="00D44D0D"/>
    <w:rsid w:val="00D47C59"/>
    <w:rsid w:val="00D55173"/>
    <w:rsid w:val="00D55974"/>
    <w:rsid w:val="00D63B62"/>
    <w:rsid w:val="00D642CC"/>
    <w:rsid w:val="00D66BDA"/>
    <w:rsid w:val="00D74BD8"/>
    <w:rsid w:val="00D75120"/>
    <w:rsid w:val="00D80307"/>
    <w:rsid w:val="00D840CF"/>
    <w:rsid w:val="00D8465B"/>
    <w:rsid w:val="00D87F02"/>
    <w:rsid w:val="00D91ED7"/>
    <w:rsid w:val="00D96E24"/>
    <w:rsid w:val="00DA0EEE"/>
    <w:rsid w:val="00DA2DF7"/>
    <w:rsid w:val="00DA7F4C"/>
    <w:rsid w:val="00DB4BE6"/>
    <w:rsid w:val="00DB5315"/>
    <w:rsid w:val="00DB6F89"/>
    <w:rsid w:val="00DC16E3"/>
    <w:rsid w:val="00DC2D78"/>
    <w:rsid w:val="00DC7BE1"/>
    <w:rsid w:val="00DD0920"/>
    <w:rsid w:val="00DD1D6F"/>
    <w:rsid w:val="00DD342D"/>
    <w:rsid w:val="00DD5AD7"/>
    <w:rsid w:val="00DD7DAE"/>
    <w:rsid w:val="00DE02C6"/>
    <w:rsid w:val="00DE0B02"/>
    <w:rsid w:val="00DE0BC1"/>
    <w:rsid w:val="00DE5E60"/>
    <w:rsid w:val="00DE7A48"/>
    <w:rsid w:val="00DF075F"/>
    <w:rsid w:val="00DF3ABE"/>
    <w:rsid w:val="00DF447D"/>
    <w:rsid w:val="00E01403"/>
    <w:rsid w:val="00E01C09"/>
    <w:rsid w:val="00E05205"/>
    <w:rsid w:val="00E07DC9"/>
    <w:rsid w:val="00E10689"/>
    <w:rsid w:val="00E10E17"/>
    <w:rsid w:val="00E15857"/>
    <w:rsid w:val="00E17D58"/>
    <w:rsid w:val="00E231DC"/>
    <w:rsid w:val="00E244B4"/>
    <w:rsid w:val="00E2715B"/>
    <w:rsid w:val="00E30235"/>
    <w:rsid w:val="00E318D3"/>
    <w:rsid w:val="00E35386"/>
    <w:rsid w:val="00E362B7"/>
    <w:rsid w:val="00E42F93"/>
    <w:rsid w:val="00E4422B"/>
    <w:rsid w:val="00E442A2"/>
    <w:rsid w:val="00E4624A"/>
    <w:rsid w:val="00E46296"/>
    <w:rsid w:val="00E46CA3"/>
    <w:rsid w:val="00E57907"/>
    <w:rsid w:val="00E62A5C"/>
    <w:rsid w:val="00E65784"/>
    <w:rsid w:val="00E66402"/>
    <w:rsid w:val="00E74B67"/>
    <w:rsid w:val="00E772CA"/>
    <w:rsid w:val="00E80360"/>
    <w:rsid w:val="00E806B5"/>
    <w:rsid w:val="00E80D14"/>
    <w:rsid w:val="00E80D1B"/>
    <w:rsid w:val="00E83509"/>
    <w:rsid w:val="00E85706"/>
    <w:rsid w:val="00E860FD"/>
    <w:rsid w:val="00E92BDA"/>
    <w:rsid w:val="00E95AF6"/>
    <w:rsid w:val="00E96984"/>
    <w:rsid w:val="00E9767B"/>
    <w:rsid w:val="00EA1162"/>
    <w:rsid w:val="00EA1625"/>
    <w:rsid w:val="00EA2920"/>
    <w:rsid w:val="00EA4867"/>
    <w:rsid w:val="00EA59D0"/>
    <w:rsid w:val="00EA6E13"/>
    <w:rsid w:val="00EA75F4"/>
    <w:rsid w:val="00EB141C"/>
    <w:rsid w:val="00EB1E65"/>
    <w:rsid w:val="00EB2405"/>
    <w:rsid w:val="00EB51A7"/>
    <w:rsid w:val="00EC2673"/>
    <w:rsid w:val="00EC4152"/>
    <w:rsid w:val="00ED4670"/>
    <w:rsid w:val="00ED6136"/>
    <w:rsid w:val="00EE23FB"/>
    <w:rsid w:val="00EE2E56"/>
    <w:rsid w:val="00EE3592"/>
    <w:rsid w:val="00EE39B7"/>
    <w:rsid w:val="00EF18B9"/>
    <w:rsid w:val="00EF18CE"/>
    <w:rsid w:val="00EF524C"/>
    <w:rsid w:val="00F002F4"/>
    <w:rsid w:val="00F02373"/>
    <w:rsid w:val="00F02D8D"/>
    <w:rsid w:val="00F03936"/>
    <w:rsid w:val="00F04AB2"/>
    <w:rsid w:val="00F06DC0"/>
    <w:rsid w:val="00F10A21"/>
    <w:rsid w:val="00F1127F"/>
    <w:rsid w:val="00F112AD"/>
    <w:rsid w:val="00F14779"/>
    <w:rsid w:val="00F14B47"/>
    <w:rsid w:val="00F14D52"/>
    <w:rsid w:val="00F21DC8"/>
    <w:rsid w:val="00F22A1A"/>
    <w:rsid w:val="00F25018"/>
    <w:rsid w:val="00F253A4"/>
    <w:rsid w:val="00F26371"/>
    <w:rsid w:val="00F268A0"/>
    <w:rsid w:val="00F27B95"/>
    <w:rsid w:val="00F34650"/>
    <w:rsid w:val="00F34F88"/>
    <w:rsid w:val="00F35F01"/>
    <w:rsid w:val="00F35FFF"/>
    <w:rsid w:val="00F401B6"/>
    <w:rsid w:val="00F42E40"/>
    <w:rsid w:val="00F43401"/>
    <w:rsid w:val="00F46906"/>
    <w:rsid w:val="00F51699"/>
    <w:rsid w:val="00F527CC"/>
    <w:rsid w:val="00F52D0D"/>
    <w:rsid w:val="00F5709E"/>
    <w:rsid w:val="00F5771E"/>
    <w:rsid w:val="00F602AE"/>
    <w:rsid w:val="00F60782"/>
    <w:rsid w:val="00F61CC0"/>
    <w:rsid w:val="00F62A97"/>
    <w:rsid w:val="00F63041"/>
    <w:rsid w:val="00F63C52"/>
    <w:rsid w:val="00F6429D"/>
    <w:rsid w:val="00F710AC"/>
    <w:rsid w:val="00F737FD"/>
    <w:rsid w:val="00F73F07"/>
    <w:rsid w:val="00F835B9"/>
    <w:rsid w:val="00F8440F"/>
    <w:rsid w:val="00F84E3B"/>
    <w:rsid w:val="00F85686"/>
    <w:rsid w:val="00F90F48"/>
    <w:rsid w:val="00F92959"/>
    <w:rsid w:val="00F94591"/>
    <w:rsid w:val="00F94AE3"/>
    <w:rsid w:val="00FA3C03"/>
    <w:rsid w:val="00FA3D5E"/>
    <w:rsid w:val="00FA4331"/>
    <w:rsid w:val="00FA4481"/>
    <w:rsid w:val="00FA6A3F"/>
    <w:rsid w:val="00FA73DE"/>
    <w:rsid w:val="00FB12E5"/>
    <w:rsid w:val="00FB1373"/>
    <w:rsid w:val="00FB2A12"/>
    <w:rsid w:val="00FB3BE6"/>
    <w:rsid w:val="00FB4D40"/>
    <w:rsid w:val="00FB7C99"/>
    <w:rsid w:val="00FC0952"/>
    <w:rsid w:val="00FD1D2C"/>
    <w:rsid w:val="00FD4536"/>
    <w:rsid w:val="00FD7E0E"/>
    <w:rsid w:val="00FE5CDB"/>
    <w:rsid w:val="00FE60B8"/>
    <w:rsid w:val="00FE668F"/>
    <w:rsid w:val="00FE7521"/>
    <w:rsid w:val="00FF01F7"/>
    <w:rsid w:val="00FF02DB"/>
    <w:rsid w:val="00FF57B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69E2BB"/>
  <w15:chartTrackingRefBased/>
  <w15:docId w15:val="{4C1009EB-7EE1-4A5A-BA92-3F7067D6A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GB" w:eastAsia="en-US" w:bidi="ar-SA"/>
      </w:rPr>
    </w:rPrDefault>
    <w:pPrDefault>
      <w:pPr>
        <w:spacing w:after="160" w:line="0" w:lineRule="auto"/>
      </w:pPr>
    </w:pPrDefault>
  </w:docDefaults>
  <w:latentStyles w:defLockedState="0" w:defUIPriority="99" w:defSemiHidden="0" w:defUnhideWhenUsed="0" w:defQFormat="0" w:count="376">
    <w:lsdException w:name="Normal" w:uiPriority="5"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34"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34"/>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F527CC"/>
    <w:pPr>
      <w:spacing w:after="120" w:line="240" w:lineRule="atLeast"/>
    </w:pPr>
    <w:rPr>
      <w:lang w:val="en-US"/>
    </w:rPr>
  </w:style>
  <w:style w:type="paragraph" w:styleId="Heading1">
    <w:name w:val="heading 1"/>
    <w:basedOn w:val="Normal"/>
    <w:next w:val="Normal"/>
    <w:link w:val="Heading1Char"/>
    <w:uiPriority w:val="9"/>
    <w:qFormat/>
    <w:rsid w:val="00F527CC"/>
    <w:pPr>
      <w:keepNext/>
      <w:keepLines/>
      <w:numPr>
        <w:numId w:val="13"/>
      </w:numPr>
      <w:spacing w:before="260" w:after="1000" w:line="420" w:lineRule="atLeast"/>
      <w:outlineLvl w:val="0"/>
    </w:pPr>
    <w:rPr>
      <w:rFonts w:eastAsiaTheme="majorEastAsia" w:cs="Arial"/>
      <w:bCs/>
      <w:noProof/>
      <w:sz w:val="36"/>
      <w:szCs w:val="30"/>
    </w:rPr>
  </w:style>
  <w:style w:type="paragraph" w:styleId="Heading2">
    <w:name w:val="heading 2"/>
    <w:basedOn w:val="Normal"/>
    <w:next w:val="Normal"/>
    <w:link w:val="Heading2Char"/>
    <w:uiPriority w:val="9"/>
    <w:qFormat/>
    <w:rsid w:val="00F527CC"/>
    <w:pPr>
      <w:keepNext/>
      <w:keepLines/>
      <w:numPr>
        <w:ilvl w:val="1"/>
        <w:numId w:val="13"/>
      </w:numPr>
      <w:spacing w:before="260" w:after="220"/>
      <w:outlineLvl w:val="1"/>
    </w:pPr>
    <w:rPr>
      <w:rFonts w:eastAsiaTheme="majorEastAsia" w:cs="Arial"/>
      <w:b/>
      <w:bCs/>
      <w:noProof/>
    </w:rPr>
  </w:style>
  <w:style w:type="paragraph" w:styleId="Heading3">
    <w:name w:val="heading 3"/>
    <w:basedOn w:val="Normal"/>
    <w:next w:val="Normal"/>
    <w:link w:val="Heading3Char"/>
    <w:uiPriority w:val="9"/>
    <w:semiHidden/>
    <w:qFormat/>
    <w:rsid w:val="00F527CC"/>
    <w:pPr>
      <w:keepNext/>
      <w:keepLines/>
      <w:spacing w:before="260" w:after="220"/>
      <w:ind w:left="567" w:hanging="567"/>
      <w:outlineLvl w:val="2"/>
    </w:pPr>
    <w:rPr>
      <w:rFonts w:eastAsiaTheme="majorEastAsia" w:cs="Arial"/>
      <w:b/>
      <w:szCs w:val="24"/>
    </w:rPr>
  </w:style>
  <w:style w:type="paragraph" w:styleId="Heading4">
    <w:name w:val="heading 4"/>
    <w:basedOn w:val="Normal"/>
    <w:next w:val="Normal"/>
    <w:link w:val="Heading4Char"/>
    <w:uiPriority w:val="9"/>
    <w:semiHidden/>
    <w:unhideWhenUsed/>
    <w:qFormat/>
    <w:rsid w:val="00F527CC"/>
    <w:pPr>
      <w:keepNext/>
      <w:keepLines/>
      <w:spacing w:before="40" w:after="0"/>
      <w:outlineLvl w:val="3"/>
    </w:pPr>
    <w:rPr>
      <w:rFonts w:eastAsiaTheme="majorEastAsia" w:cs="Arial"/>
      <w:i/>
      <w:iCs/>
      <w:color w:val="939599" w:themeColor="accent1" w:themeShade="BF"/>
    </w:rPr>
  </w:style>
  <w:style w:type="paragraph" w:styleId="Heading5">
    <w:name w:val="heading 5"/>
    <w:basedOn w:val="Normal"/>
    <w:next w:val="Normal"/>
    <w:link w:val="Heading5Char"/>
    <w:uiPriority w:val="9"/>
    <w:semiHidden/>
    <w:unhideWhenUsed/>
    <w:qFormat/>
    <w:rsid w:val="00F527CC"/>
    <w:pPr>
      <w:keepNext/>
      <w:keepLines/>
      <w:spacing w:before="40" w:after="0"/>
      <w:outlineLvl w:val="4"/>
    </w:pPr>
    <w:rPr>
      <w:rFonts w:eastAsiaTheme="majorEastAsia" w:cs="Arial"/>
      <w:color w:val="939599" w:themeColor="accent1" w:themeShade="BF"/>
    </w:rPr>
  </w:style>
  <w:style w:type="paragraph" w:styleId="Heading6">
    <w:name w:val="heading 6"/>
    <w:basedOn w:val="Normal"/>
    <w:next w:val="Normal"/>
    <w:link w:val="Heading6Char"/>
    <w:uiPriority w:val="9"/>
    <w:semiHidden/>
    <w:unhideWhenUsed/>
    <w:qFormat/>
    <w:rsid w:val="00F527CC"/>
    <w:pPr>
      <w:keepNext/>
      <w:keepLines/>
      <w:spacing w:before="40" w:after="0"/>
      <w:outlineLvl w:val="5"/>
    </w:pPr>
    <w:rPr>
      <w:rFonts w:eastAsiaTheme="majorEastAsia" w:cs="Arial"/>
      <w:color w:val="616266" w:themeColor="accent1" w:themeShade="7F"/>
    </w:rPr>
  </w:style>
  <w:style w:type="paragraph" w:styleId="Heading7">
    <w:name w:val="heading 7"/>
    <w:basedOn w:val="Normal"/>
    <w:next w:val="Normal"/>
    <w:link w:val="Heading7Char"/>
    <w:uiPriority w:val="9"/>
    <w:semiHidden/>
    <w:unhideWhenUsed/>
    <w:qFormat/>
    <w:rsid w:val="00F527CC"/>
    <w:pPr>
      <w:keepNext/>
      <w:keepLines/>
      <w:spacing w:before="40" w:after="0"/>
      <w:outlineLvl w:val="6"/>
    </w:pPr>
    <w:rPr>
      <w:rFonts w:eastAsiaTheme="majorEastAsia" w:cs="Arial"/>
      <w:i/>
      <w:iCs/>
      <w:color w:val="616266" w:themeColor="accent1" w:themeShade="7F"/>
    </w:rPr>
  </w:style>
  <w:style w:type="paragraph" w:styleId="Heading8">
    <w:name w:val="heading 8"/>
    <w:basedOn w:val="Normal"/>
    <w:next w:val="Normal"/>
    <w:link w:val="Heading8Char"/>
    <w:uiPriority w:val="9"/>
    <w:semiHidden/>
    <w:unhideWhenUsed/>
    <w:qFormat/>
    <w:rsid w:val="00F527CC"/>
    <w:pPr>
      <w:keepNext/>
      <w:keepLines/>
      <w:spacing w:before="40" w:after="0"/>
      <w:outlineLvl w:val="7"/>
    </w:pPr>
    <w:rPr>
      <w:rFonts w:eastAsiaTheme="majorEastAsia" w:cs="Arial"/>
      <w:color w:val="5D5D5D" w:themeColor="text1" w:themeTint="D8"/>
      <w:sz w:val="21"/>
      <w:szCs w:val="21"/>
    </w:rPr>
  </w:style>
  <w:style w:type="paragraph" w:styleId="Heading9">
    <w:name w:val="heading 9"/>
    <w:basedOn w:val="Normal"/>
    <w:next w:val="Normal"/>
    <w:link w:val="Heading9Char"/>
    <w:uiPriority w:val="9"/>
    <w:semiHidden/>
    <w:unhideWhenUsed/>
    <w:qFormat/>
    <w:rsid w:val="00F527CC"/>
    <w:pPr>
      <w:keepNext/>
      <w:keepLines/>
      <w:spacing w:before="40" w:after="0"/>
      <w:outlineLvl w:val="8"/>
    </w:pPr>
    <w:rPr>
      <w:rFonts w:eastAsiaTheme="majorEastAsia" w:cs="Arial"/>
      <w:i/>
      <w:iCs/>
      <w:color w:val="5D5D5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527CC"/>
    <w:pPr>
      <w:tabs>
        <w:tab w:val="center" w:pos="4513"/>
        <w:tab w:val="right" w:pos="9026"/>
      </w:tabs>
      <w:spacing w:after="220" w:line="240" w:lineRule="auto"/>
    </w:pPr>
  </w:style>
  <w:style w:type="character" w:customStyle="1" w:styleId="HeaderChar">
    <w:name w:val="Header Char"/>
    <w:basedOn w:val="DefaultParagraphFont"/>
    <w:link w:val="Header"/>
    <w:uiPriority w:val="99"/>
    <w:rsid w:val="00F527CC"/>
    <w:rPr>
      <w:lang w:val="en-US"/>
    </w:rPr>
  </w:style>
  <w:style w:type="paragraph" w:styleId="Footer">
    <w:name w:val="footer"/>
    <w:basedOn w:val="Normal"/>
    <w:link w:val="FooterChar"/>
    <w:uiPriority w:val="99"/>
    <w:rsid w:val="00F527CC"/>
    <w:pPr>
      <w:tabs>
        <w:tab w:val="right" w:pos="9638"/>
      </w:tabs>
      <w:spacing w:after="0" w:line="240" w:lineRule="auto"/>
    </w:pPr>
    <w:rPr>
      <w:sz w:val="16"/>
      <w:szCs w:val="16"/>
    </w:rPr>
  </w:style>
  <w:style w:type="character" w:customStyle="1" w:styleId="FooterChar">
    <w:name w:val="Footer Char"/>
    <w:basedOn w:val="DefaultParagraphFont"/>
    <w:link w:val="Footer"/>
    <w:uiPriority w:val="99"/>
    <w:rsid w:val="00F527CC"/>
    <w:rPr>
      <w:sz w:val="16"/>
      <w:szCs w:val="16"/>
      <w:lang w:val="en-US"/>
    </w:rPr>
  </w:style>
  <w:style w:type="table" w:styleId="TableGrid">
    <w:name w:val="Table Grid"/>
    <w:basedOn w:val="TableNormal"/>
    <w:uiPriority w:val="39"/>
    <w:rsid w:val="00F52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rmal"/>
    <w:semiHidden/>
    <w:qFormat/>
    <w:rsid w:val="00F527CC"/>
    <w:pPr>
      <w:spacing w:after="0" w:line="180" w:lineRule="atLeast"/>
    </w:pPr>
    <w:rPr>
      <w:noProof/>
      <w:sz w:val="15"/>
    </w:rPr>
  </w:style>
  <w:style w:type="paragraph" w:customStyle="1" w:styleId="Ourref">
    <w:name w:val="Our ref"/>
    <w:basedOn w:val="Normal"/>
    <w:uiPriority w:val="1"/>
    <w:semiHidden/>
    <w:rsid w:val="00F527CC"/>
    <w:pPr>
      <w:spacing w:after="520"/>
    </w:pPr>
  </w:style>
  <w:style w:type="paragraph" w:styleId="Date">
    <w:name w:val="Date"/>
    <w:basedOn w:val="Normal"/>
    <w:next w:val="Normal"/>
    <w:link w:val="DateChar"/>
    <w:uiPriority w:val="2"/>
    <w:semiHidden/>
    <w:rsid w:val="00F527CC"/>
    <w:pPr>
      <w:spacing w:before="520" w:after="520"/>
    </w:pPr>
  </w:style>
  <w:style w:type="character" w:customStyle="1" w:styleId="DateChar">
    <w:name w:val="Date Char"/>
    <w:basedOn w:val="DefaultParagraphFont"/>
    <w:link w:val="Date"/>
    <w:uiPriority w:val="2"/>
    <w:semiHidden/>
    <w:rsid w:val="00F527CC"/>
    <w:rPr>
      <w:lang w:val="en-US"/>
    </w:rPr>
  </w:style>
  <w:style w:type="paragraph" w:customStyle="1" w:styleId="RecipientAddress">
    <w:name w:val="Recipient Address"/>
    <w:basedOn w:val="Normal"/>
    <w:semiHidden/>
    <w:qFormat/>
    <w:rsid w:val="00F527CC"/>
    <w:pPr>
      <w:spacing w:after="0"/>
    </w:pPr>
  </w:style>
  <w:style w:type="paragraph" w:customStyle="1" w:styleId="Yours">
    <w:name w:val="Yours"/>
    <w:basedOn w:val="Normal"/>
    <w:next w:val="Author"/>
    <w:uiPriority w:val="6"/>
    <w:semiHidden/>
    <w:qFormat/>
    <w:rsid w:val="00F527CC"/>
    <w:pPr>
      <w:keepNext/>
      <w:keepLines/>
      <w:spacing w:before="520" w:after="1000" w:line="276" w:lineRule="auto"/>
    </w:pPr>
    <w:rPr>
      <w:szCs w:val="20"/>
    </w:rPr>
  </w:style>
  <w:style w:type="paragraph" w:customStyle="1" w:styleId="Author">
    <w:name w:val="Author"/>
    <w:basedOn w:val="Normal"/>
    <w:next w:val="JobTitle"/>
    <w:uiPriority w:val="7"/>
    <w:semiHidden/>
    <w:qFormat/>
    <w:rsid w:val="00F527CC"/>
    <w:pPr>
      <w:keepNext/>
      <w:keepLines/>
      <w:spacing w:after="0" w:line="276" w:lineRule="auto"/>
    </w:pPr>
    <w:rPr>
      <w:szCs w:val="20"/>
    </w:rPr>
  </w:style>
  <w:style w:type="paragraph" w:customStyle="1" w:styleId="JobTitle">
    <w:name w:val="JobTitle"/>
    <w:basedOn w:val="Normal"/>
    <w:uiPriority w:val="8"/>
    <w:semiHidden/>
    <w:qFormat/>
    <w:rsid w:val="00F527CC"/>
    <w:pPr>
      <w:keepNext/>
      <w:keepLines/>
      <w:spacing w:after="240" w:line="276" w:lineRule="auto"/>
      <w:contextualSpacing/>
    </w:pPr>
    <w:rPr>
      <w:szCs w:val="20"/>
    </w:rPr>
  </w:style>
  <w:style w:type="paragraph" w:customStyle="1" w:styleId="Dear">
    <w:name w:val="Dear"/>
    <w:basedOn w:val="Normal"/>
    <w:next w:val="Normal"/>
    <w:uiPriority w:val="4"/>
    <w:semiHidden/>
    <w:rsid w:val="00F527CC"/>
    <w:pPr>
      <w:spacing w:before="520" w:after="260"/>
    </w:pPr>
  </w:style>
  <w:style w:type="character" w:customStyle="1" w:styleId="Subject">
    <w:name w:val="Subject"/>
    <w:basedOn w:val="DefaultParagraphFont"/>
    <w:uiPriority w:val="1"/>
    <w:semiHidden/>
    <w:rsid w:val="00F527CC"/>
    <w:rPr>
      <w:b/>
      <w:caps/>
      <w:smallCaps w:val="0"/>
      <w:lang w:val="en-US"/>
    </w:rPr>
  </w:style>
  <w:style w:type="table" w:customStyle="1" w:styleId="GlobalFund">
    <w:name w:val="Global Fund"/>
    <w:basedOn w:val="TableNormal"/>
    <w:uiPriority w:val="99"/>
    <w:rsid w:val="00F527CC"/>
    <w:pPr>
      <w:spacing w:after="0" w:line="240" w:lineRule="auto"/>
    </w:pPr>
    <w:rPr>
      <w:color w:val="828282" w:themeColor="text1" w:themeTint="A6"/>
    </w:rPr>
    <w:tblPr>
      <w:tblStyleRowBandSize w:val="1"/>
      <w:tblCellMar>
        <w:left w:w="0" w:type="dxa"/>
      </w:tblCellMar>
    </w:tblPr>
    <w:tcPr>
      <w:vAlign w:val="center"/>
    </w:tcPr>
    <w:tblStylePr w:type="firstRow">
      <w:pPr>
        <w:jc w:val="left"/>
      </w:pPr>
      <w:rPr>
        <w:rFonts w:ascii="Arial" w:hAnsi="Arial"/>
        <w:b w:val="0"/>
        <w:i w:val="0"/>
        <w:caps/>
        <w:smallCaps w:val="0"/>
        <w:color w:val="6F6F6F" w:themeColor="text1" w:themeTint="BF"/>
      </w:rPr>
      <w:tblPr/>
      <w:tcPr>
        <w:tcBorders>
          <w:bottom w:val="single" w:sz="6" w:space="0" w:color="6F6F6F" w:themeColor="text1" w:themeTint="BF"/>
        </w:tcBorders>
      </w:tcPr>
    </w:tblStylePr>
    <w:tblStylePr w:type="lastRow">
      <w:pPr>
        <w:jc w:val="left"/>
      </w:pPr>
      <w:rPr>
        <w:rFonts w:ascii="Arial" w:hAnsi="Arial"/>
        <w:color w:val="404040" w:themeColor="text1"/>
      </w:rPr>
      <w:tblPr/>
      <w:tcPr>
        <w:tcBorders>
          <w:top w:val="single" w:sz="6" w:space="0" w:color="5C5C5C" w:themeColor="text1" w:themeTint="D9"/>
          <w:left w:val="nil"/>
          <w:bottom w:val="single" w:sz="6" w:space="0" w:color="5C5C5C" w:themeColor="text1" w:themeTint="D9"/>
          <w:right w:val="nil"/>
          <w:insideH w:val="nil"/>
          <w:insideV w:val="nil"/>
          <w:tl2br w:val="nil"/>
          <w:tr2bl w:val="nil"/>
        </w:tcBorders>
      </w:tcPr>
    </w:tblStylePr>
    <w:tblStylePr w:type="band1Horz">
      <w:pPr>
        <w:jc w:val="left"/>
      </w:pPr>
      <w:rPr>
        <w:color w:val="6F6F6F" w:themeColor="text1" w:themeTint="BF"/>
      </w:rPr>
      <w:tblPr/>
      <w:tcPr>
        <w:tcBorders>
          <w:top w:val="nil"/>
          <w:left w:val="nil"/>
          <w:bottom w:val="single" w:sz="2" w:space="0" w:color="BFBFBF" w:themeColor="background1" w:themeShade="BF"/>
          <w:right w:val="nil"/>
          <w:insideH w:val="nil"/>
          <w:insideV w:val="nil"/>
          <w:tl2br w:val="nil"/>
          <w:tr2bl w:val="nil"/>
        </w:tcBorders>
      </w:tcPr>
    </w:tblStylePr>
    <w:tblStylePr w:type="band2Horz">
      <w:pPr>
        <w:jc w:val="left"/>
      </w:pPr>
      <w:rPr>
        <w:color w:val="828282" w:themeColor="text1" w:themeTint="A6"/>
      </w:rPr>
      <w:tblPr/>
      <w:tcPr>
        <w:tcBorders>
          <w:top w:val="nil"/>
          <w:left w:val="nil"/>
          <w:bottom w:val="single" w:sz="2" w:space="0" w:color="BFBFBF" w:themeColor="background1" w:themeShade="BF"/>
          <w:right w:val="nil"/>
          <w:insideH w:val="nil"/>
          <w:insideV w:val="nil"/>
          <w:tl2br w:val="nil"/>
          <w:tr2bl w:val="nil"/>
        </w:tcBorders>
      </w:tcPr>
    </w:tblStylePr>
  </w:style>
  <w:style w:type="character" w:customStyle="1" w:styleId="Heading1Char">
    <w:name w:val="Heading 1 Char"/>
    <w:basedOn w:val="DefaultParagraphFont"/>
    <w:link w:val="Heading1"/>
    <w:uiPriority w:val="9"/>
    <w:rsid w:val="00F527CC"/>
    <w:rPr>
      <w:rFonts w:eastAsiaTheme="majorEastAsia" w:cs="Arial"/>
      <w:bCs/>
      <w:noProof/>
      <w:sz w:val="36"/>
      <w:szCs w:val="30"/>
      <w:lang w:val="en-US"/>
    </w:rPr>
  </w:style>
  <w:style w:type="character" w:customStyle="1" w:styleId="Heading2Char">
    <w:name w:val="Heading 2 Char"/>
    <w:basedOn w:val="DefaultParagraphFont"/>
    <w:link w:val="Heading2"/>
    <w:uiPriority w:val="9"/>
    <w:rsid w:val="00F527CC"/>
    <w:rPr>
      <w:rFonts w:eastAsiaTheme="majorEastAsia" w:cs="Arial"/>
      <w:b/>
      <w:bCs/>
      <w:noProof/>
      <w:lang w:val="en-US"/>
    </w:rPr>
  </w:style>
  <w:style w:type="paragraph" w:customStyle="1" w:styleId="NormalNoSpace">
    <w:name w:val="NormalNoSpace"/>
    <w:basedOn w:val="Normal"/>
    <w:next w:val="Normal"/>
    <w:uiPriority w:val="5"/>
    <w:qFormat/>
    <w:rsid w:val="00F527CC"/>
    <w:pPr>
      <w:spacing w:after="0"/>
    </w:pPr>
  </w:style>
  <w:style w:type="paragraph" w:customStyle="1" w:styleId="Note">
    <w:name w:val="Note"/>
    <w:basedOn w:val="Normal"/>
    <w:next w:val="Normal"/>
    <w:uiPriority w:val="29"/>
    <w:qFormat/>
    <w:rsid w:val="00F527CC"/>
    <w:pPr>
      <w:spacing w:line="220" w:lineRule="atLeast"/>
    </w:pPr>
    <w:rPr>
      <w:sz w:val="16"/>
      <w:szCs w:val="16"/>
    </w:rPr>
  </w:style>
  <w:style w:type="paragraph" w:styleId="FootnoteText">
    <w:name w:val="footnote text"/>
    <w:aliases w:val="fn,Footnote ak,footnote text,fn Char,footnote text Char,Footnotes Char,Footnote ak Char,ft,fn cafc,Footnotes Char Char,Footnote Text Char Char,fn Char Char,footnote text Char Char Char Ch,Footnote Text English,single space,Текст сноски12"/>
    <w:basedOn w:val="Normal"/>
    <w:link w:val="FootnoteTextChar"/>
    <w:unhideWhenUsed/>
    <w:rsid w:val="00F527CC"/>
    <w:pPr>
      <w:spacing w:after="0" w:line="240" w:lineRule="auto"/>
    </w:pPr>
    <w:rPr>
      <w:sz w:val="16"/>
      <w:szCs w:val="20"/>
    </w:rPr>
  </w:style>
  <w:style w:type="character" w:customStyle="1" w:styleId="FootnoteTextChar">
    <w:name w:val="Footnote Text Char"/>
    <w:aliases w:val="fn Char1,Footnote ak Char1,footnote text Char1,fn Char Char1,footnote text Char Char,Footnotes Char Char1,Footnote ak Char Char,ft Char,fn cafc Char,Footnotes Char Char Char,Footnote Text Char Char Char,fn Char Char Char"/>
    <w:basedOn w:val="DefaultParagraphFont"/>
    <w:link w:val="FootnoteText"/>
    <w:rsid w:val="00F527CC"/>
    <w:rPr>
      <w:sz w:val="16"/>
      <w:szCs w:val="20"/>
      <w:lang w:val="en-US"/>
    </w:rPr>
  </w:style>
  <w:style w:type="character" w:styleId="FootnoteReference">
    <w:name w:val="footnote reference"/>
    <w:aliases w:val="ftref,Endnote Text1,Rimando nota a pièdi pagina1,Footnote symbol,Знак сноски 1,16 Point,Superscript 6 Point,4_G,BVI fnr,Fußnotenzeichen DISS,fr,(NECG) Footnote Reference,footnote ref,Char Char Char Char Car Char, BVI fnr"/>
    <w:basedOn w:val="DefaultParagraphFont"/>
    <w:uiPriority w:val="99"/>
    <w:unhideWhenUsed/>
    <w:rsid w:val="00F527CC"/>
    <w:rPr>
      <w:vertAlign w:val="superscript"/>
      <w:lang w:val="en-US"/>
    </w:rPr>
  </w:style>
  <w:style w:type="paragraph" w:styleId="NoSpacing">
    <w:name w:val="No Spacing"/>
    <w:uiPriority w:val="1"/>
    <w:qFormat/>
    <w:rsid w:val="00F527CC"/>
    <w:pPr>
      <w:spacing w:after="0" w:line="240" w:lineRule="auto"/>
    </w:pPr>
    <w:rPr>
      <w:lang w:val="en-US"/>
    </w:rPr>
  </w:style>
  <w:style w:type="paragraph" w:styleId="EndnoteText">
    <w:name w:val="endnote text"/>
    <w:basedOn w:val="Normal"/>
    <w:link w:val="EndnoteTextChar"/>
    <w:uiPriority w:val="99"/>
    <w:semiHidden/>
    <w:unhideWhenUsed/>
    <w:rsid w:val="00F527CC"/>
    <w:pPr>
      <w:spacing w:after="0" w:line="240" w:lineRule="auto"/>
    </w:pPr>
    <w:rPr>
      <w:sz w:val="16"/>
      <w:szCs w:val="16"/>
    </w:rPr>
  </w:style>
  <w:style w:type="character" w:customStyle="1" w:styleId="EndnoteTextChar">
    <w:name w:val="Endnote Text Char"/>
    <w:basedOn w:val="DefaultParagraphFont"/>
    <w:link w:val="EndnoteText"/>
    <w:uiPriority w:val="99"/>
    <w:semiHidden/>
    <w:rsid w:val="00F527CC"/>
    <w:rPr>
      <w:sz w:val="16"/>
      <w:szCs w:val="16"/>
      <w:lang w:val="en-US"/>
    </w:rPr>
  </w:style>
  <w:style w:type="character" w:styleId="EndnoteReference">
    <w:name w:val="endnote reference"/>
    <w:basedOn w:val="DefaultParagraphFont"/>
    <w:uiPriority w:val="99"/>
    <w:semiHidden/>
    <w:unhideWhenUsed/>
    <w:rsid w:val="00F527CC"/>
    <w:rPr>
      <w:vertAlign w:val="superscript"/>
      <w:lang w:val="en-US"/>
    </w:rPr>
  </w:style>
  <w:style w:type="table" w:customStyle="1" w:styleId="GlobalFund1">
    <w:name w:val="Global Fund 1"/>
    <w:basedOn w:val="GlobalFund"/>
    <w:uiPriority w:val="99"/>
    <w:rsid w:val="00F527CC"/>
    <w:rPr>
      <w:color w:val="6F6F6F" w:themeColor="text1" w:themeTint="BF"/>
    </w:rPr>
    <w:tblPr>
      <w:tblCellMar>
        <w:top w:w="108" w:type="dxa"/>
        <w:bottom w:w="108" w:type="dxa"/>
      </w:tblCellMar>
    </w:tblPr>
    <w:tblStylePr w:type="firstRow">
      <w:pPr>
        <w:jc w:val="left"/>
      </w:pPr>
      <w:rPr>
        <w:rFonts w:ascii="Arial" w:hAnsi="Arial"/>
        <w:b w:val="0"/>
        <w:i w:val="0"/>
        <w:caps/>
        <w:smallCaps w:val="0"/>
        <w:color w:val="6F6F6F" w:themeColor="text1" w:themeTint="BF"/>
      </w:rPr>
      <w:tblPr/>
      <w:tcPr>
        <w:tcBorders>
          <w:bottom w:val="single" w:sz="6" w:space="0" w:color="6F6F6F" w:themeColor="text1" w:themeTint="BF"/>
        </w:tcBorders>
      </w:tcPr>
    </w:tblStylePr>
    <w:tblStylePr w:type="lastRow">
      <w:pPr>
        <w:jc w:val="left"/>
      </w:pPr>
      <w:rPr>
        <w:rFonts w:ascii="Arial" w:hAnsi="Arial"/>
        <w:color w:val="404040" w:themeColor="text1"/>
      </w:rPr>
      <w:tblPr/>
      <w:tcPr>
        <w:tcBorders>
          <w:top w:val="single" w:sz="6" w:space="0" w:color="404040" w:themeColor="text1"/>
          <w:left w:val="nil"/>
          <w:bottom w:val="single" w:sz="6" w:space="0" w:color="404040" w:themeColor="text1"/>
          <w:right w:val="nil"/>
          <w:insideH w:val="nil"/>
          <w:insideV w:val="nil"/>
          <w:tl2br w:val="nil"/>
          <w:tr2bl w:val="nil"/>
        </w:tcBorders>
      </w:tcPr>
    </w:tblStylePr>
    <w:tblStylePr w:type="band1Horz">
      <w:pPr>
        <w:jc w:val="left"/>
      </w:pPr>
      <w:rPr>
        <w:color w:val="6F6F6F" w:themeColor="text1" w:themeTint="BF"/>
      </w:rPr>
      <w:tblPr/>
      <w:tcPr>
        <w:tcBorders>
          <w:top w:val="nil"/>
          <w:left w:val="nil"/>
          <w:bottom w:val="single" w:sz="2" w:space="0" w:color="BFBFBF" w:themeColor="background1" w:themeShade="BF"/>
          <w:right w:val="nil"/>
          <w:insideH w:val="nil"/>
          <w:insideV w:val="nil"/>
          <w:tl2br w:val="nil"/>
          <w:tr2bl w:val="nil"/>
        </w:tcBorders>
      </w:tcPr>
    </w:tblStylePr>
    <w:tblStylePr w:type="band2Horz">
      <w:pPr>
        <w:jc w:val="left"/>
      </w:pPr>
      <w:rPr>
        <w:color w:val="6F6F6F" w:themeColor="text1" w:themeTint="BF"/>
      </w:rPr>
      <w:tblPr/>
      <w:tcPr>
        <w:tcBorders>
          <w:top w:val="nil"/>
          <w:left w:val="nil"/>
          <w:bottom w:val="single" w:sz="2" w:space="0" w:color="BFBFBF" w:themeColor="background1" w:themeShade="BF"/>
          <w:right w:val="nil"/>
          <w:insideH w:val="nil"/>
          <w:insideV w:val="nil"/>
          <w:tl2br w:val="nil"/>
          <w:tr2bl w:val="nil"/>
        </w:tcBorders>
      </w:tcPr>
    </w:tblStylePr>
  </w:style>
  <w:style w:type="paragraph" w:customStyle="1" w:styleId="TableTrailer">
    <w:name w:val="TableTrailer"/>
    <w:basedOn w:val="Normal"/>
    <w:next w:val="Normal"/>
    <w:uiPriority w:val="15"/>
    <w:semiHidden/>
    <w:rsid w:val="00F527CC"/>
    <w:pPr>
      <w:spacing w:after="0" w:line="240" w:lineRule="auto"/>
    </w:pPr>
    <w:rPr>
      <w:noProof/>
      <w:sz w:val="2"/>
    </w:rPr>
  </w:style>
  <w:style w:type="character" w:styleId="PlaceholderText">
    <w:name w:val="Placeholder Text"/>
    <w:basedOn w:val="DefaultParagraphFont"/>
    <w:uiPriority w:val="99"/>
    <w:semiHidden/>
    <w:rsid w:val="00F527CC"/>
    <w:rPr>
      <w:color w:val="808080"/>
      <w:lang w:val="en-US"/>
    </w:rPr>
  </w:style>
  <w:style w:type="paragraph" w:customStyle="1" w:styleId="AddressTopLine">
    <w:name w:val="AddressTopLine"/>
    <w:basedOn w:val="Address"/>
    <w:semiHidden/>
    <w:qFormat/>
    <w:rsid w:val="00F527CC"/>
    <w:pPr>
      <w:spacing w:after="180"/>
      <w:contextualSpacing/>
    </w:pPr>
  </w:style>
  <w:style w:type="paragraph" w:customStyle="1" w:styleId="AddressTopLineSmall">
    <w:name w:val="AddressTopLineSmall"/>
    <w:basedOn w:val="AddressTopLine"/>
    <w:semiHidden/>
    <w:qFormat/>
    <w:rsid w:val="00F527CC"/>
    <w:pPr>
      <w:spacing w:line="140" w:lineRule="atLeast"/>
    </w:pPr>
    <w:rPr>
      <w:sz w:val="12"/>
    </w:rPr>
  </w:style>
  <w:style w:type="paragraph" w:customStyle="1" w:styleId="AddressSmall">
    <w:name w:val="AddressSmall"/>
    <w:basedOn w:val="Address"/>
    <w:semiHidden/>
    <w:qFormat/>
    <w:rsid w:val="00F527CC"/>
    <w:pPr>
      <w:spacing w:line="140" w:lineRule="atLeast"/>
    </w:pPr>
    <w:rPr>
      <w:sz w:val="12"/>
    </w:rPr>
  </w:style>
  <w:style w:type="paragraph" w:customStyle="1" w:styleId="Tiny">
    <w:name w:val="Tiny"/>
    <w:basedOn w:val="Normal"/>
    <w:uiPriority w:val="15"/>
    <w:semiHidden/>
    <w:qFormat/>
    <w:rsid w:val="00F527CC"/>
    <w:pPr>
      <w:spacing w:after="0" w:line="240" w:lineRule="auto"/>
    </w:pPr>
    <w:rPr>
      <w:sz w:val="2"/>
    </w:rPr>
  </w:style>
  <w:style w:type="paragraph" w:styleId="Title">
    <w:name w:val="Title"/>
    <w:basedOn w:val="Normal"/>
    <w:next w:val="Subtitle"/>
    <w:link w:val="TitleChar"/>
    <w:uiPriority w:val="10"/>
    <w:qFormat/>
    <w:rsid w:val="00F527CC"/>
    <w:pPr>
      <w:spacing w:after="567" w:line="240" w:lineRule="auto"/>
      <w:contextualSpacing/>
    </w:pPr>
    <w:rPr>
      <w:rFonts w:eastAsiaTheme="majorEastAsia" w:cstheme="majorBidi"/>
      <w:kern w:val="28"/>
      <w:sz w:val="48"/>
      <w:szCs w:val="48"/>
    </w:rPr>
  </w:style>
  <w:style w:type="character" w:customStyle="1" w:styleId="TitleChar">
    <w:name w:val="Title Char"/>
    <w:basedOn w:val="DefaultParagraphFont"/>
    <w:link w:val="Title"/>
    <w:uiPriority w:val="10"/>
    <w:rsid w:val="00F527CC"/>
    <w:rPr>
      <w:rFonts w:eastAsiaTheme="majorEastAsia" w:cstheme="majorBidi"/>
      <w:kern w:val="28"/>
      <w:sz w:val="48"/>
      <w:szCs w:val="48"/>
      <w:lang w:val="en-US"/>
    </w:rPr>
  </w:style>
  <w:style w:type="paragraph" w:styleId="Subtitle">
    <w:name w:val="Subtitle"/>
    <w:basedOn w:val="Normal"/>
    <w:next w:val="Normal"/>
    <w:link w:val="SubtitleChar"/>
    <w:uiPriority w:val="11"/>
    <w:qFormat/>
    <w:rsid w:val="00F527CC"/>
    <w:pPr>
      <w:numPr>
        <w:ilvl w:val="1"/>
      </w:numPr>
      <w:spacing w:line="440" w:lineRule="atLeast"/>
    </w:pPr>
    <w:rPr>
      <w:rFonts w:eastAsiaTheme="minorEastAsia"/>
      <w:spacing w:val="15"/>
      <w:sz w:val="36"/>
      <w:szCs w:val="36"/>
    </w:rPr>
  </w:style>
  <w:style w:type="character" w:customStyle="1" w:styleId="SubtitleChar">
    <w:name w:val="Subtitle Char"/>
    <w:basedOn w:val="DefaultParagraphFont"/>
    <w:link w:val="Subtitle"/>
    <w:uiPriority w:val="11"/>
    <w:rsid w:val="00F527CC"/>
    <w:rPr>
      <w:rFonts w:eastAsiaTheme="minorEastAsia"/>
      <w:spacing w:val="15"/>
      <w:sz w:val="36"/>
      <w:szCs w:val="36"/>
      <w:lang w:val="en-US"/>
    </w:rPr>
  </w:style>
  <w:style w:type="paragraph" w:customStyle="1" w:styleId="Bullet1">
    <w:name w:val="Bullet 1"/>
    <w:basedOn w:val="Normal"/>
    <w:uiPriority w:val="32"/>
    <w:qFormat/>
    <w:rsid w:val="00F527CC"/>
    <w:pPr>
      <w:numPr>
        <w:numId w:val="11"/>
      </w:numPr>
      <w:spacing w:after="160" w:line="260" w:lineRule="atLeast"/>
    </w:pPr>
    <w:rPr>
      <w:szCs w:val="20"/>
    </w:rPr>
  </w:style>
  <w:style w:type="paragraph" w:customStyle="1" w:styleId="Bullet2">
    <w:name w:val="Bullet 2"/>
    <w:basedOn w:val="Normal"/>
    <w:uiPriority w:val="32"/>
    <w:qFormat/>
    <w:rsid w:val="00F527CC"/>
    <w:pPr>
      <w:numPr>
        <w:ilvl w:val="1"/>
        <w:numId w:val="11"/>
      </w:numPr>
      <w:spacing w:after="160" w:line="260" w:lineRule="atLeast"/>
    </w:pPr>
    <w:rPr>
      <w:szCs w:val="20"/>
    </w:rPr>
  </w:style>
  <w:style w:type="numbering" w:customStyle="1" w:styleId="NumbLstBullet">
    <w:name w:val="NumbLstBullet"/>
    <w:uiPriority w:val="99"/>
    <w:rsid w:val="00F527CC"/>
    <w:pPr>
      <w:numPr>
        <w:numId w:val="11"/>
      </w:numPr>
    </w:pPr>
  </w:style>
  <w:style w:type="paragraph" w:customStyle="1" w:styleId="AlphaList1">
    <w:name w:val="AlphaList 1"/>
    <w:basedOn w:val="Normal"/>
    <w:uiPriority w:val="31"/>
    <w:qFormat/>
    <w:rsid w:val="00F527CC"/>
    <w:pPr>
      <w:numPr>
        <w:numId w:val="14"/>
      </w:numPr>
      <w:spacing w:after="160" w:line="260" w:lineRule="atLeast"/>
    </w:pPr>
    <w:rPr>
      <w:szCs w:val="20"/>
    </w:rPr>
  </w:style>
  <w:style w:type="paragraph" w:customStyle="1" w:styleId="AlphaList2">
    <w:name w:val="AlphaList 2"/>
    <w:basedOn w:val="Normal"/>
    <w:uiPriority w:val="31"/>
    <w:qFormat/>
    <w:rsid w:val="00F527CC"/>
    <w:pPr>
      <w:numPr>
        <w:ilvl w:val="1"/>
        <w:numId w:val="14"/>
      </w:numPr>
      <w:spacing w:after="160" w:line="260" w:lineRule="atLeast"/>
    </w:pPr>
    <w:rPr>
      <w:szCs w:val="20"/>
    </w:rPr>
  </w:style>
  <w:style w:type="numbering" w:customStyle="1" w:styleId="NumbListAlpha">
    <w:name w:val="NumbListAlpha"/>
    <w:uiPriority w:val="99"/>
    <w:rsid w:val="00F527CC"/>
    <w:pPr>
      <w:numPr>
        <w:numId w:val="12"/>
      </w:numPr>
    </w:pPr>
  </w:style>
  <w:style w:type="paragraph" w:customStyle="1" w:styleId="Bullet3">
    <w:name w:val="Bullet 3"/>
    <w:basedOn w:val="Normal"/>
    <w:uiPriority w:val="32"/>
    <w:rsid w:val="00F527CC"/>
    <w:pPr>
      <w:numPr>
        <w:ilvl w:val="2"/>
        <w:numId w:val="11"/>
      </w:numPr>
      <w:jc w:val="both"/>
    </w:pPr>
    <w:rPr>
      <w:szCs w:val="20"/>
    </w:rPr>
  </w:style>
  <w:style w:type="numbering" w:customStyle="1" w:styleId="NumHeadingsLst">
    <w:name w:val="NumHeadingsLst"/>
    <w:uiPriority w:val="99"/>
    <w:rsid w:val="00F527CC"/>
    <w:pPr>
      <w:numPr>
        <w:numId w:val="13"/>
      </w:numPr>
    </w:pPr>
  </w:style>
  <w:style w:type="paragraph" w:styleId="Quote">
    <w:name w:val="Quote"/>
    <w:basedOn w:val="Normal"/>
    <w:next w:val="Normal"/>
    <w:link w:val="QuoteChar"/>
    <w:uiPriority w:val="39"/>
    <w:unhideWhenUsed/>
    <w:qFormat/>
    <w:rsid w:val="00F527CC"/>
    <w:pPr>
      <w:spacing w:before="200"/>
      <w:ind w:left="794" w:right="794"/>
    </w:pPr>
  </w:style>
  <w:style w:type="character" w:customStyle="1" w:styleId="QuoteChar">
    <w:name w:val="Quote Char"/>
    <w:basedOn w:val="DefaultParagraphFont"/>
    <w:link w:val="Quote"/>
    <w:uiPriority w:val="39"/>
    <w:rsid w:val="00F527CC"/>
    <w:rPr>
      <w:lang w:val="en-US"/>
    </w:rPr>
  </w:style>
  <w:style w:type="paragraph" w:styleId="TOC1">
    <w:name w:val="toc 1"/>
    <w:basedOn w:val="Normal"/>
    <w:next w:val="Normal"/>
    <w:autoRedefine/>
    <w:uiPriority w:val="39"/>
    <w:rsid w:val="00F527CC"/>
    <w:pPr>
      <w:tabs>
        <w:tab w:val="left" w:pos="567"/>
        <w:tab w:val="right" w:pos="9628"/>
      </w:tabs>
      <w:spacing w:before="540" w:after="100" w:line="420" w:lineRule="atLeast"/>
      <w:ind w:left="567" w:right="567" w:hanging="567"/>
    </w:pPr>
    <w:rPr>
      <w:noProof/>
      <w:sz w:val="36"/>
      <w:szCs w:val="36"/>
    </w:rPr>
  </w:style>
  <w:style w:type="paragraph" w:styleId="TOC2">
    <w:name w:val="toc 2"/>
    <w:basedOn w:val="Normal"/>
    <w:next w:val="Normal"/>
    <w:autoRedefine/>
    <w:uiPriority w:val="39"/>
    <w:rsid w:val="00F527CC"/>
    <w:pPr>
      <w:tabs>
        <w:tab w:val="left" w:pos="567"/>
      </w:tabs>
      <w:spacing w:after="100" w:line="300" w:lineRule="atLeast"/>
      <w:ind w:left="567" w:right="567" w:hanging="567"/>
    </w:pPr>
    <w:rPr>
      <w:szCs w:val="20"/>
    </w:rPr>
  </w:style>
  <w:style w:type="character" w:styleId="Hyperlink">
    <w:name w:val="Hyperlink"/>
    <w:basedOn w:val="DefaultParagraphFont"/>
    <w:uiPriority w:val="99"/>
    <w:rsid w:val="00F527CC"/>
    <w:rPr>
      <w:color w:val="0563C1" w:themeColor="hyperlink"/>
      <w:u w:val="single"/>
      <w:lang w:val="en-US"/>
    </w:rPr>
  </w:style>
  <w:style w:type="paragraph" w:styleId="TOC3">
    <w:name w:val="toc 3"/>
    <w:basedOn w:val="Normal"/>
    <w:next w:val="Normal"/>
    <w:autoRedefine/>
    <w:uiPriority w:val="39"/>
    <w:semiHidden/>
    <w:unhideWhenUsed/>
    <w:rsid w:val="00F527CC"/>
    <w:pPr>
      <w:spacing w:after="100"/>
      <w:ind w:left="440"/>
    </w:pPr>
  </w:style>
  <w:style w:type="paragraph" w:styleId="TOC4">
    <w:name w:val="toc 4"/>
    <w:basedOn w:val="Normal"/>
    <w:next w:val="Normal"/>
    <w:autoRedefine/>
    <w:uiPriority w:val="39"/>
    <w:semiHidden/>
    <w:unhideWhenUsed/>
    <w:rsid w:val="00F527CC"/>
    <w:pPr>
      <w:spacing w:after="100"/>
      <w:ind w:left="660"/>
    </w:pPr>
  </w:style>
  <w:style w:type="paragraph" w:customStyle="1" w:styleId="Heading1NonNumbNoTOC">
    <w:name w:val="Heading 1 Non Numb No TOC"/>
    <w:basedOn w:val="Normal"/>
    <w:next w:val="Normal"/>
    <w:uiPriority w:val="10"/>
    <w:unhideWhenUsed/>
    <w:qFormat/>
    <w:rsid w:val="00F527CC"/>
    <w:pPr>
      <w:keepNext/>
      <w:pageBreakBefore/>
      <w:spacing w:before="260" w:after="1000" w:line="420" w:lineRule="atLeast"/>
    </w:pPr>
    <w:rPr>
      <w:rFonts w:cs="Arial"/>
      <w:sz w:val="36"/>
      <w:szCs w:val="36"/>
    </w:rPr>
  </w:style>
  <w:style w:type="paragraph" w:customStyle="1" w:styleId="CoverPageTitle">
    <w:name w:val="Cover Page Title"/>
    <w:basedOn w:val="Normal"/>
    <w:uiPriority w:val="53"/>
    <w:qFormat/>
    <w:rsid w:val="00F527CC"/>
    <w:pPr>
      <w:spacing w:before="200" w:after="200"/>
      <w:contextualSpacing/>
      <w:jc w:val="center"/>
    </w:pPr>
    <w:rPr>
      <w:bCs/>
      <w:color w:val="1E1E1E" w:themeColor="background2"/>
      <w:kern w:val="40"/>
      <w:sz w:val="80"/>
      <w:szCs w:val="80"/>
    </w:rPr>
  </w:style>
  <w:style w:type="paragraph" w:customStyle="1" w:styleId="CoverPageDate">
    <w:name w:val="Cover Page Date"/>
    <w:basedOn w:val="Normal"/>
    <w:uiPriority w:val="53"/>
    <w:qFormat/>
    <w:rsid w:val="00F527CC"/>
    <w:pPr>
      <w:jc w:val="center"/>
    </w:pPr>
    <w:rPr>
      <w:b/>
      <w:caps/>
    </w:rPr>
  </w:style>
  <w:style w:type="paragraph" w:styleId="BalloonText">
    <w:name w:val="Balloon Text"/>
    <w:basedOn w:val="Normal"/>
    <w:link w:val="BalloonTextChar"/>
    <w:uiPriority w:val="99"/>
    <w:semiHidden/>
    <w:unhideWhenUsed/>
    <w:rsid w:val="00F527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7CC"/>
    <w:rPr>
      <w:rFonts w:ascii="Segoe UI" w:hAnsi="Segoe UI" w:cs="Segoe UI"/>
      <w:sz w:val="18"/>
      <w:szCs w:val="18"/>
      <w:lang w:val="en-US"/>
    </w:rPr>
  </w:style>
  <w:style w:type="paragraph" w:styleId="BodyTextIndent">
    <w:name w:val="Body Text Indent"/>
    <w:basedOn w:val="Normal"/>
    <w:link w:val="BodyTextIndentChar"/>
    <w:uiPriority w:val="34"/>
    <w:rsid w:val="00F527CC"/>
    <w:pPr>
      <w:ind w:left="397"/>
    </w:pPr>
    <w:rPr>
      <w:noProof/>
    </w:rPr>
  </w:style>
  <w:style w:type="character" w:customStyle="1" w:styleId="BodyTextIndentChar">
    <w:name w:val="Body Text Indent Char"/>
    <w:basedOn w:val="DefaultParagraphFont"/>
    <w:link w:val="BodyTextIndent"/>
    <w:uiPriority w:val="34"/>
    <w:rsid w:val="00F527CC"/>
    <w:rPr>
      <w:noProof/>
      <w:lang w:val="en-US"/>
    </w:rPr>
  </w:style>
  <w:style w:type="paragraph" w:styleId="BodyTextIndent2">
    <w:name w:val="Body Text Indent 2"/>
    <w:basedOn w:val="BodyTextIndent"/>
    <w:link w:val="BodyTextIndent2Char"/>
    <w:uiPriority w:val="34"/>
    <w:rsid w:val="00F527CC"/>
    <w:pPr>
      <w:ind w:left="794"/>
    </w:pPr>
  </w:style>
  <w:style w:type="character" w:customStyle="1" w:styleId="BodyTextIndent2Char">
    <w:name w:val="Body Text Indent 2 Char"/>
    <w:basedOn w:val="DefaultParagraphFont"/>
    <w:link w:val="BodyTextIndent2"/>
    <w:uiPriority w:val="34"/>
    <w:rsid w:val="00F527CC"/>
    <w:rPr>
      <w:noProof/>
      <w:lang w:val="en-US"/>
    </w:rPr>
  </w:style>
  <w:style w:type="paragraph" w:customStyle="1" w:styleId="HeaderHidden">
    <w:name w:val="HeaderHidden"/>
    <w:basedOn w:val="Header"/>
    <w:uiPriority w:val="5"/>
    <w:qFormat/>
    <w:rsid w:val="00F527CC"/>
    <w:rPr>
      <w:color w:val="FFFFFF" w:themeColor="text2"/>
    </w:rPr>
  </w:style>
  <w:style w:type="character" w:customStyle="1" w:styleId="Heading3Char">
    <w:name w:val="Heading 3 Char"/>
    <w:basedOn w:val="DefaultParagraphFont"/>
    <w:link w:val="Heading3"/>
    <w:uiPriority w:val="9"/>
    <w:semiHidden/>
    <w:rsid w:val="00F527CC"/>
    <w:rPr>
      <w:rFonts w:eastAsiaTheme="majorEastAsia" w:cs="Arial"/>
      <w:b/>
      <w:szCs w:val="24"/>
      <w:lang w:val="en-US"/>
    </w:rPr>
  </w:style>
  <w:style w:type="character" w:customStyle="1" w:styleId="Heading4Char">
    <w:name w:val="Heading 4 Char"/>
    <w:basedOn w:val="DefaultParagraphFont"/>
    <w:link w:val="Heading4"/>
    <w:uiPriority w:val="9"/>
    <w:semiHidden/>
    <w:rsid w:val="00F527CC"/>
    <w:rPr>
      <w:rFonts w:eastAsiaTheme="majorEastAsia" w:cs="Arial"/>
      <w:i/>
      <w:iCs/>
      <w:color w:val="939599" w:themeColor="accent1" w:themeShade="BF"/>
      <w:lang w:val="en-US"/>
    </w:rPr>
  </w:style>
  <w:style w:type="character" w:customStyle="1" w:styleId="Heading5Char">
    <w:name w:val="Heading 5 Char"/>
    <w:basedOn w:val="DefaultParagraphFont"/>
    <w:link w:val="Heading5"/>
    <w:uiPriority w:val="9"/>
    <w:semiHidden/>
    <w:rsid w:val="00F527CC"/>
    <w:rPr>
      <w:rFonts w:eastAsiaTheme="majorEastAsia" w:cs="Arial"/>
      <w:color w:val="939599" w:themeColor="accent1" w:themeShade="BF"/>
      <w:lang w:val="en-US"/>
    </w:rPr>
  </w:style>
  <w:style w:type="character" w:customStyle="1" w:styleId="Heading6Char">
    <w:name w:val="Heading 6 Char"/>
    <w:basedOn w:val="DefaultParagraphFont"/>
    <w:link w:val="Heading6"/>
    <w:uiPriority w:val="9"/>
    <w:semiHidden/>
    <w:rsid w:val="00F527CC"/>
    <w:rPr>
      <w:rFonts w:eastAsiaTheme="majorEastAsia" w:cs="Arial"/>
      <w:color w:val="616266" w:themeColor="accent1" w:themeShade="7F"/>
      <w:lang w:val="en-US"/>
    </w:rPr>
  </w:style>
  <w:style w:type="character" w:customStyle="1" w:styleId="Heading7Char">
    <w:name w:val="Heading 7 Char"/>
    <w:basedOn w:val="DefaultParagraphFont"/>
    <w:link w:val="Heading7"/>
    <w:uiPriority w:val="9"/>
    <w:semiHidden/>
    <w:rsid w:val="00F527CC"/>
    <w:rPr>
      <w:rFonts w:eastAsiaTheme="majorEastAsia" w:cs="Arial"/>
      <w:i/>
      <w:iCs/>
      <w:color w:val="616266" w:themeColor="accent1" w:themeShade="7F"/>
      <w:lang w:val="en-US"/>
    </w:rPr>
  </w:style>
  <w:style w:type="character" w:customStyle="1" w:styleId="Heading8Char">
    <w:name w:val="Heading 8 Char"/>
    <w:basedOn w:val="DefaultParagraphFont"/>
    <w:link w:val="Heading8"/>
    <w:uiPriority w:val="9"/>
    <w:semiHidden/>
    <w:rsid w:val="00F527CC"/>
    <w:rPr>
      <w:rFonts w:eastAsiaTheme="majorEastAsia" w:cs="Arial"/>
      <w:color w:val="5D5D5D" w:themeColor="text1" w:themeTint="D8"/>
      <w:sz w:val="21"/>
      <w:szCs w:val="21"/>
      <w:lang w:val="en-US"/>
    </w:rPr>
  </w:style>
  <w:style w:type="character" w:customStyle="1" w:styleId="Heading9Char">
    <w:name w:val="Heading 9 Char"/>
    <w:basedOn w:val="DefaultParagraphFont"/>
    <w:link w:val="Heading9"/>
    <w:uiPriority w:val="9"/>
    <w:semiHidden/>
    <w:rsid w:val="00F527CC"/>
    <w:rPr>
      <w:rFonts w:eastAsiaTheme="majorEastAsia" w:cs="Arial"/>
      <w:i/>
      <w:iCs/>
      <w:color w:val="5D5D5D" w:themeColor="text1" w:themeTint="D8"/>
      <w:sz w:val="21"/>
      <w:szCs w:val="21"/>
      <w:lang w:val="en-US"/>
    </w:rPr>
  </w:style>
  <w:style w:type="numbering" w:styleId="111111">
    <w:name w:val="Outline List 2"/>
    <w:basedOn w:val="NoList"/>
    <w:uiPriority w:val="99"/>
    <w:semiHidden/>
    <w:unhideWhenUsed/>
    <w:rsid w:val="00F527CC"/>
    <w:pPr>
      <w:numPr>
        <w:numId w:val="15"/>
      </w:numPr>
    </w:pPr>
  </w:style>
  <w:style w:type="numbering" w:styleId="1ai">
    <w:name w:val="Outline List 1"/>
    <w:basedOn w:val="NoList"/>
    <w:uiPriority w:val="99"/>
    <w:semiHidden/>
    <w:unhideWhenUsed/>
    <w:rsid w:val="00F527CC"/>
    <w:pPr>
      <w:numPr>
        <w:numId w:val="16"/>
      </w:numPr>
    </w:pPr>
  </w:style>
  <w:style w:type="numbering" w:styleId="ArticleSection">
    <w:name w:val="Outline List 3"/>
    <w:basedOn w:val="NoList"/>
    <w:uiPriority w:val="99"/>
    <w:semiHidden/>
    <w:unhideWhenUsed/>
    <w:rsid w:val="00F527CC"/>
    <w:pPr>
      <w:numPr>
        <w:numId w:val="17"/>
      </w:numPr>
    </w:pPr>
  </w:style>
  <w:style w:type="paragraph" w:styleId="Bibliography">
    <w:name w:val="Bibliography"/>
    <w:basedOn w:val="Normal"/>
    <w:next w:val="Normal"/>
    <w:uiPriority w:val="37"/>
    <w:semiHidden/>
    <w:unhideWhenUsed/>
    <w:rsid w:val="00F527CC"/>
  </w:style>
  <w:style w:type="paragraph" w:styleId="BlockText">
    <w:name w:val="Block Text"/>
    <w:basedOn w:val="Normal"/>
    <w:uiPriority w:val="99"/>
    <w:semiHidden/>
    <w:unhideWhenUsed/>
    <w:rsid w:val="00F527CC"/>
    <w:pPr>
      <w:pBdr>
        <w:top w:val="single" w:sz="2" w:space="10" w:color="C7C8CA" w:themeColor="accent1" w:frame="1"/>
        <w:left w:val="single" w:sz="2" w:space="10" w:color="C7C8CA" w:themeColor="accent1" w:frame="1"/>
        <w:bottom w:val="single" w:sz="2" w:space="10" w:color="C7C8CA" w:themeColor="accent1" w:frame="1"/>
        <w:right w:val="single" w:sz="2" w:space="10" w:color="C7C8CA" w:themeColor="accent1" w:frame="1"/>
      </w:pBdr>
      <w:ind w:left="1152" w:right="1152"/>
    </w:pPr>
    <w:rPr>
      <w:rFonts w:eastAsiaTheme="minorEastAsia" w:cs="Arial"/>
      <w:i/>
      <w:iCs/>
      <w:color w:val="C7C8CA" w:themeColor="accent1"/>
    </w:rPr>
  </w:style>
  <w:style w:type="paragraph" w:styleId="BodyText">
    <w:name w:val="Body Text"/>
    <w:basedOn w:val="Normal"/>
    <w:link w:val="BodyTextChar"/>
    <w:uiPriority w:val="99"/>
    <w:semiHidden/>
    <w:unhideWhenUsed/>
    <w:rsid w:val="00F527CC"/>
  </w:style>
  <w:style w:type="character" w:customStyle="1" w:styleId="BodyTextChar">
    <w:name w:val="Body Text Char"/>
    <w:basedOn w:val="DefaultParagraphFont"/>
    <w:link w:val="BodyText"/>
    <w:uiPriority w:val="99"/>
    <w:semiHidden/>
    <w:rsid w:val="00F527CC"/>
    <w:rPr>
      <w:lang w:val="en-US"/>
    </w:rPr>
  </w:style>
  <w:style w:type="paragraph" w:styleId="BodyText2">
    <w:name w:val="Body Text 2"/>
    <w:basedOn w:val="Normal"/>
    <w:link w:val="BodyText2Char"/>
    <w:uiPriority w:val="99"/>
    <w:semiHidden/>
    <w:unhideWhenUsed/>
    <w:rsid w:val="00F527CC"/>
    <w:pPr>
      <w:spacing w:line="480" w:lineRule="auto"/>
    </w:pPr>
  </w:style>
  <w:style w:type="character" w:customStyle="1" w:styleId="BodyText2Char">
    <w:name w:val="Body Text 2 Char"/>
    <w:basedOn w:val="DefaultParagraphFont"/>
    <w:link w:val="BodyText2"/>
    <w:uiPriority w:val="99"/>
    <w:semiHidden/>
    <w:rsid w:val="00F527CC"/>
    <w:rPr>
      <w:lang w:val="en-US"/>
    </w:rPr>
  </w:style>
  <w:style w:type="paragraph" w:styleId="BodyText3">
    <w:name w:val="Body Text 3"/>
    <w:basedOn w:val="Normal"/>
    <w:link w:val="BodyText3Char"/>
    <w:uiPriority w:val="99"/>
    <w:semiHidden/>
    <w:unhideWhenUsed/>
    <w:rsid w:val="00F527CC"/>
    <w:rPr>
      <w:sz w:val="16"/>
      <w:szCs w:val="16"/>
    </w:rPr>
  </w:style>
  <w:style w:type="character" w:customStyle="1" w:styleId="BodyText3Char">
    <w:name w:val="Body Text 3 Char"/>
    <w:basedOn w:val="DefaultParagraphFont"/>
    <w:link w:val="BodyText3"/>
    <w:uiPriority w:val="99"/>
    <w:semiHidden/>
    <w:rsid w:val="00F527CC"/>
    <w:rPr>
      <w:sz w:val="16"/>
      <w:szCs w:val="16"/>
      <w:lang w:val="en-US"/>
    </w:rPr>
  </w:style>
  <w:style w:type="paragraph" w:styleId="BodyTextFirstIndent">
    <w:name w:val="Body Text First Indent"/>
    <w:basedOn w:val="BodyText"/>
    <w:link w:val="BodyTextFirstIndentChar"/>
    <w:uiPriority w:val="99"/>
    <w:semiHidden/>
    <w:unhideWhenUsed/>
    <w:rsid w:val="00F527CC"/>
    <w:pPr>
      <w:ind w:firstLine="360"/>
    </w:pPr>
  </w:style>
  <w:style w:type="character" w:customStyle="1" w:styleId="BodyTextFirstIndentChar">
    <w:name w:val="Body Text First Indent Char"/>
    <w:basedOn w:val="BodyTextChar"/>
    <w:link w:val="BodyTextFirstIndent"/>
    <w:uiPriority w:val="99"/>
    <w:semiHidden/>
    <w:rsid w:val="00F527CC"/>
    <w:rPr>
      <w:lang w:val="en-US"/>
    </w:rPr>
  </w:style>
  <w:style w:type="paragraph" w:styleId="BodyTextFirstIndent2">
    <w:name w:val="Body Text First Indent 2"/>
    <w:basedOn w:val="BodyTextIndent"/>
    <w:link w:val="BodyTextFirstIndent2Char"/>
    <w:uiPriority w:val="99"/>
    <w:semiHidden/>
    <w:unhideWhenUsed/>
    <w:rsid w:val="00F527CC"/>
    <w:pPr>
      <w:ind w:left="360" w:firstLine="360"/>
    </w:pPr>
  </w:style>
  <w:style w:type="character" w:customStyle="1" w:styleId="BodyTextFirstIndent2Char">
    <w:name w:val="Body Text First Indent 2 Char"/>
    <w:basedOn w:val="BodyTextIndentChar"/>
    <w:link w:val="BodyTextFirstIndent2"/>
    <w:uiPriority w:val="99"/>
    <w:semiHidden/>
    <w:rsid w:val="00F527CC"/>
    <w:rPr>
      <w:noProof/>
      <w:lang w:val="en-US"/>
    </w:rPr>
  </w:style>
  <w:style w:type="paragraph" w:styleId="BodyTextIndent3">
    <w:name w:val="Body Text Indent 3"/>
    <w:basedOn w:val="Normal"/>
    <w:link w:val="BodyTextIndent3Char"/>
    <w:uiPriority w:val="99"/>
    <w:semiHidden/>
    <w:unhideWhenUsed/>
    <w:rsid w:val="00F527CC"/>
    <w:pPr>
      <w:ind w:left="283"/>
    </w:pPr>
    <w:rPr>
      <w:sz w:val="16"/>
      <w:szCs w:val="16"/>
    </w:rPr>
  </w:style>
  <w:style w:type="character" w:customStyle="1" w:styleId="BodyTextIndent3Char">
    <w:name w:val="Body Text Indent 3 Char"/>
    <w:basedOn w:val="DefaultParagraphFont"/>
    <w:link w:val="BodyTextIndent3"/>
    <w:uiPriority w:val="99"/>
    <w:semiHidden/>
    <w:rsid w:val="00F527CC"/>
    <w:rPr>
      <w:sz w:val="16"/>
      <w:szCs w:val="16"/>
      <w:lang w:val="en-US"/>
    </w:rPr>
  </w:style>
  <w:style w:type="character" w:styleId="BookTitle">
    <w:name w:val="Book Title"/>
    <w:basedOn w:val="DefaultParagraphFont"/>
    <w:uiPriority w:val="33"/>
    <w:qFormat/>
    <w:rsid w:val="00F527CC"/>
    <w:rPr>
      <w:b/>
      <w:bCs/>
      <w:i/>
      <w:iCs/>
      <w:spacing w:val="5"/>
      <w:lang w:val="en-US"/>
    </w:rPr>
  </w:style>
  <w:style w:type="paragraph" w:styleId="Caption">
    <w:name w:val="caption"/>
    <w:basedOn w:val="Normal"/>
    <w:next w:val="Normal"/>
    <w:uiPriority w:val="35"/>
    <w:unhideWhenUsed/>
    <w:qFormat/>
    <w:rsid w:val="00F527CC"/>
    <w:pPr>
      <w:spacing w:after="200" w:line="240" w:lineRule="auto"/>
    </w:pPr>
    <w:rPr>
      <w:i/>
      <w:iCs/>
      <w:color w:val="FFFFFF" w:themeColor="text2"/>
      <w:sz w:val="18"/>
      <w:szCs w:val="18"/>
    </w:rPr>
  </w:style>
  <w:style w:type="paragraph" w:styleId="Closing">
    <w:name w:val="Closing"/>
    <w:basedOn w:val="Normal"/>
    <w:link w:val="ClosingChar"/>
    <w:uiPriority w:val="99"/>
    <w:semiHidden/>
    <w:unhideWhenUsed/>
    <w:rsid w:val="00F527CC"/>
    <w:pPr>
      <w:spacing w:after="0" w:line="240" w:lineRule="auto"/>
      <w:ind w:left="4252"/>
    </w:pPr>
  </w:style>
  <w:style w:type="character" w:customStyle="1" w:styleId="ClosingChar">
    <w:name w:val="Closing Char"/>
    <w:basedOn w:val="DefaultParagraphFont"/>
    <w:link w:val="Closing"/>
    <w:uiPriority w:val="99"/>
    <w:semiHidden/>
    <w:rsid w:val="00F527CC"/>
    <w:rPr>
      <w:lang w:val="en-US"/>
    </w:rPr>
  </w:style>
  <w:style w:type="table" w:styleId="ColorfulGrid">
    <w:name w:val="Colorful Grid"/>
    <w:basedOn w:val="TableNormal"/>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D8D8D8" w:themeFill="text1" w:themeFillTint="33"/>
    </w:tcPr>
    <w:tblStylePr w:type="firstRow">
      <w:rPr>
        <w:b/>
        <w:bCs/>
      </w:rPr>
      <w:tblPr/>
      <w:tcPr>
        <w:shd w:val="clear" w:color="auto" w:fill="B2B2B2" w:themeFill="text1" w:themeFillTint="66"/>
      </w:tcPr>
    </w:tblStylePr>
    <w:tblStylePr w:type="lastRow">
      <w:rPr>
        <w:b/>
        <w:bCs/>
        <w:color w:val="404040" w:themeColor="text1"/>
      </w:rPr>
      <w:tblPr/>
      <w:tcPr>
        <w:shd w:val="clear" w:color="auto" w:fill="B2B2B2" w:themeFill="text1" w:themeFillTint="66"/>
      </w:tcPr>
    </w:tblStylePr>
    <w:tblStylePr w:type="firstCol">
      <w:rPr>
        <w:color w:val="FFFFFF" w:themeColor="background1"/>
      </w:rPr>
      <w:tblPr/>
      <w:tcPr>
        <w:shd w:val="clear" w:color="auto" w:fill="2F2F2F" w:themeFill="text1" w:themeFillShade="BF"/>
      </w:tcPr>
    </w:tblStylePr>
    <w:tblStylePr w:type="lastCol">
      <w:rPr>
        <w:color w:val="FFFFFF" w:themeColor="background1"/>
      </w:rPr>
      <w:tblPr/>
      <w:tcPr>
        <w:shd w:val="clear" w:color="auto" w:fill="2F2F2F" w:themeFill="text1" w:themeFillShade="BF"/>
      </w:tcPr>
    </w:tblStylePr>
    <w:tblStylePr w:type="band1Vert">
      <w:tblPr/>
      <w:tcPr>
        <w:shd w:val="clear" w:color="auto" w:fill="9F9F9F" w:themeFill="text1" w:themeFillTint="7F"/>
      </w:tcPr>
    </w:tblStylePr>
    <w:tblStylePr w:type="band1Horz">
      <w:tblPr/>
      <w:tcPr>
        <w:shd w:val="clear" w:color="auto" w:fill="9F9F9F" w:themeFill="text1" w:themeFillTint="7F"/>
      </w:tcPr>
    </w:tblStylePr>
  </w:style>
  <w:style w:type="table" w:styleId="ColorfulGrid-Accent1">
    <w:name w:val="Colorful Grid Accent 1"/>
    <w:basedOn w:val="TableNormal"/>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F3F3F4" w:themeFill="accent1" w:themeFillTint="33"/>
    </w:tcPr>
    <w:tblStylePr w:type="firstRow">
      <w:rPr>
        <w:b/>
        <w:bCs/>
      </w:rPr>
      <w:tblPr/>
      <w:tcPr>
        <w:shd w:val="clear" w:color="auto" w:fill="E8E8E9" w:themeFill="accent1" w:themeFillTint="66"/>
      </w:tcPr>
    </w:tblStylePr>
    <w:tblStylePr w:type="lastRow">
      <w:rPr>
        <w:b/>
        <w:bCs/>
        <w:color w:val="404040" w:themeColor="text1"/>
      </w:rPr>
      <w:tblPr/>
      <w:tcPr>
        <w:shd w:val="clear" w:color="auto" w:fill="E8E8E9" w:themeFill="accent1" w:themeFillTint="66"/>
      </w:tcPr>
    </w:tblStylePr>
    <w:tblStylePr w:type="firstCol">
      <w:rPr>
        <w:color w:val="FFFFFF" w:themeColor="background1"/>
      </w:rPr>
      <w:tblPr/>
      <w:tcPr>
        <w:shd w:val="clear" w:color="auto" w:fill="939599" w:themeFill="accent1" w:themeFillShade="BF"/>
      </w:tcPr>
    </w:tblStylePr>
    <w:tblStylePr w:type="lastCol">
      <w:rPr>
        <w:color w:val="FFFFFF" w:themeColor="background1"/>
      </w:rPr>
      <w:tblPr/>
      <w:tcPr>
        <w:shd w:val="clear" w:color="auto" w:fill="939599" w:themeFill="accent1" w:themeFillShade="BF"/>
      </w:tcPr>
    </w:tblStylePr>
    <w:tblStylePr w:type="band1Vert">
      <w:tblPr/>
      <w:tcPr>
        <w:shd w:val="clear" w:color="auto" w:fill="E3E3E4" w:themeFill="accent1" w:themeFillTint="7F"/>
      </w:tcPr>
    </w:tblStylePr>
    <w:tblStylePr w:type="band1Horz">
      <w:tblPr/>
      <w:tcPr>
        <w:shd w:val="clear" w:color="auto" w:fill="E3E3E4" w:themeFill="accent1" w:themeFillTint="7F"/>
      </w:tcPr>
    </w:tblStylePr>
  </w:style>
  <w:style w:type="table" w:styleId="ColorfulGrid-Accent2">
    <w:name w:val="Colorful Grid Accent 2"/>
    <w:basedOn w:val="TableNormal"/>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E9E9EA" w:themeFill="accent2" w:themeFillTint="33"/>
    </w:tcPr>
    <w:tblStylePr w:type="firstRow">
      <w:rPr>
        <w:b/>
        <w:bCs/>
      </w:rPr>
      <w:tblPr/>
      <w:tcPr>
        <w:shd w:val="clear" w:color="auto" w:fill="D3D4D5" w:themeFill="accent2" w:themeFillTint="66"/>
      </w:tcPr>
    </w:tblStylePr>
    <w:tblStylePr w:type="lastRow">
      <w:rPr>
        <w:b/>
        <w:bCs/>
        <w:color w:val="404040" w:themeColor="text1"/>
      </w:rPr>
      <w:tblPr/>
      <w:tcPr>
        <w:shd w:val="clear" w:color="auto" w:fill="D3D4D5" w:themeFill="accent2" w:themeFillTint="66"/>
      </w:tcPr>
    </w:tblStylePr>
    <w:tblStylePr w:type="firstCol">
      <w:rPr>
        <w:color w:val="FFFFFF" w:themeColor="background1"/>
      </w:rPr>
      <w:tblPr/>
      <w:tcPr>
        <w:shd w:val="clear" w:color="auto" w:fill="6D6F72" w:themeFill="accent2" w:themeFillShade="BF"/>
      </w:tcPr>
    </w:tblStylePr>
    <w:tblStylePr w:type="lastCol">
      <w:rPr>
        <w:color w:val="FFFFFF" w:themeColor="background1"/>
      </w:rPr>
      <w:tblPr/>
      <w:tcPr>
        <w:shd w:val="clear" w:color="auto" w:fill="6D6F72" w:themeFill="accent2" w:themeFillShade="BF"/>
      </w:tcPr>
    </w:tblStylePr>
    <w:tblStylePr w:type="band1Vert">
      <w:tblPr/>
      <w:tcPr>
        <w:shd w:val="clear" w:color="auto" w:fill="C9CACB" w:themeFill="accent2" w:themeFillTint="7F"/>
      </w:tcPr>
    </w:tblStylePr>
    <w:tblStylePr w:type="band1Horz">
      <w:tblPr/>
      <w:tcPr>
        <w:shd w:val="clear" w:color="auto" w:fill="C9CACB" w:themeFill="accent2" w:themeFillTint="7F"/>
      </w:tcPr>
    </w:tblStylePr>
  </w:style>
  <w:style w:type="table" w:styleId="ColorfulGrid-Accent3">
    <w:name w:val="Colorful Grid Accent 3"/>
    <w:basedOn w:val="TableNormal"/>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DFDFE0" w:themeFill="accent3" w:themeFillTint="33"/>
    </w:tcPr>
    <w:tblStylePr w:type="firstRow">
      <w:rPr>
        <w:b/>
        <w:bCs/>
      </w:rPr>
      <w:tblPr/>
      <w:tcPr>
        <w:shd w:val="clear" w:color="auto" w:fill="C0C0C2" w:themeFill="accent3" w:themeFillTint="66"/>
      </w:tcPr>
    </w:tblStylePr>
    <w:tblStylePr w:type="lastRow">
      <w:rPr>
        <w:b/>
        <w:bCs/>
        <w:color w:val="404040" w:themeColor="text1"/>
      </w:rPr>
      <w:tblPr/>
      <w:tcPr>
        <w:shd w:val="clear" w:color="auto" w:fill="C0C0C2" w:themeFill="accent3" w:themeFillTint="66"/>
      </w:tcPr>
    </w:tblStylePr>
    <w:tblStylePr w:type="firstCol">
      <w:rPr>
        <w:color w:val="FFFFFF" w:themeColor="background1"/>
      </w:rPr>
      <w:tblPr/>
      <w:tcPr>
        <w:shd w:val="clear" w:color="auto" w:fill="4A4A4C" w:themeFill="accent3" w:themeFillShade="BF"/>
      </w:tcPr>
    </w:tblStylePr>
    <w:tblStylePr w:type="lastCol">
      <w:rPr>
        <w:color w:val="FFFFFF" w:themeColor="background1"/>
      </w:rPr>
      <w:tblPr/>
      <w:tcPr>
        <w:shd w:val="clear" w:color="auto" w:fill="4A4A4C" w:themeFill="accent3" w:themeFillShade="BF"/>
      </w:tcPr>
    </w:tblStylePr>
    <w:tblStylePr w:type="band1Vert">
      <w:tblPr/>
      <w:tcPr>
        <w:shd w:val="clear" w:color="auto" w:fill="B0B1B3" w:themeFill="accent3" w:themeFillTint="7F"/>
      </w:tcPr>
    </w:tblStylePr>
    <w:tblStylePr w:type="band1Horz">
      <w:tblPr/>
      <w:tcPr>
        <w:shd w:val="clear" w:color="auto" w:fill="B0B1B3" w:themeFill="accent3" w:themeFillTint="7F"/>
      </w:tcPr>
    </w:tblStylePr>
  </w:style>
  <w:style w:type="table" w:styleId="ColorfulGrid-Accent4">
    <w:name w:val="Colorful Grid Accent 4"/>
    <w:basedOn w:val="TableNormal"/>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F7CFD2" w:themeFill="accent4" w:themeFillTint="33"/>
    </w:tcPr>
    <w:tblStylePr w:type="firstRow">
      <w:rPr>
        <w:b/>
        <w:bCs/>
      </w:rPr>
      <w:tblPr/>
      <w:tcPr>
        <w:shd w:val="clear" w:color="auto" w:fill="F0A0A5" w:themeFill="accent4" w:themeFillTint="66"/>
      </w:tcPr>
    </w:tblStylePr>
    <w:tblStylePr w:type="lastRow">
      <w:rPr>
        <w:b/>
        <w:bCs/>
        <w:color w:val="404040" w:themeColor="text1"/>
      </w:rPr>
      <w:tblPr/>
      <w:tcPr>
        <w:shd w:val="clear" w:color="auto" w:fill="F0A0A5" w:themeFill="accent4" w:themeFillTint="66"/>
      </w:tcPr>
    </w:tblStylePr>
    <w:tblStylePr w:type="firstCol">
      <w:rPr>
        <w:color w:val="FFFFFF" w:themeColor="background1"/>
      </w:rPr>
      <w:tblPr/>
      <w:tcPr>
        <w:shd w:val="clear" w:color="auto" w:fill="991820" w:themeFill="accent4" w:themeFillShade="BF"/>
      </w:tcPr>
    </w:tblStylePr>
    <w:tblStylePr w:type="lastCol">
      <w:rPr>
        <w:color w:val="FFFFFF" w:themeColor="background1"/>
      </w:rPr>
      <w:tblPr/>
      <w:tcPr>
        <w:shd w:val="clear" w:color="auto" w:fill="991820" w:themeFill="accent4" w:themeFillShade="BF"/>
      </w:tcPr>
    </w:tblStylePr>
    <w:tblStylePr w:type="band1Vert">
      <w:tblPr/>
      <w:tcPr>
        <w:shd w:val="clear" w:color="auto" w:fill="EC898F" w:themeFill="accent4" w:themeFillTint="7F"/>
      </w:tcPr>
    </w:tblStylePr>
    <w:tblStylePr w:type="band1Horz">
      <w:tblPr/>
      <w:tcPr>
        <w:shd w:val="clear" w:color="auto" w:fill="EC898F" w:themeFill="accent4" w:themeFillTint="7F"/>
      </w:tcPr>
    </w:tblStylePr>
  </w:style>
  <w:style w:type="table" w:styleId="ColorfulGrid-Accent5">
    <w:name w:val="Colorful Grid Accent 5"/>
    <w:basedOn w:val="TableNormal"/>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BBDCFF" w:themeFill="accent5" w:themeFillTint="33"/>
    </w:tcPr>
    <w:tblStylePr w:type="firstRow">
      <w:rPr>
        <w:b/>
        <w:bCs/>
      </w:rPr>
      <w:tblPr/>
      <w:tcPr>
        <w:shd w:val="clear" w:color="auto" w:fill="77BAFF" w:themeFill="accent5" w:themeFillTint="66"/>
      </w:tcPr>
    </w:tblStylePr>
    <w:tblStylePr w:type="lastRow">
      <w:rPr>
        <w:b/>
        <w:bCs/>
        <w:color w:val="404040" w:themeColor="text1"/>
      </w:rPr>
      <w:tblPr/>
      <w:tcPr>
        <w:shd w:val="clear" w:color="auto" w:fill="77BAFF" w:themeFill="accent5" w:themeFillTint="66"/>
      </w:tcPr>
    </w:tblStylePr>
    <w:tblStylePr w:type="firstCol">
      <w:rPr>
        <w:color w:val="FFFFFF" w:themeColor="background1"/>
      </w:rPr>
      <w:tblPr/>
      <w:tcPr>
        <w:shd w:val="clear" w:color="auto" w:fill="003F7F" w:themeFill="accent5" w:themeFillShade="BF"/>
      </w:tcPr>
    </w:tblStylePr>
    <w:tblStylePr w:type="lastCol">
      <w:rPr>
        <w:color w:val="FFFFFF" w:themeColor="background1"/>
      </w:rPr>
      <w:tblPr/>
      <w:tcPr>
        <w:shd w:val="clear" w:color="auto" w:fill="003F7F" w:themeFill="accent5" w:themeFillShade="BF"/>
      </w:tcPr>
    </w:tblStylePr>
    <w:tblStylePr w:type="band1Vert">
      <w:tblPr/>
      <w:tcPr>
        <w:shd w:val="clear" w:color="auto" w:fill="55AAFF" w:themeFill="accent5" w:themeFillTint="7F"/>
      </w:tcPr>
    </w:tblStylePr>
    <w:tblStylePr w:type="band1Horz">
      <w:tblPr/>
      <w:tcPr>
        <w:shd w:val="clear" w:color="auto" w:fill="55AAFF" w:themeFill="accent5" w:themeFillTint="7F"/>
      </w:tcPr>
    </w:tblStylePr>
  </w:style>
  <w:style w:type="table" w:styleId="ColorfulGrid-Accent6">
    <w:name w:val="Colorful Grid Accent 6"/>
    <w:basedOn w:val="TableNormal"/>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FFEDD2" w:themeFill="accent6" w:themeFillTint="33"/>
    </w:tcPr>
    <w:tblStylePr w:type="firstRow">
      <w:rPr>
        <w:b/>
        <w:bCs/>
      </w:rPr>
      <w:tblPr/>
      <w:tcPr>
        <w:shd w:val="clear" w:color="auto" w:fill="FFDCA6" w:themeFill="accent6" w:themeFillTint="66"/>
      </w:tcPr>
    </w:tblStylePr>
    <w:tblStylePr w:type="lastRow">
      <w:rPr>
        <w:b/>
        <w:bCs/>
        <w:color w:val="404040" w:themeColor="text1"/>
      </w:rPr>
      <w:tblPr/>
      <w:tcPr>
        <w:shd w:val="clear" w:color="auto" w:fill="FFDCA6" w:themeFill="accent6" w:themeFillTint="66"/>
      </w:tcPr>
    </w:tblStylePr>
    <w:tblStylePr w:type="firstCol">
      <w:rPr>
        <w:color w:val="FFFFFF" w:themeColor="background1"/>
      </w:rPr>
      <w:tblPr/>
      <w:tcPr>
        <w:shd w:val="clear" w:color="auto" w:fill="D88400" w:themeFill="accent6" w:themeFillShade="BF"/>
      </w:tcPr>
    </w:tblStylePr>
    <w:tblStylePr w:type="lastCol">
      <w:rPr>
        <w:color w:val="FFFFFF" w:themeColor="background1"/>
      </w:rPr>
      <w:tblPr/>
      <w:tcPr>
        <w:shd w:val="clear" w:color="auto" w:fill="D88400" w:themeFill="accent6" w:themeFillShade="BF"/>
      </w:tcPr>
    </w:tblStylePr>
    <w:tblStylePr w:type="band1Vert">
      <w:tblPr/>
      <w:tcPr>
        <w:shd w:val="clear" w:color="auto" w:fill="FFD490" w:themeFill="accent6" w:themeFillTint="7F"/>
      </w:tcPr>
    </w:tblStylePr>
    <w:tblStylePr w:type="band1Horz">
      <w:tblPr/>
      <w:tcPr>
        <w:shd w:val="clear" w:color="auto" w:fill="FFD490" w:themeFill="accent6" w:themeFillTint="7F"/>
      </w:tcPr>
    </w:tblStylePr>
  </w:style>
  <w:style w:type="table" w:styleId="ColorfulList">
    <w:name w:val="Colorful List"/>
    <w:basedOn w:val="TableNormal"/>
    <w:uiPriority w:val="72"/>
    <w:semiHidden/>
    <w:unhideWhenUsed/>
    <w:rsid w:val="00F527CC"/>
    <w:pPr>
      <w:spacing w:after="0" w:line="240" w:lineRule="auto"/>
    </w:pPr>
    <w:rPr>
      <w:color w:val="404040" w:themeColor="text1"/>
    </w:rPr>
    <w:tblPr>
      <w:tblStyleRowBandSize w:val="1"/>
      <w:tblStyleColBandSize w:val="1"/>
    </w:tblPr>
    <w:tcPr>
      <w:shd w:val="clear" w:color="auto" w:fill="ECECEC" w:themeFill="text1" w:themeFillTint="19"/>
    </w:tcPr>
    <w:tblStylePr w:type="firstRow">
      <w:rPr>
        <w:b/>
        <w:bCs/>
        <w:color w:val="FFFFFF" w:themeColor="background1"/>
      </w:rPr>
      <w:tblPr/>
      <w:tcPr>
        <w:tcBorders>
          <w:bottom w:val="single" w:sz="12" w:space="0" w:color="FFFFFF" w:themeColor="background1"/>
        </w:tcBorders>
        <w:shd w:val="clear" w:color="auto" w:fill="74767A" w:themeFill="accent2" w:themeFillShade="CC"/>
      </w:tcPr>
    </w:tblStylePr>
    <w:tblStylePr w:type="lastRow">
      <w:rPr>
        <w:b/>
        <w:bCs/>
        <w:color w:val="74767A" w:themeColor="accent2"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CF" w:themeFill="text1" w:themeFillTint="3F"/>
      </w:tcPr>
    </w:tblStylePr>
    <w:tblStylePr w:type="band1Horz">
      <w:tblPr/>
      <w:tcPr>
        <w:shd w:val="clear" w:color="auto" w:fill="D8D8D8" w:themeFill="text1" w:themeFillTint="33"/>
      </w:tcPr>
    </w:tblStylePr>
  </w:style>
  <w:style w:type="table" w:styleId="ColorfulList-Accent1">
    <w:name w:val="Colorful List Accent 1"/>
    <w:basedOn w:val="TableNormal"/>
    <w:uiPriority w:val="72"/>
    <w:semiHidden/>
    <w:unhideWhenUsed/>
    <w:rsid w:val="00F527CC"/>
    <w:pPr>
      <w:spacing w:after="0" w:line="240" w:lineRule="auto"/>
    </w:pPr>
    <w:rPr>
      <w:color w:val="404040" w:themeColor="text1"/>
    </w:rPr>
    <w:tblPr>
      <w:tblStyleRowBandSize w:val="1"/>
      <w:tblStyleColBandSize w:val="1"/>
    </w:tblPr>
    <w:tcPr>
      <w:shd w:val="clear" w:color="auto" w:fill="F9F9F9" w:themeFill="accent1" w:themeFillTint="19"/>
    </w:tcPr>
    <w:tblStylePr w:type="firstRow">
      <w:rPr>
        <w:b/>
        <w:bCs/>
        <w:color w:val="FFFFFF" w:themeColor="background1"/>
      </w:rPr>
      <w:tblPr/>
      <w:tcPr>
        <w:tcBorders>
          <w:bottom w:val="single" w:sz="12" w:space="0" w:color="FFFFFF" w:themeColor="background1"/>
        </w:tcBorders>
        <w:shd w:val="clear" w:color="auto" w:fill="74767A" w:themeFill="accent2" w:themeFillShade="CC"/>
      </w:tcPr>
    </w:tblStylePr>
    <w:tblStylePr w:type="lastRow">
      <w:rPr>
        <w:b/>
        <w:bCs/>
        <w:color w:val="74767A" w:themeColor="accent2"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2" w:themeFill="accent1" w:themeFillTint="3F"/>
      </w:tcPr>
    </w:tblStylePr>
    <w:tblStylePr w:type="band1Horz">
      <w:tblPr/>
      <w:tcPr>
        <w:shd w:val="clear" w:color="auto" w:fill="F3F3F4" w:themeFill="accent1" w:themeFillTint="33"/>
      </w:tcPr>
    </w:tblStylePr>
  </w:style>
  <w:style w:type="table" w:styleId="ColorfulList-Accent2">
    <w:name w:val="Colorful List Accent 2"/>
    <w:basedOn w:val="TableNormal"/>
    <w:uiPriority w:val="72"/>
    <w:semiHidden/>
    <w:unhideWhenUsed/>
    <w:rsid w:val="00F527CC"/>
    <w:pPr>
      <w:spacing w:after="0" w:line="240" w:lineRule="auto"/>
    </w:pPr>
    <w:rPr>
      <w:color w:val="404040" w:themeColor="text1"/>
    </w:rPr>
    <w:tblPr>
      <w:tblStyleRowBandSize w:val="1"/>
      <w:tblStyleColBandSize w:val="1"/>
    </w:tblPr>
    <w:tcPr>
      <w:shd w:val="clear" w:color="auto" w:fill="F4F4F4" w:themeFill="accent2" w:themeFillTint="19"/>
    </w:tcPr>
    <w:tblStylePr w:type="firstRow">
      <w:rPr>
        <w:b/>
        <w:bCs/>
        <w:color w:val="FFFFFF" w:themeColor="background1"/>
      </w:rPr>
      <w:tblPr/>
      <w:tcPr>
        <w:tcBorders>
          <w:bottom w:val="single" w:sz="12" w:space="0" w:color="FFFFFF" w:themeColor="background1"/>
        </w:tcBorders>
        <w:shd w:val="clear" w:color="auto" w:fill="74767A" w:themeFill="accent2" w:themeFillShade="CC"/>
      </w:tcPr>
    </w:tblStylePr>
    <w:tblStylePr w:type="lastRow">
      <w:rPr>
        <w:b/>
        <w:bCs/>
        <w:color w:val="74767A" w:themeColor="accent2"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4E5" w:themeFill="accent2" w:themeFillTint="3F"/>
      </w:tcPr>
    </w:tblStylePr>
    <w:tblStylePr w:type="band1Horz">
      <w:tblPr/>
      <w:tcPr>
        <w:shd w:val="clear" w:color="auto" w:fill="E9E9EA" w:themeFill="accent2" w:themeFillTint="33"/>
      </w:tcPr>
    </w:tblStylePr>
  </w:style>
  <w:style w:type="table" w:styleId="ColorfulList-Accent3">
    <w:name w:val="Colorful List Accent 3"/>
    <w:basedOn w:val="TableNormal"/>
    <w:uiPriority w:val="72"/>
    <w:semiHidden/>
    <w:unhideWhenUsed/>
    <w:rsid w:val="00F527CC"/>
    <w:pPr>
      <w:spacing w:after="0" w:line="240" w:lineRule="auto"/>
    </w:pPr>
    <w:rPr>
      <w:color w:val="404040" w:themeColor="text1"/>
    </w:rPr>
    <w:tblPr>
      <w:tblStyleRowBandSize w:val="1"/>
      <w:tblStyleColBandSize w:val="1"/>
    </w:tblPr>
    <w:tcPr>
      <w:shd w:val="clear" w:color="auto" w:fill="EFEFF0" w:themeFill="accent3" w:themeFillTint="19"/>
    </w:tcPr>
    <w:tblStylePr w:type="firstRow">
      <w:rPr>
        <w:b/>
        <w:bCs/>
        <w:color w:val="FFFFFF" w:themeColor="background1"/>
      </w:rPr>
      <w:tblPr/>
      <w:tcPr>
        <w:tcBorders>
          <w:bottom w:val="single" w:sz="12" w:space="0" w:color="FFFFFF" w:themeColor="background1"/>
        </w:tcBorders>
        <w:shd w:val="clear" w:color="auto" w:fill="A31922" w:themeFill="accent4" w:themeFillShade="CC"/>
      </w:tcPr>
    </w:tblStylePr>
    <w:tblStylePr w:type="lastRow">
      <w:rPr>
        <w:b/>
        <w:bCs/>
        <w:color w:val="A31922" w:themeColor="accent4"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8D9" w:themeFill="accent3" w:themeFillTint="3F"/>
      </w:tcPr>
    </w:tblStylePr>
    <w:tblStylePr w:type="band1Horz">
      <w:tblPr/>
      <w:tcPr>
        <w:shd w:val="clear" w:color="auto" w:fill="DFDFE0" w:themeFill="accent3" w:themeFillTint="33"/>
      </w:tcPr>
    </w:tblStylePr>
  </w:style>
  <w:style w:type="table" w:styleId="ColorfulList-Accent4">
    <w:name w:val="Colorful List Accent 4"/>
    <w:basedOn w:val="TableNormal"/>
    <w:uiPriority w:val="72"/>
    <w:semiHidden/>
    <w:unhideWhenUsed/>
    <w:rsid w:val="00F527CC"/>
    <w:pPr>
      <w:spacing w:after="0" w:line="240" w:lineRule="auto"/>
    </w:pPr>
    <w:rPr>
      <w:color w:val="404040" w:themeColor="text1"/>
    </w:rPr>
    <w:tblPr>
      <w:tblStyleRowBandSize w:val="1"/>
      <w:tblStyleColBandSize w:val="1"/>
    </w:tblPr>
    <w:tcPr>
      <w:shd w:val="clear" w:color="auto" w:fill="FBE7E8" w:themeFill="accent4" w:themeFillTint="19"/>
    </w:tcPr>
    <w:tblStylePr w:type="firstRow">
      <w:rPr>
        <w:b/>
        <w:bCs/>
        <w:color w:val="FFFFFF" w:themeColor="background1"/>
      </w:rPr>
      <w:tblPr/>
      <w:tcPr>
        <w:tcBorders>
          <w:bottom w:val="single" w:sz="12" w:space="0" w:color="FFFFFF" w:themeColor="background1"/>
        </w:tcBorders>
        <w:shd w:val="clear" w:color="auto" w:fill="4F5051" w:themeFill="accent3" w:themeFillShade="CC"/>
      </w:tcPr>
    </w:tblStylePr>
    <w:tblStylePr w:type="lastRow">
      <w:rPr>
        <w:b/>
        <w:bCs/>
        <w:color w:val="4F5051" w:themeColor="accent3"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4C7" w:themeFill="accent4" w:themeFillTint="3F"/>
      </w:tcPr>
    </w:tblStylePr>
    <w:tblStylePr w:type="band1Horz">
      <w:tblPr/>
      <w:tcPr>
        <w:shd w:val="clear" w:color="auto" w:fill="F7CFD2" w:themeFill="accent4" w:themeFillTint="33"/>
      </w:tcPr>
    </w:tblStylePr>
  </w:style>
  <w:style w:type="table" w:styleId="ColorfulList-Accent5">
    <w:name w:val="Colorful List Accent 5"/>
    <w:basedOn w:val="TableNormal"/>
    <w:uiPriority w:val="72"/>
    <w:semiHidden/>
    <w:unhideWhenUsed/>
    <w:rsid w:val="00F527CC"/>
    <w:pPr>
      <w:spacing w:after="0" w:line="240" w:lineRule="auto"/>
    </w:pPr>
    <w:rPr>
      <w:color w:val="404040" w:themeColor="text1"/>
    </w:rPr>
    <w:tblPr>
      <w:tblStyleRowBandSize w:val="1"/>
      <w:tblStyleColBandSize w:val="1"/>
    </w:tblPr>
    <w:tcPr>
      <w:shd w:val="clear" w:color="auto" w:fill="DDEEFF" w:themeFill="accent5" w:themeFillTint="19"/>
    </w:tcPr>
    <w:tblStylePr w:type="firstRow">
      <w:rPr>
        <w:b/>
        <w:bCs/>
        <w:color w:val="FFFFFF" w:themeColor="background1"/>
      </w:rPr>
      <w:tblPr/>
      <w:tcPr>
        <w:tcBorders>
          <w:bottom w:val="single" w:sz="12" w:space="0" w:color="FFFFFF" w:themeColor="background1"/>
        </w:tcBorders>
        <w:shd w:val="clear" w:color="auto" w:fill="E78D00" w:themeFill="accent6" w:themeFillShade="CC"/>
      </w:tcPr>
    </w:tblStylePr>
    <w:tblStylePr w:type="lastRow">
      <w:rPr>
        <w:b/>
        <w:bCs/>
        <w:color w:val="E78D00" w:themeColor="accent6"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D4FF" w:themeFill="accent5" w:themeFillTint="3F"/>
      </w:tcPr>
    </w:tblStylePr>
    <w:tblStylePr w:type="band1Horz">
      <w:tblPr/>
      <w:tcPr>
        <w:shd w:val="clear" w:color="auto" w:fill="BBDCFF" w:themeFill="accent5" w:themeFillTint="33"/>
      </w:tcPr>
    </w:tblStylePr>
  </w:style>
  <w:style w:type="table" w:styleId="ColorfulList-Accent6">
    <w:name w:val="Colorful List Accent 6"/>
    <w:basedOn w:val="TableNormal"/>
    <w:uiPriority w:val="72"/>
    <w:semiHidden/>
    <w:unhideWhenUsed/>
    <w:rsid w:val="00F527CC"/>
    <w:pPr>
      <w:spacing w:after="0" w:line="240" w:lineRule="auto"/>
    </w:pPr>
    <w:rPr>
      <w:color w:val="404040" w:themeColor="text1"/>
    </w:rPr>
    <w:tblPr>
      <w:tblStyleRowBandSize w:val="1"/>
      <w:tblStyleColBandSize w:val="1"/>
    </w:tblPr>
    <w:tcPr>
      <w:shd w:val="clear" w:color="auto" w:fill="FFF6E9" w:themeFill="accent6" w:themeFillTint="19"/>
    </w:tcPr>
    <w:tblStylePr w:type="firstRow">
      <w:rPr>
        <w:b/>
        <w:bCs/>
        <w:color w:val="FFFFFF" w:themeColor="background1"/>
      </w:rPr>
      <w:tblPr/>
      <w:tcPr>
        <w:tcBorders>
          <w:bottom w:val="single" w:sz="12" w:space="0" w:color="FFFFFF" w:themeColor="background1"/>
        </w:tcBorders>
        <w:shd w:val="clear" w:color="auto" w:fill="004388" w:themeFill="accent5" w:themeFillShade="CC"/>
      </w:tcPr>
    </w:tblStylePr>
    <w:tblStylePr w:type="lastRow">
      <w:rPr>
        <w:b/>
        <w:bCs/>
        <w:color w:val="004388" w:themeColor="accent5"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9C8" w:themeFill="accent6" w:themeFillTint="3F"/>
      </w:tcPr>
    </w:tblStylePr>
    <w:tblStylePr w:type="band1Horz">
      <w:tblPr/>
      <w:tcPr>
        <w:shd w:val="clear" w:color="auto" w:fill="FFEDD2" w:themeFill="accent6" w:themeFillTint="33"/>
      </w:tcPr>
    </w:tblStylePr>
  </w:style>
  <w:style w:type="table" w:styleId="ColorfulShading">
    <w:name w:val="Colorful Shading"/>
    <w:basedOn w:val="TableNormal"/>
    <w:uiPriority w:val="71"/>
    <w:semiHidden/>
    <w:unhideWhenUsed/>
    <w:rsid w:val="00F527CC"/>
    <w:pPr>
      <w:spacing w:after="0" w:line="240" w:lineRule="auto"/>
    </w:pPr>
    <w:rPr>
      <w:color w:val="404040" w:themeColor="text1"/>
    </w:rPr>
    <w:tblPr>
      <w:tblStyleRowBandSize w:val="1"/>
      <w:tblStyleColBandSize w:val="1"/>
      <w:tblBorders>
        <w:top w:val="single" w:sz="24" w:space="0" w:color="939598" w:themeColor="accent2"/>
        <w:left w:val="single" w:sz="4" w:space="0" w:color="404040" w:themeColor="text1"/>
        <w:bottom w:val="single" w:sz="4" w:space="0" w:color="404040" w:themeColor="text1"/>
        <w:right w:val="single" w:sz="4" w:space="0" w:color="404040" w:themeColor="text1"/>
        <w:insideH w:val="single" w:sz="4" w:space="0" w:color="FFFFFF" w:themeColor="background1"/>
        <w:insideV w:val="single" w:sz="4" w:space="0" w:color="FFFFFF" w:themeColor="background1"/>
      </w:tblBorders>
    </w:tblPr>
    <w:tcPr>
      <w:shd w:val="clear" w:color="auto" w:fill="ECECEC" w:themeFill="text1" w:themeFillTint="19"/>
    </w:tcPr>
    <w:tblStylePr w:type="firstRow">
      <w:rPr>
        <w:b/>
        <w:bCs/>
      </w:rPr>
      <w:tblPr/>
      <w:tcPr>
        <w:tcBorders>
          <w:top w:val="nil"/>
          <w:left w:val="nil"/>
          <w:bottom w:val="single" w:sz="24" w:space="0" w:color="93959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6" w:themeFill="text1" w:themeFillShade="99"/>
      </w:tcPr>
    </w:tblStylePr>
    <w:tblStylePr w:type="firstCol">
      <w:rPr>
        <w:color w:val="FFFFFF" w:themeColor="background1"/>
      </w:rPr>
      <w:tblPr/>
      <w:tcPr>
        <w:tcBorders>
          <w:top w:val="nil"/>
          <w:left w:val="nil"/>
          <w:bottom w:val="nil"/>
          <w:right w:val="nil"/>
          <w:insideH w:val="single" w:sz="4" w:space="0" w:color="262626" w:themeColor="text1" w:themeShade="99"/>
          <w:insideV w:val="nil"/>
        </w:tcBorders>
        <w:shd w:val="clear" w:color="auto" w:fill="262626"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F2F2F" w:themeFill="text1" w:themeFillShade="BF"/>
      </w:tcPr>
    </w:tblStylePr>
    <w:tblStylePr w:type="band1Vert">
      <w:tblPr/>
      <w:tcPr>
        <w:shd w:val="clear" w:color="auto" w:fill="B2B2B2" w:themeFill="text1" w:themeFillTint="66"/>
      </w:tcPr>
    </w:tblStylePr>
    <w:tblStylePr w:type="band1Horz">
      <w:tblPr/>
      <w:tcPr>
        <w:shd w:val="clear" w:color="auto" w:fill="9F9F9F" w:themeFill="text1" w:themeFillTint="7F"/>
      </w:tcPr>
    </w:tblStylePr>
    <w:tblStylePr w:type="neCell">
      <w:rPr>
        <w:color w:val="404040" w:themeColor="text1"/>
      </w:rPr>
    </w:tblStylePr>
    <w:tblStylePr w:type="nwCell">
      <w:rPr>
        <w:color w:val="404040" w:themeColor="text1"/>
      </w:rPr>
    </w:tblStylePr>
  </w:style>
  <w:style w:type="table" w:styleId="ColorfulShading-Accent1">
    <w:name w:val="Colorful Shading Accent 1"/>
    <w:basedOn w:val="TableNormal"/>
    <w:uiPriority w:val="71"/>
    <w:semiHidden/>
    <w:unhideWhenUsed/>
    <w:rsid w:val="00F527CC"/>
    <w:pPr>
      <w:spacing w:after="0" w:line="240" w:lineRule="auto"/>
    </w:pPr>
    <w:rPr>
      <w:color w:val="404040" w:themeColor="text1"/>
    </w:rPr>
    <w:tblPr>
      <w:tblStyleRowBandSize w:val="1"/>
      <w:tblStyleColBandSize w:val="1"/>
      <w:tblBorders>
        <w:top w:val="single" w:sz="24" w:space="0" w:color="939598" w:themeColor="accent2"/>
        <w:left w:val="single" w:sz="4" w:space="0" w:color="C7C8CA" w:themeColor="accent1"/>
        <w:bottom w:val="single" w:sz="4" w:space="0" w:color="C7C8CA" w:themeColor="accent1"/>
        <w:right w:val="single" w:sz="4" w:space="0" w:color="C7C8CA" w:themeColor="accent1"/>
        <w:insideH w:val="single" w:sz="4" w:space="0" w:color="FFFFFF" w:themeColor="background1"/>
        <w:insideV w:val="single" w:sz="4" w:space="0" w:color="FFFFFF" w:themeColor="background1"/>
      </w:tblBorders>
    </w:tblPr>
    <w:tcPr>
      <w:shd w:val="clear" w:color="auto" w:fill="F9F9F9" w:themeFill="accent1" w:themeFillTint="19"/>
    </w:tcPr>
    <w:tblStylePr w:type="firstRow">
      <w:rPr>
        <w:b/>
        <w:bCs/>
      </w:rPr>
      <w:tblPr/>
      <w:tcPr>
        <w:tcBorders>
          <w:top w:val="nil"/>
          <w:left w:val="nil"/>
          <w:bottom w:val="single" w:sz="24" w:space="0" w:color="93959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77B" w:themeFill="accent1" w:themeFillShade="99"/>
      </w:tcPr>
    </w:tblStylePr>
    <w:tblStylePr w:type="firstCol">
      <w:rPr>
        <w:color w:val="FFFFFF" w:themeColor="background1"/>
      </w:rPr>
      <w:tblPr/>
      <w:tcPr>
        <w:tcBorders>
          <w:top w:val="nil"/>
          <w:left w:val="nil"/>
          <w:bottom w:val="nil"/>
          <w:right w:val="nil"/>
          <w:insideH w:val="single" w:sz="4" w:space="0" w:color="75777B" w:themeColor="accent1" w:themeShade="99"/>
          <w:insideV w:val="nil"/>
        </w:tcBorders>
        <w:shd w:val="clear" w:color="auto" w:fill="7577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5777B" w:themeFill="accent1" w:themeFillShade="99"/>
      </w:tcPr>
    </w:tblStylePr>
    <w:tblStylePr w:type="band1Vert">
      <w:tblPr/>
      <w:tcPr>
        <w:shd w:val="clear" w:color="auto" w:fill="E8E8E9" w:themeFill="accent1" w:themeFillTint="66"/>
      </w:tcPr>
    </w:tblStylePr>
    <w:tblStylePr w:type="band1Horz">
      <w:tblPr/>
      <w:tcPr>
        <w:shd w:val="clear" w:color="auto" w:fill="E3E3E4" w:themeFill="accent1" w:themeFillTint="7F"/>
      </w:tcPr>
    </w:tblStylePr>
    <w:tblStylePr w:type="neCell">
      <w:rPr>
        <w:color w:val="404040" w:themeColor="text1"/>
      </w:rPr>
    </w:tblStylePr>
    <w:tblStylePr w:type="nwCell">
      <w:rPr>
        <w:color w:val="404040" w:themeColor="text1"/>
      </w:rPr>
    </w:tblStylePr>
  </w:style>
  <w:style w:type="table" w:styleId="ColorfulShading-Accent2">
    <w:name w:val="Colorful Shading Accent 2"/>
    <w:basedOn w:val="TableNormal"/>
    <w:uiPriority w:val="71"/>
    <w:semiHidden/>
    <w:unhideWhenUsed/>
    <w:rsid w:val="00F527CC"/>
    <w:pPr>
      <w:spacing w:after="0" w:line="240" w:lineRule="auto"/>
    </w:pPr>
    <w:rPr>
      <w:color w:val="404040" w:themeColor="text1"/>
    </w:rPr>
    <w:tblPr>
      <w:tblStyleRowBandSize w:val="1"/>
      <w:tblStyleColBandSize w:val="1"/>
      <w:tblBorders>
        <w:top w:val="single" w:sz="24" w:space="0" w:color="939598" w:themeColor="accent2"/>
        <w:left w:val="single" w:sz="4" w:space="0" w:color="939598" w:themeColor="accent2"/>
        <w:bottom w:val="single" w:sz="4" w:space="0" w:color="939598" w:themeColor="accent2"/>
        <w:right w:val="single" w:sz="4" w:space="0" w:color="939598" w:themeColor="accent2"/>
        <w:insideH w:val="single" w:sz="4" w:space="0" w:color="FFFFFF" w:themeColor="background1"/>
        <w:insideV w:val="single" w:sz="4" w:space="0" w:color="FFFFFF" w:themeColor="background1"/>
      </w:tblBorders>
    </w:tblPr>
    <w:tcPr>
      <w:shd w:val="clear" w:color="auto" w:fill="F4F4F4" w:themeFill="accent2" w:themeFillTint="19"/>
    </w:tcPr>
    <w:tblStylePr w:type="firstRow">
      <w:rPr>
        <w:b/>
        <w:bCs/>
      </w:rPr>
      <w:tblPr/>
      <w:tcPr>
        <w:tcBorders>
          <w:top w:val="nil"/>
          <w:left w:val="nil"/>
          <w:bottom w:val="single" w:sz="24" w:space="0" w:color="93959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595B" w:themeFill="accent2" w:themeFillShade="99"/>
      </w:tcPr>
    </w:tblStylePr>
    <w:tblStylePr w:type="firstCol">
      <w:rPr>
        <w:color w:val="FFFFFF" w:themeColor="background1"/>
      </w:rPr>
      <w:tblPr/>
      <w:tcPr>
        <w:tcBorders>
          <w:top w:val="nil"/>
          <w:left w:val="nil"/>
          <w:bottom w:val="nil"/>
          <w:right w:val="nil"/>
          <w:insideH w:val="single" w:sz="4" w:space="0" w:color="57595B" w:themeColor="accent2" w:themeShade="99"/>
          <w:insideV w:val="nil"/>
        </w:tcBorders>
        <w:shd w:val="clear" w:color="auto" w:fill="57595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595B" w:themeFill="accent2" w:themeFillShade="99"/>
      </w:tcPr>
    </w:tblStylePr>
    <w:tblStylePr w:type="band1Vert">
      <w:tblPr/>
      <w:tcPr>
        <w:shd w:val="clear" w:color="auto" w:fill="D3D4D5" w:themeFill="accent2" w:themeFillTint="66"/>
      </w:tcPr>
    </w:tblStylePr>
    <w:tblStylePr w:type="band1Horz">
      <w:tblPr/>
      <w:tcPr>
        <w:shd w:val="clear" w:color="auto" w:fill="C9CACB" w:themeFill="accent2" w:themeFillTint="7F"/>
      </w:tcPr>
    </w:tblStylePr>
    <w:tblStylePr w:type="neCell">
      <w:rPr>
        <w:color w:val="404040" w:themeColor="text1"/>
      </w:rPr>
    </w:tblStylePr>
    <w:tblStylePr w:type="nwCell">
      <w:rPr>
        <w:color w:val="404040" w:themeColor="text1"/>
      </w:rPr>
    </w:tblStylePr>
  </w:style>
  <w:style w:type="table" w:styleId="ColorfulShading-Accent3">
    <w:name w:val="Colorful Shading Accent 3"/>
    <w:basedOn w:val="TableNormal"/>
    <w:uiPriority w:val="71"/>
    <w:semiHidden/>
    <w:unhideWhenUsed/>
    <w:rsid w:val="00F527CC"/>
    <w:pPr>
      <w:spacing w:after="0" w:line="240" w:lineRule="auto"/>
    </w:pPr>
    <w:rPr>
      <w:color w:val="404040" w:themeColor="text1"/>
    </w:rPr>
    <w:tblPr>
      <w:tblStyleRowBandSize w:val="1"/>
      <w:tblStyleColBandSize w:val="1"/>
      <w:tblBorders>
        <w:top w:val="single" w:sz="24" w:space="0" w:color="CD202C" w:themeColor="accent4"/>
        <w:left w:val="single" w:sz="4" w:space="0" w:color="636466" w:themeColor="accent3"/>
        <w:bottom w:val="single" w:sz="4" w:space="0" w:color="636466" w:themeColor="accent3"/>
        <w:right w:val="single" w:sz="4" w:space="0" w:color="636466" w:themeColor="accent3"/>
        <w:insideH w:val="single" w:sz="4" w:space="0" w:color="FFFFFF" w:themeColor="background1"/>
        <w:insideV w:val="single" w:sz="4" w:space="0" w:color="FFFFFF" w:themeColor="background1"/>
      </w:tblBorders>
    </w:tblPr>
    <w:tcPr>
      <w:shd w:val="clear" w:color="auto" w:fill="EFEFF0" w:themeFill="accent3" w:themeFillTint="19"/>
    </w:tcPr>
    <w:tblStylePr w:type="firstRow">
      <w:rPr>
        <w:b/>
        <w:bCs/>
      </w:rPr>
      <w:tblPr/>
      <w:tcPr>
        <w:tcBorders>
          <w:top w:val="nil"/>
          <w:left w:val="nil"/>
          <w:bottom w:val="single" w:sz="24" w:space="0" w:color="CD202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3B3D" w:themeFill="accent3" w:themeFillShade="99"/>
      </w:tcPr>
    </w:tblStylePr>
    <w:tblStylePr w:type="firstCol">
      <w:rPr>
        <w:color w:val="FFFFFF" w:themeColor="background1"/>
      </w:rPr>
      <w:tblPr/>
      <w:tcPr>
        <w:tcBorders>
          <w:top w:val="nil"/>
          <w:left w:val="nil"/>
          <w:bottom w:val="nil"/>
          <w:right w:val="nil"/>
          <w:insideH w:val="single" w:sz="4" w:space="0" w:color="3B3B3D" w:themeColor="accent3" w:themeShade="99"/>
          <w:insideV w:val="nil"/>
        </w:tcBorders>
        <w:shd w:val="clear" w:color="auto" w:fill="3B3B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3B3D" w:themeFill="accent3" w:themeFillShade="99"/>
      </w:tcPr>
    </w:tblStylePr>
    <w:tblStylePr w:type="band1Vert">
      <w:tblPr/>
      <w:tcPr>
        <w:shd w:val="clear" w:color="auto" w:fill="C0C0C2" w:themeFill="accent3" w:themeFillTint="66"/>
      </w:tcPr>
    </w:tblStylePr>
    <w:tblStylePr w:type="band1Horz">
      <w:tblPr/>
      <w:tcPr>
        <w:shd w:val="clear" w:color="auto" w:fill="B0B1B3" w:themeFill="accent3" w:themeFillTint="7F"/>
      </w:tcPr>
    </w:tblStylePr>
  </w:style>
  <w:style w:type="table" w:styleId="ColorfulShading-Accent4">
    <w:name w:val="Colorful Shading Accent 4"/>
    <w:basedOn w:val="TableNormal"/>
    <w:uiPriority w:val="71"/>
    <w:semiHidden/>
    <w:unhideWhenUsed/>
    <w:rsid w:val="00F527CC"/>
    <w:pPr>
      <w:spacing w:after="0" w:line="240" w:lineRule="auto"/>
    </w:pPr>
    <w:rPr>
      <w:color w:val="404040" w:themeColor="text1"/>
    </w:rPr>
    <w:tblPr>
      <w:tblStyleRowBandSize w:val="1"/>
      <w:tblStyleColBandSize w:val="1"/>
      <w:tblBorders>
        <w:top w:val="single" w:sz="24" w:space="0" w:color="636466" w:themeColor="accent3"/>
        <w:left w:val="single" w:sz="4" w:space="0" w:color="CD202C" w:themeColor="accent4"/>
        <w:bottom w:val="single" w:sz="4" w:space="0" w:color="CD202C" w:themeColor="accent4"/>
        <w:right w:val="single" w:sz="4" w:space="0" w:color="CD202C" w:themeColor="accent4"/>
        <w:insideH w:val="single" w:sz="4" w:space="0" w:color="FFFFFF" w:themeColor="background1"/>
        <w:insideV w:val="single" w:sz="4" w:space="0" w:color="FFFFFF" w:themeColor="background1"/>
      </w:tblBorders>
    </w:tblPr>
    <w:tcPr>
      <w:shd w:val="clear" w:color="auto" w:fill="FBE7E8" w:themeFill="accent4" w:themeFillTint="19"/>
    </w:tcPr>
    <w:tblStylePr w:type="firstRow">
      <w:rPr>
        <w:b/>
        <w:bCs/>
      </w:rPr>
      <w:tblPr/>
      <w:tcPr>
        <w:tcBorders>
          <w:top w:val="nil"/>
          <w:left w:val="nil"/>
          <w:bottom w:val="single" w:sz="24" w:space="0" w:color="63646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131A" w:themeFill="accent4" w:themeFillShade="99"/>
      </w:tcPr>
    </w:tblStylePr>
    <w:tblStylePr w:type="firstCol">
      <w:rPr>
        <w:color w:val="FFFFFF" w:themeColor="background1"/>
      </w:rPr>
      <w:tblPr/>
      <w:tcPr>
        <w:tcBorders>
          <w:top w:val="nil"/>
          <w:left w:val="nil"/>
          <w:bottom w:val="nil"/>
          <w:right w:val="nil"/>
          <w:insideH w:val="single" w:sz="4" w:space="0" w:color="7A131A" w:themeColor="accent4" w:themeShade="99"/>
          <w:insideV w:val="nil"/>
        </w:tcBorders>
        <w:shd w:val="clear" w:color="auto" w:fill="7A131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A131A" w:themeFill="accent4" w:themeFillShade="99"/>
      </w:tcPr>
    </w:tblStylePr>
    <w:tblStylePr w:type="band1Vert">
      <w:tblPr/>
      <w:tcPr>
        <w:shd w:val="clear" w:color="auto" w:fill="F0A0A5" w:themeFill="accent4" w:themeFillTint="66"/>
      </w:tcPr>
    </w:tblStylePr>
    <w:tblStylePr w:type="band1Horz">
      <w:tblPr/>
      <w:tcPr>
        <w:shd w:val="clear" w:color="auto" w:fill="EC898F" w:themeFill="accent4" w:themeFillTint="7F"/>
      </w:tcPr>
    </w:tblStylePr>
    <w:tblStylePr w:type="neCell">
      <w:rPr>
        <w:color w:val="404040" w:themeColor="text1"/>
      </w:rPr>
    </w:tblStylePr>
    <w:tblStylePr w:type="nwCell">
      <w:rPr>
        <w:color w:val="404040" w:themeColor="text1"/>
      </w:rPr>
    </w:tblStylePr>
  </w:style>
  <w:style w:type="table" w:styleId="ColorfulShading-Accent5">
    <w:name w:val="Colorful Shading Accent 5"/>
    <w:basedOn w:val="TableNormal"/>
    <w:uiPriority w:val="71"/>
    <w:semiHidden/>
    <w:unhideWhenUsed/>
    <w:rsid w:val="00F527CC"/>
    <w:pPr>
      <w:spacing w:after="0" w:line="240" w:lineRule="auto"/>
    </w:pPr>
    <w:rPr>
      <w:color w:val="404040" w:themeColor="text1"/>
    </w:rPr>
    <w:tblPr>
      <w:tblStyleRowBandSize w:val="1"/>
      <w:tblStyleColBandSize w:val="1"/>
      <w:tblBorders>
        <w:top w:val="single" w:sz="24" w:space="0" w:color="FFAA22" w:themeColor="accent6"/>
        <w:left w:val="single" w:sz="4" w:space="0" w:color="0055AA" w:themeColor="accent5"/>
        <w:bottom w:val="single" w:sz="4" w:space="0" w:color="0055AA" w:themeColor="accent5"/>
        <w:right w:val="single" w:sz="4" w:space="0" w:color="0055AA" w:themeColor="accent5"/>
        <w:insideH w:val="single" w:sz="4" w:space="0" w:color="FFFFFF" w:themeColor="background1"/>
        <w:insideV w:val="single" w:sz="4" w:space="0" w:color="FFFFFF" w:themeColor="background1"/>
      </w:tblBorders>
    </w:tblPr>
    <w:tcPr>
      <w:shd w:val="clear" w:color="auto" w:fill="DDEEFF" w:themeFill="accent5" w:themeFillTint="19"/>
    </w:tcPr>
    <w:tblStylePr w:type="firstRow">
      <w:rPr>
        <w:b/>
        <w:bCs/>
      </w:rPr>
      <w:tblPr/>
      <w:tcPr>
        <w:tcBorders>
          <w:top w:val="nil"/>
          <w:left w:val="nil"/>
          <w:bottom w:val="single" w:sz="24" w:space="0" w:color="FFAA2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266" w:themeFill="accent5" w:themeFillShade="99"/>
      </w:tcPr>
    </w:tblStylePr>
    <w:tblStylePr w:type="firstCol">
      <w:rPr>
        <w:color w:val="FFFFFF" w:themeColor="background1"/>
      </w:rPr>
      <w:tblPr/>
      <w:tcPr>
        <w:tcBorders>
          <w:top w:val="nil"/>
          <w:left w:val="nil"/>
          <w:bottom w:val="nil"/>
          <w:right w:val="nil"/>
          <w:insideH w:val="single" w:sz="4" w:space="0" w:color="003266" w:themeColor="accent5" w:themeShade="99"/>
          <w:insideV w:val="nil"/>
        </w:tcBorders>
        <w:shd w:val="clear" w:color="auto" w:fill="00326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3266" w:themeFill="accent5" w:themeFillShade="99"/>
      </w:tcPr>
    </w:tblStylePr>
    <w:tblStylePr w:type="band1Vert">
      <w:tblPr/>
      <w:tcPr>
        <w:shd w:val="clear" w:color="auto" w:fill="77BAFF" w:themeFill="accent5" w:themeFillTint="66"/>
      </w:tcPr>
    </w:tblStylePr>
    <w:tblStylePr w:type="band1Horz">
      <w:tblPr/>
      <w:tcPr>
        <w:shd w:val="clear" w:color="auto" w:fill="55AAFF" w:themeFill="accent5" w:themeFillTint="7F"/>
      </w:tcPr>
    </w:tblStylePr>
    <w:tblStylePr w:type="neCell">
      <w:rPr>
        <w:color w:val="404040" w:themeColor="text1"/>
      </w:rPr>
    </w:tblStylePr>
    <w:tblStylePr w:type="nwCell">
      <w:rPr>
        <w:color w:val="404040" w:themeColor="text1"/>
      </w:rPr>
    </w:tblStylePr>
  </w:style>
  <w:style w:type="table" w:styleId="ColorfulShading-Accent6">
    <w:name w:val="Colorful Shading Accent 6"/>
    <w:basedOn w:val="TableNormal"/>
    <w:uiPriority w:val="71"/>
    <w:semiHidden/>
    <w:unhideWhenUsed/>
    <w:rsid w:val="00F527CC"/>
    <w:pPr>
      <w:spacing w:after="0" w:line="240" w:lineRule="auto"/>
    </w:pPr>
    <w:rPr>
      <w:color w:val="404040" w:themeColor="text1"/>
    </w:rPr>
    <w:tblPr>
      <w:tblStyleRowBandSize w:val="1"/>
      <w:tblStyleColBandSize w:val="1"/>
      <w:tblBorders>
        <w:top w:val="single" w:sz="24" w:space="0" w:color="0055AA" w:themeColor="accent5"/>
        <w:left w:val="single" w:sz="4" w:space="0" w:color="FFAA22" w:themeColor="accent6"/>
        <w:bottom w:val="single" w:sz="4" w:space="0" w:color="FFAA22" w:themeColor="accent6"/>
        <w:right w:val="single" w:sz="4" w:space="0" w:color="FFAA22" w:themeColor="accent6"/>
        <w:insideH w:val="single" w:sz="4" w:space="0" w:color="FFFFFF" w:themeColor="background1"/>
        <w:insideV w:val="single" w:sz="4" w:space="0" w:color="FFFFFF" w:themeColor="background1"/>
      </w:tblBorders>
    </w:tblPr>
    <w:tcPr>
      <w:shd w:val="clear" w:color="auto" w:fill="FFF6E9" w:themeFill="accent6" w:themeFillTint="19"/>
    </w:tcPr>
    <w:tblStylePr w:type="firstRow">
      <w:rPr>
        <w:b/>
        <w:bCs/>
      </w:rPr>
      <w:tblPr/>
      <w:tcPr>
        <w:tcBorders>
          <w:top w:val="nil"/>
          <w:left w:val="nil"/>
          <w:bottom w:val="single" w:sz="24" w:space="0" w:color="0055A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D6A00" w:themeFill="accent6" w:themeFillShade="99"/>
      </w:tcPr>
    </w:tblStylePr>
    <w:tblStylePr w:type="firstCol">
      <w:rPr>
        <w:color w:val="FFFFFF" w:themeColor="background1"/>
      </w:rPr>
      <w:tblPr/>
      <w:tcPr>
        <w:tcBorders>
          <w:top w:val="nil"/>
          <w:left w:val="nil"/>
          <w:bottom w:val="nil"/>
          <w:right w:val="nil"/>
          <w:insideH w:val="single" w:sz="4" w:space="0" w:color="AD6A00" w:themeColor="accent6" w:themeShade="99"/>
          <w:insideV w:val="nil"/>
        </w:tcBorders>
        <w:shd w:val="clear" w:color="auto" w:fill="AD6A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D6A00" w:themeFill="accent6" w:themeFillShade="99"/>
      </w:tcPr>
    </w:tblStylePr>
    <w:tblStylePr w:type="band1Vert">
      <w:tblPr/>
      <w:tcPr>
        <w:shd w:val="clear" w:color="auto" w:fill="FFDCA6" w:themeFill="accent6" w:themeFillTint="66"/>
      </w:tcPr>
    </w:tblStylePr>
    <w:tblStylePr w:type="band1Horz">
      <w:tblPr/>
      <w:tcPr>
        <w:shd w:val="clear" w:color="auto" w:fill="FFD490" w:themeFill="accent6" w:themeFillTint="7F"/>
      </w:tcPr>
    </w:tblStylePr>
    <w:tblStylePr w:type="neCell">
      <w:rPr>
        <w:color w:val="404040" w:themeColor="text1"/>
      </w:rPr>
    </w:tblStylePr>
    <w:tblStylePr w:type="nwCell">
      <w:rPr>
        <w:color w:val="404040" w:themeColor="text1"/>
      </w:rPr>
    </w:tblStylePr>
  </w:style>
  <w:style w:type="character" w:styleId="CommentReference">
    <w:name w:val="annotation reference"/>
    <w:basedOn w:val="DefaultParagraphFont"/>
    <w:uiPriority w:val="99"/>
    <w:unhideWhenUsed/>
    <w:rsid w:val="00F527CC"/>
    <w:rPr>
      <w:sz w:val="16"/>
      <w:szCs w:val="16"/>
      <w:lang w:val="en-US"/>
    </w:rPr>
  </w:style>
  <w:style w:type="paragraph" w:styleId="CommentText">
    <w:name w:val="annotation text"/>
    <w:basedOn w:val="Normal"/>
    <w:link w:val="CommentTextChar"/>
    <w:uiPriority w:val="99"/>
    <w:unhideWhenUsed/>
    <w:rsid w:val="00F527CC"/>
    <w:pPr>
      <w:spacing w:line="240" w:lineRule="auto"/>
    </w:pPr>
    <w:rPr>
      <w:sz w:val="20"/>
      <w:szCs w:val="20"/>
    </w:rPr>
  </w:style>
  <w:style w:type="character" w:customStyle="1" w:styleId="CommentTextChar">
    <w:name w:val="Comment Text Char"/>
    <w:basedOn w:val="DefaultParagraphFont"/>
    <w:link w:val="CommentText"/>
    <w:uiPriority w:val="99"/>
    <w:rsid w:val="00F527CC"/>
    <w:rPr>
      <w:sz w:val="20"/>
      <w:szCs w:val="20"/>
      <w:lang w:val="en-US"/>
    </w:rPr>
  </w:style>
  <w:style w:type="paragraph" w:styleId="CommentSubject">
    <w:name w:val="annotation subject"/>
    <w:basedOn w:val="CommentText"/>
    <w:next w:val="CommentText"/>
    <w:link w:val="CommentSubjectChar"/>
    <w:uiPriority w:val="99"/>
    <w:semiHidden/>
    <w:unhideWhenUsed/>
    <w:rsid w:val="00F527CC"/>
    <w:rPr>
      <w:b/>
      <w:bCs/>
    </w:rPr>
  </w:style>
  <w:style w:type="character" w:customStyle="1" w:styleId="CommentSubjectChar">
    <w:name w:val="Comment Subject Char"/>
    <w:basedOn w:val="CommentTextChar"/>
    <w:link w:val="CommentSubject"/>
    <w:uiPriority w:val="99"/>
    <w:semiHidden/>
    <w:rsid w:val="00F527CC"/>
    <w:rPr>
      <w:b/>
      <w:bCs/>
      <w:sz w:val="20"/>
      <w:szCs w:val="20"/>
      <w:lang w:val="en-US"/>
    </w:rPr>
  </w:style>
  <w:style w:type="table" w:styleId="DarkList">
    <w:name w:val="Dark List"/>
    <w:basedOn w:val="TableNormal"/>
    <w:uiPriority w:val="70"/>
    <w:semiHidden/>
    <w:unhideWhenUsed/>
    <w:rsid w:val="00F527CC"/>
    <w:pPr>
      <w:spacing w:after="0" w:line="240" w:lineRule="auto"/>
    </w:pPr>
    <w:rPr>
      <w:color w:val="FFFFFF" w:themeColor="background1"/>
    </w:rPr>
    <w:tblPr>
      <w:tblStyleRowBandSize w:val="1"/>
      <w:tblStyleColBandSize w:val="1"/>
    </w:tblPr>
    <w:tcPr>
      <w:shd w:val="clear" w:color="auto" w:fill="404040" w:themeFill="text1"/>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1F1F1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F2F2F"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F2F2F" w:themeFill="text1" w:themeFillShade="BF"/>
      </w:tcPr>
    </w:tblStylePr>
    <w:tblStylePr w:type="band1Vert">
      <w:tblPr/>
      <w:tcPr>
        <w:tcBorders>
          <w:top w:val="nil"/>
          <w:left w:val="nil"/>
          <w:bottom w:val="nil"/>
          <w:right w:val="nil"/>
          <w:insideH w:val="nil"/>
          <w:insideV w:val="nil"/>
        </w:tcBorders>
        <w:shd w:val="clear" w:color="auto" w:fill="2F2F2F" w:themeFill="text1" w:themeFillShade="BF"/>
      </w:tcPr>
    </w:tblStylePr>
    <w:tblStylePr w:type="band1Horz">
      <w:tblPr/>
      <w:tcPr>
        <w:tcBorders>
          <w:top w:val="nil"/>
          <w:left w:val="nil"/>
          <w:bottom w:val="nil"/>
          <w:right w:val="nil"/>
          <w:insideH w:val="nil"/>
          <w:insideV w:val="nil"/>
        </w:tcBorders>
        <w:shd w:val="clear" w:color="auto" w:fill="2F2F2F" w:themeFill="text1" w:themeFillShade="BF"/>
      </w:tcPr>
    </w:tblStylePr>
  </w:style>
  <w:style w:type="table" w:styleId="DarkList-Accent1">
    <w:name w:val="Dark List Accent 1"/>
    <w:basedOn w:val="TableNormal"/>
    <w:uiPriority w:val="70"/>
    <w:semiHidden/>
    <w:unhideWhenUsed/>
    <w:rsid w:val="00F527CC"/>
    <w:pPr>
      <w:spacing w:after="0" w:line="240" w:lineRule="auto"/>
    </w:pPr>
    <w:rPr>
      <w:color w:val="FFFFFF" w:themeColor="background1"/>
    </w:rPr>
    <w:tblPr>
      <w:tblStyleRowBandSize w:val="1"/>
      <w:tblStyleColBandSize w:val="1"/>
    </w:tblPr>
    <w:tcPr>
      <w:shd w:val="clear" w:color="auto" w:fill="C7C8C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6162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3959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39599" w:themeFill="accent1" w:themeFillShade="BF"/>
      </w:tcPr>
    </w:tblStylePr>
    <w:tblStylePr w:type="band1Vert">
      <w:tblPr/>
      <w:tcPr>
        <w:tcBorders>
          <w:top w:val="nil"/>
          <w:left w:val="nil"/>
          <w:bottom w:val="nil"/>
          <w:right w:val="nil"/>
          <w:insideH w:val="nil"/>
          <w:insideV w:val="nil"/>
        </w:tcBorders>
        <w:shd w:val="clear" w:color="auto" w:fill="939599" w:themeFill="accent1" w:themeFillShade="BF"/>
      </w:tcPr>
    </w:tblStylePr>
    <w:tblStylePr w:type="band1Horz">
      <w:tblPr/>
      <w:tcPr>
        <w:tcBorders>
          <w:top w:val="nil"/>
          <w:left w:val="nil"/>
          <w:bottom w:val="nil"/>
          <w:right w:val="nil"/>
          <w:insideH w:val="nil"/>
          <w:insideV w:val="nil"/>
        </w:tcBorders>
        <w:shd w:val="clear" w:color="auto" w:fill="939599" w:themeFill="accent1" w:themeFillShade="BF"/>
      </w:tcPr>
    </w:tblStylePr>
  </w:style>
  <w:style w:type="table" w:styleId="DarkList-Accent2">
    <w:name w:val="Dark List Accent 2"/>
    <w:basedOn w:val="TableNormal"/>
    <w:uiPriority w:val="70"/>
    <w:semiHidden/>
    <w:unhideWhenUsed/>
    <w:rsid w:val="00F527CC"/>
    <w:pPr>
      <w:spacing w:after="0" w:line="240" w:lineRule="auto"/>
    </w:pPr>
    <w:rPr>
      <w:color w:val="FFFFFF" w:themeColor="background1"/>
    </w:rPr>
    <w:tblPr>
      <w:tblStyleRowBandSize w:val="1"/>
      <w:tblStyleColBandSize w:val="1"/>
    </w:tblPr>
    <w:tcPr>
      <w:shd w:val="clear" w:color="auto" w:fill="93959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484A4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6F7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6F72" w:themeFill="accent2" w:themeFillShade="BF"/>
      </w:tcPr>
    </w:tblStylePr>
    <w:tblStylePr w:type="band1Vert">
      <w:tblPr/>
      <w:tcPr>
        <w:tcBorders>
          <w:top w:val="nil"/>
          <w:left w:val="nil"/>
          <w:bottom w:val="nil"/>
          <w:right w:val="nil"/>
          <w:insideH w:val="nil"/>
          <w:insideV w:val="nil"/>
        </w:tcBorders>
        <w:shd w:val="clear" w:color="auto" w:fill="6D6F72" w:themeFill="accent2" w:themeFillShade="BF"/>
      </w:tcPr>
    </w:tblStylePr>
    <w:tblStylePr w:type="band1Horz">
      <w:tblPr/>
      <w:tcPr>
        <w:tcBorders>
          <w:top w:val="nil"/>
          <w:left w:val="nil"/>
          <w:bottom w:val="nil"/>
          <w:right w:val="nil"/>
          <w:insideH w:val="nil"/>
          <w:insideV w:val="nil"/>
        </w:tcBorders>
        <w:shd w:val="clear" w:color="auto" w:fill="6D6F72" w:themeFill="accent2" w:themeFillShade="BF"/>
      </w:tcPr>
    </w:tblStylePr>
  </w:style>
  <w:style w:type="table" w:styleId="DarkList-Accent3">
    <w:name w:val="Dark List Accent 3"/>
    <w:basedOn w:val="TableNormal"/>
    <w:uiPriority w:val="70"/>
    <w:semiHidden/>
    <w:unhideWhenUsed/>
    <w:rsid w:val="00F527CC"/>
    <w:pPr>
      <w:spacing w:after="0" w:line="240" w:lineRule="auto"/>
    </w:pPr>
    <w:rPr>
      <w:color w:val="FFFFFF" w:themeColor="background1"/>
    </w:rPr>
    <w:tblPr>
      <w:tblStyleRowBandSize w:val="1"/>
      <w:tblStyleColBandSize w:val="1"/>
    </w:tblPr>
    <w:tcPr>
      <w:shd w:val="clear" w:color="auto" w:fill="63646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31313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4A4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4A4C" w:themeFill="accent3" w:themeFillShade="BF"/>
      </w:tcPr>
    </w:tblStylePr>
    <w:tblStylePr w:type="band1Vert">
      <w:tblPr/>
      <w:tcPr>
        <w:tcBorders>
          <w:top w:val="nil"/>
          <w:left w:val="nil"/>
          <w:bottom w:val="nil"/>
          <w:right w:val="nil"/>
          <w:insideH w:val="nil"/>
          <w:insideV w:val="nil"/>
        </w:tcBorders>
        <w:shd w:val="clear" w:color="auto" w:fill="4A4A4C" w:themeFill="accent3" w:themeFillShade="BF"/>
      </w:tcPr>
    </w:tblStylePr>
    <w:tblStylePr w:type="band1Horz">
      <w:tblPr/>
      <w:tcPr>
        <w:tcBorders>
          <w:top w:val="nil"/>
          <w:left w:val="nil"/>
          <w:bottom w:val="nil"/>
          <w:right w:val="nil"/>
          <w:insideH w:val="nil"/>
          <w:insideV w:val="nil"/>
        </w:tcBorders>
        <w:shd w:val="clear" w:color="auto" w:fill="4A4A4C" w:themeFill="accent3" w:themeFillShade="BF"/>
      </w:tcPr>
    </w:tblStylePr>
  </w:style>
  <w:style w:type="table" w:styleId="DarkList-Accent4">
    <w:name w:val="Dark List Accent 4"/>
    <w:basedOn w:val="TableNormal"/>
    <w:uiPriority w:val="70"/>
    <w:semiHidden/>
    <w:unhideWhenUsed/>
    <w:rsid w:val="00F527CC"/>
    <w:pPr>
      <w:spacing w:after="0" w:line="240" w:lineRule="auto"/>
    </w:pPr>
    <w:rPr>
      <w:color w:val="FFFFFF" w:themeColor="background1"/>
    </w:rPr>
    <w:tblPr>
      <w:tblStyleRowBandSize w:val="1"/>
      <w:tblStyleColBandSize w:val="1"/>
    </w:tblPr>
    <w:tcPr>
      <w:shd w:val="clear" w:color="auto" w:fill="CD202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66101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9182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91820" w:themeFill="accent4" w:themeFillShade="BF"/>
      </w:tcPr>
    </w:tblStylePr>
    <w:tblStylePr w:type="band1Vert">
      <w:tblPr/>
      <w:tcPr>
        <w:tcBorders>
          <w:top w:val="nil"/>
          <w:left w:val="nil"/>
          <w:bottom w:val="nil"/>
          <w:right w:val="nil"/>
          <w:insideH w:val="nil"/>
          <w:insideV w:val="nil"/>
        </w:tcBorders>
        <w:shd w:val="clear" w:color="auto" w:fill="991820" w:themeFill="accent4" w:themeFillShade="BF"/>
      </w:tcPr>
    </w:tblStylePr>
    <w:tblStylePr w:type="band1Horz">
      <w:tblPr/>
      <w:tcPr>
        <w:tcBorders>
          <w:top w:val="nil"/>
          <w:left w:val="nil"/>
          <w:bottom w:val="nil"/>
          <w:right w:val="nil"/>
          <w:insideH w:val="nil"/>
          <w:insideV w:val="nil"/>
        </w:tcBorders>
        <w:shd w:val="clear" w:color="auto" w:fill="991820" w:themeFill="accent4" w:themeFillShade="BF"/>
      </w:tcPr>
    </w:tblStylePr>
  </w:style>
  <w:style w:type="table" w:styleId="DarkList-Accent5">
    <w:name w:val="Dark List Accent 5"/>
    <w:basedOn w:val="TableNormal"/>
    <w:uiPriority w:val="70"/>
    <w:semiHidden/>
    <w:unhideWhenUsed/>
    <w:rsid w:val="00F527CC"/>
    <w:pPr>
      <w:spacing w:after="0" w:line="240" w:lineRule="auto"/>
    </w:pPr>
    <w:rPr>
      <w:color w:val="FFFFFF" w:themeColor="background1"/>
    </w:rPr>
    <w:tblPr>
      <w:tblStyleRowBandSize w:val="1"/>
      <w:tblStyleColBandSize w:val="1"/>
    </w:tblPr>
    <w:tcPr>
      <w:shd w:val="clear" w:color="auto" w:fill="0055A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002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3F7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3F7F" w:themeFill="accent5" w:themeFillShade="BF"/>
      </w:tcPr>
    </w:tblStylePr>
    <w:tblStylePr w:type="band1Vert">
      <w:tblPr/>
      <w:tcPr>
        <w:tcBorders>
          <w:top w:val="nil"/>
          <w:left w:val="nil"/>
          <w:bottom w:val="nil"/>
          <w:right w:val="nil"/>
          <w:insideH w:val="nil"/>
          <w:insideV w:val="nil"/>
        </w:tcBorders>
        <w:shd w:val="clear" w:color="auto" w:fill="003F7F" w:themeFill="accent5" w:themeFillShade="BF"/>
      </w:tcPr>
    </w:tblStylePr>
    <w:tblStylePr w:type="band1Horz">
      <w:tblPr/>
      <w:tcPr>
        <w:tcBorders>
          <w:top w:val="nil"/>
          <w:left w:val="nil"/>
          <w:bottom w:val="nil"/>
          <w:right w:val="nil"/>
          <w:insideH w:val="nil"/>
          <w:insideV w:val="nil"/>
        </w:tcBorders>
        <w:shd w:val="clear" w:color="auto" w:fill="003F7F" w:themeFill="accent5" w:themeFillShade="BF"/>
      </w:tcPr>
    </w:tblStylePr>
  </w:style>
  <w:style w:type="table" w:styleId="DarkList-Accent6">
    <w:name w:val="Dark List Accent 6"/>
    <w:basedOn w:val="TableNormal"/>
    <w:uiPriority w:val="70"/>
    <w:semiHidden/>
    <w:unhideWhenUsed/>
    <w:rsid w:val="00F527CC"/>
    <w:pPr>
      <w:spacing w:after="0" w:line="240" w:lineRule="auto"/>
    </w:pPr>
    <w:rPr>
      <w:color w:val="FFFFFF" w:themeColor="background1"/>
    </w:rPr>
    <w:tblPr>
      <w:tblStyleRowBandSize w:val="1"/>
      <w:tblStyleColBandSize w:val="1"/>
    </w:tblPr>
    <w:tcPr>
      <w:shd w:val="clear" w:color="auto" w:fill="FFAA2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8F57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884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88400" w:themeFill="accent6" w:themeFillShade="BF"/>
      </w:tcPr>
    </w:tblStylePr>
    <w:tblStylePr w:type="band1Vert">
      <w:tblPr/>
      <w:tcPr>
        <w:tcBorders>
          <w:top w:val="nil"/>
          <w:left w:val="nil"/>
          <w:bottom w:val="nil"/>
          <w:right w:val="nil"/>
          <w:insideH w:val="nil"/>
          <w:insideV w:val="nil"/>
        </w:tcBorders>
        <w:shd w:val="clear" w:color="auto" w:fill="D88400" w:themeFill="accent6" w:themeFillShade="BF"/>
      </w:tcPr>
    </w:tblStylePr>
    <w:tblStylePr w:type="band1Horz">
      <w:tblPr/>
      <w:tcPr>
        <w:tcBorders>
          <w:top w:val="nil"/>
          <w:left w:val="nil"/>
          <w:bottom w:val="nil"/>
          <w:right w:val="nil"/>
          <w:insideH w:val="nil"/>
          <w:insideV w:val="nil"/>
        </w:tcBorders>
        <w:shd w:val="clear" w:color="auto" w:fill="D88400" w:themeFill="accent6" w:themeFillShade="BF"/>
      </w:tcPr>
    </w:tblStylePr>
  </w:style>
  <w:style w:type="paragraph" w:styleId="DocumentMap">
    <w:name w:val="Document Map"/>
    <w:basedOn w:val="Normal"/>
    <w:link w:val="DocumentMapChar"/>
    <w:uiPriority w:val="99"/>
    <w:semiHidden/>
    <w:unhideWhenUsed/>
    <w:rsid w:val="00F527C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527CC"/>
    <w:rPr>
      <w:rFonts w:ascii="Segoe UI" w:hAnsi="Segoe UI" w:cs="Segoe UI"/>
      <w:sz w:val="16"/>
      <w:szCs w:val="16"/>
      <w:lang w:val="en-US"/>
    </w:rPr>
  </w:style>
  <w:style w:type="paragraph" w:styleId="E-mailSignature">
    <w:name w:val="E-mail Signature"/>
    <w:basedOn w:val="Normal"/>
    <w:link w:val="E-mailSignatureChar"/>
    <w:uiPriority w:val="99"/>
    <w:semiHidden/>
    <w:unhideWhenUsed/>
    <w:rsid w:val="00F527CC"/>
    <w:pPr>
      <w:spacing w:after="0" w:line="240" w:lineRule="auto"/>
    </w:pPr>
  </w:style>
  <w:style w:type="character" w:customStyle="1" w:styleId="E-mailSignatureChar">
    <w:name w:val="E-mail Signature Char"/>
    <w:basedOn w:val="DefaultParagraphFont"/>
    <w:link w:val="E-mailSignature"/>
    <w:uiPriority w:val="99"/>
    <w:semiHidden/>
    <w:rsid w:val="00F527CC"/>
    <w:rPr>
      <w:lang w:val="en-US"/>
    </w:rPr>
  </w:style>
  <w:style w:type="character" w:styleId="Emphasis">
    <w:name w:val="Emphasis"/>
    <w:basedOn w:val="DefaultParagraphFont"/>
    <w:uiPriority w:val="20"/>
    <w:qFormat/>
    <w:rsid w:val="00F527CC"/>
    <w:rPr>
      <w:i/>
      <w:iCs/>
      <w:lang w:val="en-US"/>
    </w:rPr>
  </w:style>
  <w:style w:type="paragraph" w:styleId="EnvelopeAddress">
    <w:name w:val="envelope address"/>
    <w:basedOn w:val="Normal"/>
    <w:uiPriority w:val="99"/>
    <w:semiHidden/>
    <w:unhideWhenUsed/>
    <w:rsid w:val="00F527CC"/>
    <w:pPr>
      <w:framePr w:w="7920" w:h="1980" w:hRule="exact" w:hSpace="180" w:wrap="auto" w:hAnchor="page" w:xAlign="center" w:yAlign="bottom"/>
      <w:spacing w:after="0" w:line="240" w:lineRule="auto"/>
      <w:ind w:left="2880"/>
    </w:pPr>
    <w:rPr>
      <w:rFonts w:eastAsiaTheme="majorEastAsia" w:cs="Arial"/>
      <w:sz w:val="24"/>
      <w:szCs w:val="24"/>
    </w:rPr>
  </w:style>
  <w:style w:type="paragraph" w:styleId="EnvelopeReturn">
    <w:name w:val="envelope return"/>
    <w:basedOn w:val="Normal"/>
    <w:uiPriority w:val="99"/>
    <w:semiHidden/>
    <w:unhideWhenUsed/>
    <w:rsid w:val="00F527CC"/>
    <w:pPr>
      <w:spacing w:after="0" w:line="240" w:lineRule="auto"/>
    </w:pPr>
    <w:rPr>
      <w:rFonts w:eastAsiaTheme="majorEastAsia" w:cs="Arial"/>
      <w:sz w:val="20"/>
      <w:szCs w:val="20"/>
    </w:rPr>
  </w:style>
  <w:style w:type="character" w:styleId="FollowedHyperlink">
    <w:name w:val="FollowedHyperlink"/>
    <w:basedOn w:val="DefaultParagraphFont"/>
    <w:uiPriority w:val="99"/>
    <w:semiHidden/>
    <w:unhideWhenUsed/>
    <w:rsid w:val="00F527CC"/>
    <w:rPr>
      <w:color w:val="954F72" w:themeColor="followedHyperlink"/>
      <w:u w:val="single"/>
      <w:lang w:val="en-US"/>
    </w:rPr>
  </w:style>
  <w:style w:type="table" w:styleId="GridTable1Light">
    <w:name w:val="Grid Table 1 Light"/>
    <w:basedOn w:val="TableNormal"/>
    <w:uiPriority w:val="46"/>
    <w:rsid w:val="00F527CC"/>
    <w:pPr>
      <w:spacing w:after="0" w:line="240" w:lineRule="auto"/>
    </w:pPr>
    <w:tblPr>
      <w:tblStyleRowBandSize w:val="1"/>
      <w:tblStyleColBandSize w:val="1"/>
      <w:tblBorders>
        <w:top w:val="single" w:sz="4" w:space="0" w:color="B2B2B2" w:themeColor="text1" w:themeTint="66"/>
        <w:left w:val="single" w:sz="4" w:space="0" w:color="B2B2B2" w:themeColor="text1" w:themeTint="66"/>
        <w:bottom w:val="single" w:sz="4" w:space="0" w:color="B2B2B2" w:themeColor="text1" w:themeTint="66"/>
        <w:right w:val="single" w:sz="4" w:space="0" w:color="B2B2B2" w:themeColor="text1" w:themeTint="66"/>
        <w:insideH w:val="single" w:sz="4" w:space="0" w:color="B2B2B2" w:themeColor="text1" w:themeTint="66"/>
        <w:insideV w:val="single" w:sz="4" w:space="0" w:color="B2B2B2" w:themeColor="text1" w:themeTint="66"/>
      </w:tblBorders>
    </w:tblPr>
    <w:tblStylePr w:type="firstRow">
      <w:rPr>
        <w:b/>
        <w:bCs/>
      </w:rPr>
      <w:tblPr/>
      <w:tcPr>
        <w:tcBorders>
          <w:bottom w:val="single" w:sz="12" w:space="0" w:color="8C8C8C" w:themeColor="text1" w:themeTint="99"/>
        </w:tcBorders>
      </w:tcPr>
    </w:tblStylePr>
    <w:tblStylePr w:type="lastRow">
      <w:rPr>
        <w:b/>
        <w:bCs/>
      </w:rPr>
      <w:tblPr/>
      <w:tcPr>
        <w:tcBorders>
          <w:top w:val="double" w:sz="2" w:space="0" w:color="8C8C8C"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527CC"/>
    <w:pPr>
      <w:spacing w:after="0" w:line="240" w:lineRule="auto"/>
    </w:pPr>
    <w:tblPr>
      <w:tblStyleRowBandSize w:val="1"/>
      <w:tblStyleColBandSize w:val="1"/>
      <w:tblBorders>
        <w:top w:val="single" w:sz="4" w:space="0" w:color="E8E8E9" w:themeColor="accent1" w:themeTint="66"/>
        <w:left w:val="single" w:sz="4" w:space="0" w:color="E8E8E9" w:themeColor="accent1" w:themeTint="66"/>
        <w:bottom w:val="single" w:sz="4" w:space="0" w:color="E8E8E9" w:themeColor="accent1" w:themeTint="66"/>
        <w:right w:val="single" w:sz="4" w:space="0" w:color="E8E8E9" w:themeColor="accent1" w:themeTint="66"/>
        <w:insideH w:val="single" w:sz="4" w:space="0" w:color="E8E8E9" w:themeColor="accent1" w:themeTint="66"/>
        <w:insideV w:val="single" w:sz="4" w:space="0" w:color="E8E8E9" w:themeColor="accent1" w:themeTint="66"/>
      </w:tblBorders>
    </w:tblPr>
    <w:tblStylePr w:type="firstRow">
      <w:rPr>
        <w:b/>
        <w:bCs/>
      </w:rPr>
      <w:tblPr/>
      <w:tcPr>
        <w:tcBorders>
          <w:bottom w:val="single" w:sz="12" w:space="0" w:color="DDDDDF" w:themeColor="accent1" w:themeTint="99"/>
        </w:tcBorders>
      </w:tcPr>
    </w:tblStylePr>
    <w:tblStylePr w:type="lastRow">
      <w:rPr>
        <w:b/>
        <w:bCs/>
      </w:rPr>
      <w:tblPr/>
      <w:tcPr>
        <w:tcBorders>
          <w:top w:val="double" w:sz="2" w:space="0" w:color="DDDDD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527CC"/>
    <w:pPr>
      <w:spacing w:after="0" w:line="240" w:lineRule="auto"/>
    </w:pPr>
    <w:tblPr>
      <w:tblStyleRowBandSize w:val="1"/>
      <w:tblStyleColBandSize w:val="1"/>
      <w:tblBorders>
        <w:top w:val="single" w:sz="4" w:space="0" w:color="D3D4D5" w:themeColor="accent2" w:themeTint="66"/>
        <w:left w:val="single" w:sz="4" w:space="0" w:color="D3D4D5" w:themeColor="accent2" w:themeTint="66"/>
        <w:bottom w:val="single" w:sz="4" w:space="0" w:color="D3D4D5" w:themeColor="accent2" w:themeTint="66"/>
        <w:right w:val="single" w:sz="4" w:space="0" w:color="D3D4D5" w:themeColor="accent2" w:themeTint="66"/>
        <w:insideH w:val="single" w:sz="4" w:space="0" w:color="D3D4D5" w:themeColor="accent2" w:themeTint="66"/>
        <w:insideV w:val="single" w:sz="4" w:space="0" w:color="D3D4D5" w:themeColor="accent2" w:themeTint="66"/>
      </w:tblBorders>
    </w:tblPr>
    <w:tblStylePr w:type="firstRow">
      <w:rPr>
        <w:b/>
        <w:bCs/>
      </w:rPr>
      <w:tblPr/>
      <w:tcPr>
        <w:tcBorders>
          <w:bottom w:val="single" w:sz="12" w:space="0" w:color="BEBFC1" w:themeColor="accent2" w:themeTint="99"/>
        </w:tcBorders>
      </w:tcPr>
    </w:tblStylePr>
    <w:tblStylePr w:type="lastRow">
      <w:rPr>
        <w:b/>
        <w:bCs/>
      </w:rPr>
      <w:tblPr/>
      <w:tcPr>
        <w:tcBorders>
          <w:top w:val="double" w:sz="2" w:space="0" w:color="BEBFC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527CC"/>
    <w:pPr>
      <w:spacing w:after="0" w:line="240" w:lineRule="auto"/>
    </w:pPr>
    <w:tblPr>
      <w:tblStyleRowBandSize w:val="1"/>
      <w:tblStyleColBandSize w:val="1"/>
      <w:tblBorders>
        <w:top w:val="single" w:sz="4" w:space="0" w:color="C0C0C2" w:themeColor="accent3" w:themeTint="66"/>
        <w:left w:val="single" w:sz="4" w:space="0" w:color="C0C0C2" w:themeColor="accent3" w:themeTint="66"/>
        <w:bottom w:val="single" w:sz="4" w:space="0" w:color="C0C0C2" w:themeColor="accent3" w:themeTint="66"/>
        <w:right w:val="single" w:sz="4" w:space="0" w:color="C0C0C2" w:themeColor="accent3" w:themeTint="66"/>
        <w:insideH w:val="single" w:sz="4" w:space="0" w:color="C0C0C2" w:themeColor="accent3" w:themeTint="66"/>
        <w:insideV w:val="single" w:sz="4" w:space="0" w:color="C0C0C2" w:themeColor="accent3" w:themeTint="66"/>
      </w:tblBorders>
    </w:tblPr>
    <w:tblStylePr w:type="firstRow">
      <w:rPr>
        <w:b/>
        <w:bCs/>
      </w:rPr>
      <w:tblPr/>
      <w:tcPr>
        <w:tcBorders>
          <w:bottom w:val="single" w:sz="12" w:space="0" w:color="A0A1A3" w:themeColor="accent3" w:themeTint="99"/>
        </w:tcBorders>
      </w:tcPr>
    </w:tblStylePr>
    <w:tblStylePr w:type="lastRow">
      <w:rPr>
        <w:b/>
        <w:bCs/>
      </w:rPr>
      <w:tblPr/>
      <w:tcPr>
        <w:tcBorders>
          <w:top w:val="double" w:sz="2" w:space="0" w:color="A0A1A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527CC"/>
    <w:pPr>
      <w:spacing w:after="0" w:line="240" w:lineRule="auto"/>
    </w:pPr>
    <w:tblPr>
      <w:tblStyleRowBandSize w:val="1"/>
      <w:tblStyleColBandSize w:val="1"/>
      <w:tblBorders>
        <w:top w:val="single" w:sz="4" w:space="0" w:color="F0A0A5" w:themeColor="accent4" w:themeTint="66"/>
        <w:left w:val="single" w:sz="4" w:space="0" w:color="F0A0A5" w:themeColor="accent4" w:themeTint="66"/>
        <w:bottom w:val="single" w:sz="4" w:space="0" w:color="F0A0A5" w:themeColor="accent4" w:themeTint="66"/>
        <w:right w:val="single" w:sz="4" w:space="0" w:color="F0A0A5" w:themeColor="accent4" w:themeTint="66"/>
        <w:insideH w:val="single" w:sz="4" w:space="0" w:color="F0A0A5" w:themeColor="accent4" w:themeTint="66"/>
        <w:insideV w:val="single" w:sz="4" w:space="0" w:color="F0A0A5" w:themeColor="accent4" w:themeTint="66"/>
      </w:tblBorders>
    </w:tblPr>
    <w:tblStylePr w:type="firstRow">
      <w:rPr>
        <w:b/>
        <w:bCs/>
      </w:rPr>
      <w:tblPr/>
      <w:tcPr>
        <w:tcBorders>
          <w:bottom w:val="single" w:sz="12" w:space="0" w:color="E87179" w:themeColor="accent4" w:themeTint="99"/>
        </w:tcBorders>
      </w:tcPr>
    </w:tblStylePr>
    <w:tblStylePr w:type="lastRow">
      <w:rPr>
        <w:b/>
        <w:bCs/>
      </w:rPr>
      <w:tblPr/>
      <w:tcPr>
        <w:tcBorders>
          <w:top w:val="double" w:sz="2" w:space="0" w:color="E8717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527CC"/>
    <w:pPr>
      <w:spacing w:after="0" w:line="240" w:lineRule="auto"/>
    </w:pPr>
    <w:tblPr>
      <w:tblStyleRowBandSize w:val="1"/>
      <w:tblStyleColBandSize w:val="1"/>
      <w:tblBorders>
        <w:top w:val="single" w:sz="4" w:space="0" w:color="77BAFF" w:themeColor="accent5" w:themeTint="66"/>
        <w:left w:val="single" w:sz="4" w:space="0" w:color="77BAFF" w:themeColor="accent5" w:themeTint="66"/>
        <w:bottom w:val="single" w:sz="4" w:space="0" w:color="77BAFF" w:themeColor="accent5" w:themeTint="66"/>
        <w:right w:val="single" w:sz="4" w:space="0" w:color="77BAFF" w:themeColor="accent5" w:themeTint="66"/>
        <w:insideH w:val="single" w:sz="4" w:space="0" w:color="77BAFF" w:themeColor="accent5" w:themeTint="66"/>
        <w:insideV w:val="single" w:sz="4" w:space="0" w:color="77BAFF" w:themeColor="accent5" w:themeTint="66"/>
      </w:tblBorders>
    </w:tblPr>
    <w:tblStylePr w:type="firstRow">
      <w:rPr>
        <w:b/>
        <w:bCs/>
      </w:rPr>
      <w:tblPr/>
      <w:tcPr>
        <w:tcBorders>
          <w:bottom w:val="single" w:sz="12" w:space="0" w:color="3398FF" w:themeColor="accent5" w:themeTint="99"/>
        </w:tcBorders>
      </w:tcPr>
    </w:tblStylePr>
    <w:tblStylePr w:type="lastRow">
      <w:rPr>
        <w:b/>
        <w:bCs/>
      </w:rPr>
      <w:tblPr/>
      <w:tcPr>
        <w:tcBorders>
          <w:top w:val="double" w:sz="2" w:space="0" w:color="339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527CC"/>
    <w:pPr>
      <w:spacing w:after="0" w:line="240" w:lineRule="auto"/>
    </w:pPr>
    <w:tblPr>
      <w:tblStyleRowBandSize w:val="1"/>
      <w:tblStyleColBandSize w:val="1"/>
      <w:tblBorders>
        <w:top w:val="single" w:sz="4" w:space="0" w:color="FFDCA6" w:themeColor="accent6" w:themeTint="66"/>
        <w:left w:val="single" w:sz="4" w:space="0" w:color="FFDCA6" w:themeColor="accent6" w:themeTint="66"/>
        <w:bottom w:val="single" w:sz="4" w:space="0" w:color="FFDCA6" w:themeColor="accent6" w:themeTint="66"/>
        <w:right w:val="single" w:sz="4" w:space="0" w:color="FFDCA6" w:themeColor="accent6" w:themeTint="66"/>
        <w:insideH w:val="single" w:sz="4" w:space="0" w:color="FFDCA6" w:themeColor="accent6" w:themeTint="66"/>
        <w:insideV w:val="single" w:sz="4" w:space="0" w:color="FFDCA6" w:themeColor="accent6" w:themeTint="66"/>
      </w:tblBorders>
    </w:tblPr>
    <w:tblStylePr w:type="firstRow">
      <w:rPr>
        <w:b/>
        <w:bCs/>
      </w:rPr>
      <w:tblPr/>
      <w:tcPr>
        <w:tcBorders>
          <w:bottom w:val="single" w:sz="12" w:space="0" w:color="FFCB7A" w:themeColor="accent6" w:themeTint="99"/>
        </w:tcBorders>
      </w:tcPr>
    </w:tblStylePr>
    <w:tblStylePr w:type="lastRow">
      <w:rPr>
        <w:b/>
        <w:bCs/>
      </w:rPr>
      <w:tblPr/>
      <w:tcPr>
        <w:tcBorders>
          <w:top w:val="double" w:sz="2" w:space="0" w:color="FFCB7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F527CC"/>
    <w:pPr>
      <w:spacing w:after="0" w:line="240" w:lineRule="auto"/>
    </w:pPr>
    <w:tblPr>
      <w:tblStyleRowBandSize w:val="1"/>
      <w:tblStyleColBandSize w:val="1"/>
      <w:tblBorders>
        <w:top w:val="single" w:sz="2" w:space="0" w:color="8C8C8C" w:themeColor="text1" w:themeTint="99"/>
        <w:bottom w:val="single" w:sz="2" w:space="0" w:color="8C8C8C" w:themeColor="text1" w:themeTint="99"/>
        <w:insideH w:val="single" w:sz="2" w:space="0" w:color="8C8C8C" w:themeColor="text1" w:themeTint="99"/>
        <w:insideV w:val="single" w:sz="2" w:space="0" w:color="8C8C8C" w:themeColor="text1" w:themeTint="99"/>
      </w:tblBorders>
    </w:tblPr>
    <w:tblStylePr w:type="firstRow">
      <w:rPr>
        <w:b/>
        <w:bCs/>
      </w:rPr>
      <w:tblPr/>
      <w:tcPr>
        <w:tcBorders>
          <w:top w:val="nil"/>
          <w:bottom w:val="single" w:sz="12" w:space="0" w:color="8C8C8C" w:themeColor="text1" w:themeTint="99"/>
          <w:insideH w:val="nil"/>
          <w:insideV w:val="nil"/>
        </w:tcBorders>
        <w:shd w:val="clear" w:color="auto" w:fill="FFFFFF" w:themeFill="background1"/>
      </w:tcPr>
    </w:tblStylePr>
    <w:tblStylePr w:type="lastRow">
      <w:rPr>
        <w:b/>
        <w:bCs/>
      </w:rPr>
      <w:tblPr/>
      <w:tcPr>
        <w:tcBorders>
          <w:top w:val="double" w:sz="2" w:space="0" w:color="8C8C8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styleId="GridTable2-Accent1">
    <w:name w:val="Grid Table 2 Accent 1"/>
    <w:basedOn w:val="TableNormal"/>
    <w:uiPriority w:val="47"/>
    <w:rsid w:val="00F527CC"/>
    <w:pPr>
      <w:spacing w:after="0" w:line="240" w:lineRule="auto"/>
    </w:pPr>
    <w:tblPr>
      <w:tblStyleRowBandSize w:val="1"/>
      <w:tblStyleColBandSize w:val="1"/>
      <w:tblBorders>
        <w:top w:val="single" w:sz="2" w:space="0" w:color="DDDDDF" w:themeColor="accent1" w:themeTint="99"/>
        <w:bottom w:val="single" w:sz="2" w:space="0" w:color="DDDDDF" w:themeColor="accent1" w:themeTint="99"/>
        <w:insideH w:val="single" w:sz="2" w:space="0" w:color="DDDDDF" w:themeColor="accent1" w:themeTint="99"/>
        <w:insideV w:val="single" w:sz="2" w:space="0" w:color="DDDDDF" w:themeColor="accent1" w:themeTint="99"/>
      </w:tblBorders>
    </w:tblPr>
    <w:tblStylePr w:type="firstRow">
      <w:rPr>
        <w:b/>
        <w:bCs/>
      </w:rPr>
      <w:tblPr/>
      <w:tcPr>
        <w:tcBorders>
          <w:top w:val="nil"/>
          <w:bottom w:val="single" w:sz="12" w:space="0" w:color="DDDDDF" w:themeColor="accent1" w:themeTint="99"/>
          <w:insideH w:val="nil"/>
          <w:insideV w:val="nil"/>
        </w:tcBorders>
        <w:shd w:val="clear" w:color="auto" w:fill="FFFFFF" w:themeFill="background1"/>
      </w:tcPr>
    </w:tblStylePr>
    <w:tblStylePr w:type="lastRow">
      <w:rPr>
        <w:b/>
        <w:bCs/>
      </w:rPr>
      <w:tblPr/>
      <w:tcPr>
        <w:tcBorders>
          <w:top w:val="double" w:sz="2" w:space="0" w:color="DDDDD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styleId="GridTable2-Accent2">
    <w:name w:val="Grid Table 2 Accent 2"/>
    <w:basedOn w:val="TableNormal"/>
    <w:uiPriority w:val="47"/>
    <w:rsid w:val="00F527CC"/>
    <w:pPr>
      <w:spacing w:after="0" w:line="240" w:lineRule="auto"/>
    </w:pPr>
    <w:tblPr>
      <w:tblStyleRowBandSize w:val="1"/>
      <w:tblStyleColBandSize w:val="1"/>
      <w:tblBorders>
        <w:top w:val="single" w:sz="2" w:space="0" w:color="BEBFC1" w:themeColor="accent2" w:themeTint="99"/>
        <w:bottom w:val="single" w:sz="2" w:space="0" w:color="BEBFC1" w:themeColor="accent2" w:themeTint="99"/>
        <w:insideH w:val="single" w:sz="2" w:space="0" w:color="BEBFC1" w:themeColor="accent2" w:themeTint="99"/>
        <w:insideV w:val="single" w:sz="2" w:space="0" w:color="BEBFC1" w:themeColor="accent2" w:themeTint="99"/>
      </w:tblBorders>
    </w:tblPr>
    <w:tblStylePr w:type="firstRow">
      <w:rPr>
        <w:b/>
        <w:bCs/>
      </w:rPr>
      <w:tblPr/>
      <w:tcPr>
        <w:tcBorders>
          <w:top w:val="nil"/>
          <w:bottom w:val="single" w:sz="12" w:space="0" w:color="BEBFC1" w:themeColor="accent2" w:themeTint="99"/>
          <w:insideH w:val="nil"/>
          <w:insideV w:val="nil"/>
        </w:tcBorders>
        <w:shd w:val="clear" w:color="auto" w:fill="FFFFFF" w:themeFill="background1"/>
      </w:tcPr>
    </w:tblStylePr>
    <w:tblStylePr w:type="lastRow">
      <w:rPr>
        <w:b/>
        <w:bCs/>
      </w:rPr>
      <w:tblPr/>
      <w:tcPr>
        <w:tcBorders>
          <w:top w:val="double" w:sz="2" w:space="0" w:color="BEBFC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styleId="GridTable2-Accent3">
    <w:name w:val="Grid Table 2 Accent 3"/>
    <w:basedOn w:val="TableNormal"/>
    <w:uiPriority w:val="47"/>
    <w:rsid w:val="00F527CC"/>
    <w:pPr>
      <w:spacing w:after="0" w:line="240" w:lineRule="auto"/>
    </w:pPr>
    <w:tblPr>
      <w:tblStyleRowBandSize w:val="1"/>
      <w:tblStyleColBandSize w:val="1"/>
      <w:tblBorders>
        <w:top w:val="single" w:sz="2" w:space="0" w:color="A0A1A3" w:themeColor="accent3" w:themeTint="99"/>
        <w:bottom w:val="single" w:sz="2" w:space="0" w:color="A0A1A3" w:themeColor="accent3" w:themeTint="99"/>
        <w:insideH w:val="single" w:sz="2" w:space="0" w:color="A0A1A3" w:themeColor="accent3" w:themeTint="99"/>
        <w:insideV w:val="single" w:sz="2" w:space="0" w:color="A0A1A3" w:themeColor="accent3" w:themeTint="99"/>
      </w:tblBorders>
    </w:tblPr>
    <w:tblStylePr w:type="firstRow">
      <w:rPr>
        <w:b/>
        <w:bCs/>
      </w:rPr>
      <w:tblPr/>
      <w:tcPr>
        <w:tcBorders>
          <w:top w:val="nil"/>
          <w:bottom w:val="single" w:sz="12" w:space="0" w:color="A0A1A3" w:themeColor="accent3" w:themeTint="99"/>
          <w:insideH w:val="nil"/>
          <w:insideV w:val="nil"/>
        </w:tcBorders>
        <w:shd w:val="clear" w:color="auto" w:fill="FFFFFF" w:themeFill="background1"/>
      </w:tcPr>
    </w:tblStylePr>
    <w:tblStylePr w:type="lastRow">
      <w:rPr>
        <w:b/>
        <w:bCs/>
      </w:rPr>
      <w:tblPr/>
      <w:tcPr>
        <w:tcBorders>
          <w:top w:val="double" w:sz="2" w:space="0" w:color="A0A1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styleId="GridTable2-Accent4">
    <w:name w:val="Grid Table 2 Accent 4"/>
    <w:basedOn w:val="TableNormal"/>
    <w:uiPriority w:val="47"/>
    <w:rsid w:val="00F527CC"/>
    <w:pPr>
      <w:spacing w:after="0" w:line="240" w:lineRule="auto"/>
    </w:pPr>
    <w:tblPr>
      <w:tblStyleRowBandSize w:val="1"/>
      <w:tblStyleColBandSize w:val="1"/>
      <w:tblBorders>
        <w:top w:val="single" w:sz="2" w:space="0" w:color="E87179" w:themeColor="accent4" w:themeTint="99"/>
        <w:bottom w:val="single" w:sz="2" w:space="0" w:color="E87179" w:themeColor="accent4" w:themeTint="99"/>
        <w:insideH w:val="single" w:sz="2" w:space="0" w:color="E87179" w:themeColor="accent4" w:themeTint="99"/>
        <w:insideV w:val="single" w:sz="2" w:space="0" w:color="E87179" w:themeColor="accent4" w:themeTint="99"/>
      </w:tblBorders>
    </w:tblPr>
    <w:tblStylePr w:type="firstRow">
      <w:rPr>
        <w:b/>
        <w:bCs/>
      </w:rPr>
      <w:tblPr/>
      <w:tcPr>
        <w:tcBorders>
          <w:top w:val="nil"/>
          <w:bottom w:val="single" w:sz="12" w:space="0" w:color="E87179" w:themeColor="accent4" w:themeTint="99"/>
          <w:insideH w:val="nil"/>
          <w:insideV w:val="nil"/>
        </w:tcBorders>
        <w:shd w:val="clear" w:color="auto" w:fill="FFFFFF" w:themeFill="background1"/>
      </w:tcPr>
    </w:tblStylePr>
    <w:tblStylePr w:type="lastRow">
      <w:rPr>
        <w:b/>
        <w:bCs/>
      </w:rPr>
      <w:tblPr/>
      <w:tcPr>
        <w:tcBorders>
          <w:top w:val="double" w:sz="2" w:space="0" w:color="E8717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styleId="GridTable2-Accent5">
    <w:name w:val="Grid Table 2 Accent 5"/>
    <w:basedOn w:val="TableNormal"/>
    <w:uiPriority w:val="47"/>
    <w:rsid w:val="00F527CC"/>
    <w:pPr>
      <w:spacing w:after="0" w:line="240" w:lineRule="auto"/>
    </w:pPr>
    <w:tblPr>
      <w:tblStyleRowBandSize w:val="1"/>
      <w:tblStyleColBandSize w:val="1"/>
      <w:tblBorders>
        <w:top w:val="single" w:sz="2" w:space="0" w:color="3398FF" w:themeColor="accent5" w:themeTint="99"/>
        <w:bottom w:val="single" w:sz="2" w:space="0" w:color="3398FF" w:themeColor="accent5" w:themeTint="99"/>
        <w:insideH w:val="single" w:sz="2" w:space="0" w:color="3398FF" w:themeColor="accent5" w:themeTint="99"/>
        <w:insideV w:val="single" w:sz="2" w:space="0" w:color="3398FF" w:themeColor="accent5" w:themeTint="99"/>
      </w:tblBorders>
    </w:tblPr>
    <w:tblStylePr w:type="firstRow">
      <w:rPr>
        <w:b/>
        <w:bCs/>
      </w:rPr>
      <w:tblPr/>
      <w:tcPr>
        <w:tcBorders>
          <w:top w:val="nil"/>
          <w:bottom w:val="single" w:sz="12" w:space="0" w:color="3398FF" w:themeColor="accent5" w:themeTint="99"/>
          <w:insideH w:val="nil"/>
          <w:insideV w:val="nil"/>
        </w:tcBorders>
        <w:shd w:val="clear" w:color="auto" w:fill="FFFFFF" w:themeFill="background1"/>
      </w:tcPr>
    </w:tblStylePr>
    <w:tblStylePr w:type="lastRow">
      <w:rPr>
        <w:b/>
        <w:bCs/>
      </w:rPr>
      <w:tblPr/>
      <w:tcPr>
        <w:tcBorders>
          <w:top w:val="double" w:sz="2" w:space="0" w:color="339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styleId="GridTable2-Accent6">
    <w:name w:val="Grid Table 2 Accent 6"/>
    <w:basedOn w:val="TableNormal"/>
    <w:uiPriority w:val="47"/>
    <w:rsid w:val="00F527CC"/>
    <w:pPr>
      <w:spacing w:after="0" w:line="240" w:lineRule="auto"/>
    </w:pPr>
    <w:tblPr>
      <w:tblStyleRowBandSize w:val="1"/>
      <w:tblStyleColBandSize w:val="1"/>
      <w:tblBorders>
        <w:top w:val="single" w:sz="2" w:space="0" w:color="FFCB7A" w:themeColor="accent6" w:themeTint="99"/>
        <w:bottom w:val="single" w:sz="2" w:space="0" w:color="FFCB7A" w:themeColor="accent6" w:themeTint="99"/>
        <w:insideH w:val="single" w:sz="2" w:space="0" w:color="FFCB7A" w:themeColor="accent6" w:themeTint="99"/>
        <w:insideV w:val="single" w:sz="2" w:space="0" w:color="FFCB7A" w:themeColor="accent6" w:themeTint="99"/>
      </w:tblBorders>
    </w:tblPr>
    <w:tblStylePr w:type="firstRow">
      <w:rPr>
        <w:b/>
        <w:bCs/>
      </w:rPr>
      <w:tblPr/>
      <w:tcPr>
        <w:tcBorders>
          <w:top w:val="nil"/>
          <w:bottom w:val="single" w:sz="12" w:space="0" w:color="FFCB7A" w:themeColor="accent6" w:themeTint="99"/>
          <w:insideH w:val="nil"/>
          <w:insideV w:val="nil"/>
        </w:tcBorders>
        <w:shd w:val="clear" w:color="auto" w:fill="FFFFFF" w:themeFill="background1"/>
      </w:tcPr>
    </w:tblStylePr>
    <w:tblStylePr w:type="lastRow">
      <w:rPr>
        <w:b/>
        <w:bCs/>
      </w:rPr>
      <w:tblPr/>
      <w:tcPr>
        <w:tcBorders>
          <w:top w:val="double" w:sz="2" w:space="0" w:color="FFCB7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styleId="GridTable3">
    <w:name w:val="Grid Table 3"/>
    <w:basedOn w:val="TableNormal"/>
    <w:uiPriority w:val="48"/>
    <w:rsid w:val="00F527CC"/>
    <w:pPr>
      <w:spacing w:after="0" w:line="240" w:lineRule="auto"/>
    </w:p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8D8" w:themeFill="text1" w:themeFillTint="33"/>
      </w:tcPr>
    </w:tblStylePr>
    <w:tblStylePr w:type="band1Horz">
      <w:tblPr/>
      <w:tcPr>
        <w:shd w:val="clear" w:color="auto" w:fill="D8D8D8" w:themeFill="text1" w:themeFillTint="33"/>
      </w:tcPr>
    </w:tblStylePr>
    <w:tblStylePr w:type="neCell">
      <w:tblPr/>
      <w:tcPr>
        <w:tcBorders>
          <w:bottom w:val="single" w:sz="4" w:space="0" w:color="8C8C8C" w:themeColor="text1" w:themeTint="99"/>
        </w:tcBorders>
      </w:tcPr>
    </w:tblStylePr>
    <w:tblStylePr w:type="nwCell">
      <w:tblPr/>
      <w:tcPr>
        <w:tcBorders>
          <w:bottom w:val="single" w:sz="4" w:space="0" w:color="8C8C8C" w:themeColor="text1" w:themeTint="99"/>
        </w:tcBorders>
      </w:tcPr>
    </w:tblStylePr>
    <w:tblStylePr w:type="seCell">
      <w:tblPr/>
      <w:tcPr>
        <w:tcBorders>
          <w:top w:val="single" w:sz="4" w:space="0" w:color="8C8C8C" w:themeColor="text1" w:themeTint="99"/>
        </w:tcBorders>
      </w:tcPr>
    </w:tblStylePr>
    <w:tblStylePr w:type="swCell">
      <w:tblPr/>
      <w:tcPr>
        <w:tcBorders>
          <w:top w:val="single" w:sz="4" w:space="0" w:color="8C8C8C" w:themeColor="text1" w:themeTint="99"/>
        </w:tcBorders>
      </w:tcPr>
    </w:tblStylePr>
  </w:style>
  <w:style w:type="table" w:styleId="GridTable3-Accent1">
    <w:name w:val="Grid Table 3 Accent 1"/>
    <w:basedOn w:val="TableNormal"/>
    <w:uiPriority w:val="48"/>
    <w:rsid w:val="00F527CC"/>
    <w:pPr>
      <w:spacing w:after="0" w:line="240" w:lineRule="auto"/>
    </w:p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insideV w:val="single" w:sz="4" w:space="0" w:color="DDDDD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4" w:themeFill="accent1" w:themeFillTint="33"/>
      </w:tcPr>
    </w:tblStylePr>
    <w:tblStylePr w:type="band1Horz">
      <w:tblPr/>
      <w:tcPr>
        <w:shd w:val="clear" w:color="auto" w:fill="F3F3F4" w:themeFill="accent1" w:themeFillTint="33"/>
      </w:tcPr>
    </w:tblStylePr>
    <w:tblStylePr w:type="neCell">
      <w:tblPr/>
      <w:tcPr>
        <w:tcBorders>
          <w:bottom w:val="single" w:sz="4" w:space="0" w:color="DDDDDF" w:themeColor="accent1" w:themeTint="99"/>
        </w:tcBorders>
      </w:tcPr>
    </w:tblStylePr>
    <w:tblStylePr w:type="nwCell">
      <w:tblPr/>
      <w:tcPr>
        <w:tcBorders>
          <w:bottom w:val="single" w:sz="4" w:space="0" w:color="DDDDDF" w:themeColor="accent1" w:themeTint="99"/>
        </w:tcBorders>
      </w:tcPr>
    </w:tblStylePr>
    <w:tblStylePr w:type="seCell">
      <w:tblPr/>
      <w:tcPr>
        <w:tcBorders>
          <w:top w:val="single" w:sz="4" w:space="0" w:color="DDDDDF" w:themeColor="accent1" w:themeTint="99"/>
        </w:tcBorders>
      </w:tcPr>
    </w:tblStylePr>
    <w:tblStylePr w:type="swCell">
      <w:tblPr/>
      <w:tcPr>
        <w:tcBorders>
          <w:top w:val="single" w:sz="4" w:space="0" w:color="DDDDDF" w:themeColor="accent1" w:themeTint="99"/>
        </w:tcBorders>
      </w:tcPr>
    </w:tblStylePr>
  </w:style>
  <w:style w:type="table" w:styleId="GridTable3-Accent2">
    <w:name w:val="Grid Table 3 Accent 2"/>
    <w:basedOn w:val="TableNormal"/>
    <w:uiPriority w:val="48"/>
    <w:rsid w:val="00F527CC"/>
    <w:pPr>
      <w:spacing w:after="0" w:line="240" w:lineRule="auto"/>
    </w:p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insideV w:val="single" w:sz="4" w:space="0" w:color="BEB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9EA" w:themeFill="accent2" w:themeFillTint="33"/>
      </w:tcPr>
    </w:tblStylePr>
    <w:tblStylePr w:type="band1Horz">
      <w:tblPr/>
      <w:tcPr>
        <w:shd w:val="clear" w:color="auto" w:fill="E9E9EA" w:themeFill="accent2" w:themeFillTint="33"/>
      </w:tcPr>
    </w:tblStylePr>
    <w:tblStylePr w:type="neCell">
      <w:tblPr/>
      <w:tcPr>
        <w:tcBorders>
          <w:bottom w:val="single" w:sz="4" w:space="0" w:color="BEBFC1" w:themeColor="accent2" w:themeTint="99"/>
        </w:tcBorders>
      </w:tcPr>
    </w:tblStylePr>
    <w:tblStylePr w:type="nwCell">
      <w:tblPr/>
      <w:tcPr>
        <w:tcBorders>
          <w:bottom w:val="single" w:sz="4" w:space="0" w:color="BEBFC1" w:themeColor="accent2" w:themeTint="99"/>
        </w:tcBorders>
      </w:tcPr>
    </w:tblStylePr>
    <w:tblStylePr w:type="seCell">
      <w:tblPr/>
      <w:tcPr>
        <w:tcBorders>
          <w:top w:val="single" w:sz="4" w:space="0" w:color="BEBFC1" w:themeColor="accent2" w:themeTint="99"/>
        </w:tcBorders>
      </w:tcPr>
    </w:tblStylePr>
    <w:tblStylePr w:type="swCell">
      <w:tblPr/>
      <w:tcPr>
        <w:tcBorders>
          <w:top w:val="single" w:sz="4" w:space="0" w:color="BEBFC1" w:themeColor="accent2" w:themeTint="99"/>
        </w:tcBorders>
      </w:tcPr>
    </w:tblStylePr>
  </w:style>
  <w:style w:type="table" w:styleId="GridTable3-Accent3">
    <w:name w:val="Grid Table 3 Accent 3"/>
    <w:basedOn w:val="TableNormal"/>
    <w:uiPriority w:val="48"/>
    <w:rsid w:val="00F527CC"/>
    <w:pPr>
      <w:spacing w:after="0" w:line="240" w:lineRule="auto"/>
    </w:p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insideV w:val="single" w:sz="4" w:space="0" w:color="A0A1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E0" w:themeFill="accent3" w:themeFillTint="33"/>
      </w:tcPr>
    </w:tblStylePr>
    <w:tblStylePr w:type="band1Horz">
      <w:tblPr/>
      <w:tcPr>
        <w:shd w:val="clear" w:color="auto" w:fill="DFDFE0" w:themeFill="accent3" w:themeFillTint="33"/>
      </w:tcPr>
    </w:tblStylePr>
    <w:tblStylePr w:type="neCell">
      <w:tblPr/>
      <w:tcPr>
        <w:tcBorders>
          <w:bottom w:val="single" w:sz="4" w:space="0" w:color="A0A1A3" w:themeColor="accent3" w:themeTint="99"/>
        </w:tcBorders>
      </w:tcPr>
    </w:tblStylePr>
    <w:tblStylePr w:type="nwCell">
      <w:tblPr/>
      <w:tcPr>
        <w:tcBorders>
          <w:bottom w:val="single" w:sz="4" w:space="0" w:color="A0A1A3" w:themeColor="accent3" w:themeTint="99"/>
        </w:tcBorders>
      </w:tcPr>
    </w:tblStylePr>
    <w:tblStylePr w:type="seCell">
      <w:tblPr/>
      <w:tcPr>
        <w:tcBorders>
          <w:top w:val="single" w:sz="4" w:space="0" w:color="A0A1A3" w:themeColor="accent3" w:themeTint="99"/>
        </w:tcBorders>
      </w:tcPr>
    </w:tblStylePr>
    <w:tblStylePr w:type="swCell">
      <w:tblPr/>
      <w:tcPr>
        <w:tcBorders>
          <w:top w:val="single" w:sz="4" w:space="0" w:color="A0A1A3" w:themeColor="accent3" w:themeTint="99"/>
        </w:tcBorders>
      </w:tcPr>
    </w:tblStylePr>
  </w:style>
  <w:style w:type="table" w:styleId="GridTable3-Accent4">
    <w:name w:val="Grid Table 3 Accent 4"/>
    <w:basedOn w:val="TableNormal"/>
    <w:uiPriority w:val="48"/>
    <w:rsid w:val="00F527CC"/>
    <w:pPr>
      <w:spacing w:after="0" w:line="240" w:lineRule="auto"/>
    </w:p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insideV w:val="single" w:sz="4" w:space="0" w:color="E871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FD2" w:themeFill="accent4" w:themeFillTint="33"/>
      </w:tcPr>
    </w:tblStylePr>
    <w:tblStylePr w:type="band1Horz">
      <w:tblPr/>
      <w:tcPr>
        <w:shd w:val="clear" w:color="auto" w:fill="F7CFD2" w:themeFill="accent4" w:themeFillTint="33"/>
      </w:tcPr>
    </w:tblStylePr>
    <w:tblStylePr w:type="neCell">
      <w:tblPr/>
      <w:tcPr>
        <w:tcBorders>
          <w:bottom w:val="single" w:sz="4" w:space="0" w:color="E87179" w:themeColor="accent4" w:themeTint="99"/>
        </w:tcBorders>
      </w:tcPr>
    </w:tblStylePr>
    <w:tblStylePr w:type="nwCell">
      <w:tblPr/>
      <w:tcPr>
        <w:tcBorders>
          <w:bottom w:val="single" w:sz="4" w:space="0" w:color="E87179" w:themeColor="accent4" w:themeTint="99"/>
        </w:tcBorders>
      </w:tcPr>
    </w:tblStylePr>
    <w:tblStylePr w:type="seCell">
      <w:tblPr/>
      <w:tcPr>
        <w:tcBorders>
          <w:top w:val="single" w:sz="4" w:space="0" w:color="E87179" w:themeColor="accent4" w:themeTint="99"/>
        </w:tcBorders>
      </w:tcPr>
    </w:tblStylePr>
    <w:tblStylePr w:type="swCell">
      <w:tblPr/>
      <w:tcPr>
        <w:tcBorders>
          <w:top w:val="single" w:sz="4" w:space="0" w:color="E87179" w:themeColor="accent4" w:themeTint="99"/>
        </w:tcBorders>
      </w:tcPr>
    </w:tblStylePr>
  </w:style>
  <w:style w:type="table" w:styleId="GridTable3-Accent5">
    <w:name w:val="Grid Table 3 Accent 5"/>
    <w:basedOn w:val="TableNormal"/>
    <w:uiPriority w:val="48"/>
    <w:rsid w:val="00F527CC"/>
    <w:pPr>
      <w:spacing w:after="0" w:line="240" w:lineRule="auto"/>
    </w:p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insideV w:val="single" w:sz="4" w:space="0" w:color="339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DCFF" w:themeFill="accent5" w:themeFillTint="33"/>
      </w:tcPr>
    </w:tblStylePr>
    <w:tblStylePr w:type="band1Horz">
      <w:tblPr/>
      <w:tcPr>
        <w:shd w:val="clear" w:color="auto" w:fill="BBDCFF" w:themeFill="accent5" w:themeFillTint="33"/>
      </w:tcPr>
    </w:tblStylePr>
    <w:tblStylePr w:type="neCell">
      <w:tblPr/>
      <w:tcPr>
        <w:tcBorders>
          <w:bottom w:val="single" w:sz="4" w:space="0" w:color="3398FF" w:themeColor="accent5" w:themeTint="99"/>
        </w:tcBorders>
      </w:tcPr>
    </w:tblStylePr>
    <w:tblStylePr w:type="nwCell">
      <w:tblPr/>
      <w:tcPr>
        <w:tcBorders>
          <w:bottom w:val="single" w:sz="4" w:space="0" w:color="3398FF" w:themeColor="accent5" w:themeTint="99"/>
        </w:tcBorders>
      </w:tcPr>
    </w:tblStylePr>
    <w:tblStylePr w:type="seCell">
      <w:tblPr/>
      <w:tcPr>
        <w:tcBorders>
          <w:top w:val="single" w:sz="4" w:space="0" w:color="3398FF" w:themeColor="accent5" w:themeTint="99"/>
        </w:tcBorders>
      </w:tcPr>
    </w:tblStylePr>
    <w:tblStylePr w:type="swCell">
      <w:tblPr/>
      <w:tcPr>
        <w:tcBorders>
          <w:top w:val="single" w:sz="4" w:space="0" w:color="3398FF" w:themeColor="accent5" w:themeTint="99"/>
        </w:tcBorders>
      </w:tcPr>
    </w:tblStylePr>
  </w:style>
  <w:style w:type="table" w:styleId="GridTable3-Accent6">
    <w:name w:val="Grid Table 3 Accent 6"/>
    <w:basedOn w:val="TableNormal"/>
    <w:uiPriority w:val="48"/>
    <w:rsid w:val="00F527CC"/>
    <w:pPr>
      <w:spacing w:after="0" w:line="240" w:lineRule="auto"/>
    </w:p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insideV w:val="single" w:sz="4" w:space="0" w:color="FFCB7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DD2" w:themeFill="accent6" w:themeFillTint="33"/>
      </w:tcPr>
    </w:tblStylePr>
    <w:tblStylePr w:type="band1Horz">
      <w:tblPr/>
      <w:tcPr>
        <w:shd w:val="clear" w:color="auto" w:fill="FFEDD2" w:themeFill="accent6" w:themeFillTint="33"/>
      </w:tcPr>
    </w:tblStylePr>
    <w:tblStylePr w:type="neCell">
      <w:tblPr/>
      <w:tcPr>
        <w:tcBorders>
          <w:bottom w:val="single" w:sz="4" w:space="0" w:color="FFCB7A" w:themeColor="accent6" w:themeTint="99"/>
        </w:tcBorders>
      </w:tcPr>
    </w:tblStylePr>
    <w:tblStylePr w:type="nwCell">
      <w:tblPr/>
      <w:tcPr>
        <w:tcBorders>
          <w:bottom w:val="single" w:sz="4" w:space="0" w:color="FFCB7A" w:themeColor="accent6" w:themeTint="99"/>
        </w:tcBorders>
      </w:tcPr>
    </w:tblStylePr>
    <w:tblStylePr w:type="seCell">
      <w:tblPr/>
      <w:tcPr>
        <w:tcBorders>
          <w:top w:val="single" w:sz="4" w:space="0" w:color="FFCB7A" w:themeColor="accent6" w:themeTint="99"/>
        </w:tcBorders>
      </w:tcPr>
    </w:tblStylePr>
    <w:tblStylePr w:type="swCell">
      <w:tblPr/>
      <w:tcPr>
        <w:tcBorders>
          <w:top w:val="single" w:sz="4" w:space="0" w:color="FFCB7A" w:themeColor="accent6" w:themeTint="99"/>
        </w:tcBorders>
      </w:tcPr>
    </w:tblStylePr>
  </w:style>
  <w:style w:type="table" w:styleId="GridTable4">
    <w:name w:val="Grid Table 4"/>
    <w:basedOn w:val="TableNormal"/>
    <w:uiPriority w:val="49"/>
    <w:rsid w:val="00F527CC"/>
    <w:pPr>
      <w:spacing w:after="0" w:line="240" w:lineRule="auto"/>
    </w:p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blStylePr w:type="firstRow">
      <w:rPr>
        <w:b/>
        <w:bCs/>
        <w:color w:val="FFFFFF" w:themeColor="background1"/>
      </w:rPr>
      <w:tblPr/>
      <w:tcPr>
        <w:tcBorders>
          <w:top w:val="single" w:sz="4" w:space="0" w:color="404040" w:themeColor="text1"/>
          <w:left w:val="single" w:sz="4" w:space="0" w:color="404040" w:themeColor="text1"/>
          <w:bottom w:val="single" w:sz="4" w:space="0" w:color="404040" w:themeColor="text1"/>
          <w:right w:val="single" w:sz="4" w:space="0" w:color="404040" w:themeColor="text1"/>
          <w:insideH w:val="nil"/>
          <w:insideV w:val="nil"/>
        </w:tcBorders>
        <w:shd w:val="clear" w:color="auto" w:fill="404040" w:themeFill="text1"/>
      </w:tcPr>
    </w:tblStylePr>
    <w:tblStylePr w:type="lastRow">
      <w:rPr>
        <w:b/>
        <w:bCs/>
      </w:rPr>
      <w:tblPr/>
      <w:tcPr>
        <w:tcBorders>
          <w:top w:val="double" w:sz="4" w:space="0" w:color="404040" w:themeColor="text1"/>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styleId="GridTable4-Accent1">
    <w:name w:val="Grid Table 4 Accent 1"/>
    <w:basedOn w:val="TableNormal"/>
    <w:uiPriority w:val="49"/>
    <w:rsid w:val="00F527CC"/>
    <w:pPr>
      <w:spacing w:after="0" w:line="240" w:lineRule="auto"/>
    </w:p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insideV w:val="single" w:sz="4" w:space="0" w:color="DDDDDF" w:themeColor="accent1" w:themeTint="99"/>
      </w:tblBorders>
    </w:tblPr>
    <w:tblStylePr w:type="firstRow">
      <w:rPr>
        <w:b/>
        <w:bCs/>
        <w:color w:val="FFFFFF" w:themeColor="background1"/>
      </w:rPr>
      <w:tblPr/>
      <w:tcPr>
        <w:tcBorders>
          <w:top w:val="single" w:sz="4" w:space="0" w:color="C7C8CA" w:themeColor="accent1"/>
          <w:left w:val="single" w:sz="4" w:space="0" w:color="C7C8CA" w:themeColor="accent1"/>
          <w:bottom w:val="single" w:sz="4" w:space="0" w:color="C7C8CA" w:themeColor="accent1"/>
          <w:right w:val="single" w:sz="4" w:space="0" w:color="C7C8CA" w:themeColor="accent1"/>
          <w:insideH w:val="nil"/>
          <w:insideV w:val="nil"/>
        </w:tcBorders>
        <w:shd w:val="clear" w:color="auto" w:fill="C7C8CA" w:themeFill="accent1"/>
      </w:tcPr>
    </w:tblStylePr>
    <w:tblStylePr w:type="lastRow">
      <w:rPr>
        <w:b/>
        <w:bCs/>
      </w:rPr>
      <w:tblPr/>
      <w:tcPr>
        <w:tcBorders>
          <w:top w:val="double" w:sz="4" w:space="0" w:color="C7C8CA" w:themeColor="accent1"/>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styleId="GridTable4-Accent2">
    <w:name w:val="Grid Table 4 Accent 2"/>
    <w:basedOn w:val="TableNormal"/>
    <w:uiPriority w:val="49"/>
    <w:rsid w:val="00F527CC"/>
    <w:pPr>
      <w:spacing w:after="0" w:line="240" w:lineRule="auto"/>
    </w:p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insideV w:val="single" w:sz="4" w:space="0" w:color="BEBFC1" w:themeColor="accent2" w:themeTint="99"/>
      </w:tblBorders>
    </w:tblPr>
    <w:tblStylePr w:type="firstRow">
      <w:rPr>
        <w:b/>
        <w:bCs/>
        <w:color w:val="FFFFFF" w:themeColor="background1"/>
      </w:rPr>
      <w:tblPr/>
      <w:tcPr>
        <w:tcBorders>
          <w:top w:val="single" w:sz="4" w:space="0" w:color="939598" w:themeColor="accent2"/>
          <w:left w:val="single" w:sz="4" w:space="0" w:color="939598" w:themeColor="accent2"/>
          <w:bottom w:val="single" w:sz="4" w:space="0" w:color="939598" w:themeColor="accent2"/>
          <w:right w:val="single" w:sz="4" w:space="0" w:color="939598" w:themeColor="accent2"/>
          <w:insideH w:val="nil"/>
          <w:insideV w:val="nil"/>
        </w:tcBorders>
        <w:shd w:val="clear" w:color="auto" w:fill="939598" w:themeFill="accent2"/>
      </w:tcPr>
    </w:tblStylePr>
    <w:tblStylePr w:type="lastRow">
      <w:rPr>
        <w:b/>
        <w:bCs/>
      </w:rPr>
      <w:tblPr/>
      <w:tcPr>
        <w:tcBorders>
          <w:top w:val="double" w:sz="4" w:space="0" w:color="939598" w:themeColor="accent2"/>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styleId="GridTable4-Accent3">
    <w:name w:val="Grid Table 4 Accent 3"/>
    <w:basedOn w:val="TableNormal"/>
    <w:uiPriority w:val="49"/>
    <w:rsid w:val="00F527CC"/>
    <w:pPr>
      <w:spacing w:after="0" w:line="240" w:lineRule="auto"/>
    </w:p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insideV w:val="single" w:sz="4" w:space="0" w:color="A0A1A3" w:themeColor="accent3" w:themeTint="99"/>
      </w:tblBorders>
    </w:tblPr>
    <w:tblStylePr w:type="firstRow">
      <w:rPr>
        <w:b/>
        <w:bCs/>
        <w:color w:val="FFFFFF" w:themeColor="background1"/>
      </w:rPr>
      <w:tblPr/>
      <w:tcPr>
        <w:tcBorders>
          <w:top w:val="single" w:sz="4" w:space="0" w:color="636466" w:themeColor="accent3"/>
          <w:left w:val="single" w:sz="4" w:space="0" w:color="636466" w:themeColor="accent3"/>
          <w:bottom w:val="single" w:sz="4" w:space="0" w:color="636466" w:themeColor="accent3"/>
          <w:right w:val="single" w:sz="4" w:space="0" w:color="636466" w:themeColor="accent3"/>
          <w:insideH w:val="nil"/>
          <w:insideV w:val="nil"/>
        </w:tcBorders>
        <w:shd w:val="clear" w:color="auto" w:fill="636466" w:themeFill="accent3"/>
      </w:tcPr>
    </w:tblStylePr>
    <w:tblStylePr w:type="lastRow">
      <w:rPr>
        <w:b/>
        <w:bCs/>
      </w:rPr>
      <w:tblPr/>
      <w:tcPr>
        <w:tcBorders>
          <w:top w:val="double" w:sz="4" w:space="0" w:color="636466" w:themeColor="accent3"/>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styleId="GridTable4-Accent4">
    <w:name w:val="Grid Table 4 Accent 4"/>
    <w:basedOn w:val="TableNormal"/>
    <w:uiPriority w:val="49"/>
    <w:rsid w:val="00F527CC"/>
    <w:pPr>
      <w:spacing w:after="0" w:line="240" w:lineRule="auto"/>
    </w:p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insideV w:val="single" w:sz="4" w:space="0" w:color="E87179" w:themeColor="accent4" w:themeTint="99"/>
      </w:tblBorders>
    </w:tblPr>
    <w:tblStylePr w:type="firstRow">
      <w:rPr>
        <w:b/>
        <w:bCs/>
        <w:color w:val="FFFFFF" w:themeColor="background1"/>
      </w:rPr>
      <w:tblPr/>
      <w:tcPr>
        <w:tcBorders>
          <w:top w:val="single" w:sz="4" w:space="0" w:color="CD202C" w:themeColor="accent4"/>
          <w:left w:val="single" w:sz="4" w:space="0" w:color="CD202C" w:themeColor="accent4"/>
          <w:bottom w:val="single" w:sz="4" w:space="0" w:color="CD202C" w:themeColor="accent4"/>
          <w:right w:val="single" w:sz="4" w:space="0" w:color="CD202C" w:themeColor="accent4"/>
          <w:insideH w:val="nil"/>
          <w:insideV w:val="nil"/>
        </w:tcBorders>
        <w:shd w:val="clear" w:color="auto" w:fill="CD202C" w:themeFill="accent4"/>
      </w:tcPr>
    </w:tblStylePr>
    <w:tblStylePr w:type="lastRow">
      <w:rPr>
        <w:b/>
        <w:bCs/>
      </w:rPr>
      <w:tblPr/>
      <w:tcPr>
        <w:tcBorders>
          <w:top w:val="double" w:sz="4" w:space="0" w:color="CD202C" w:themeColor="accent4"/>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styleId="GridTable4-Accent5">
    <w:name w:val="Grid Table 4 Accent 5"/>
    <w:basedOn w:val="TableNormal"/>
    <w:uiPriority w:val="49"/>
    <w:rsid w:val="00F527CC"/>
    <w:pPr>
      <w:spacing w:after="0" w:line="240" w:lineRule="auto"/>
    </w:p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insideV w:val="single" w:sz="4" w:space="0" w:color="3398FF" w:themeColor="accent5" w:themeTint="99"/>
      </w:tblBorders>
    </w:tblPr>
    <w:tblStylePr w:type="firstRow">
      <w:rPr>
        <w:b/>
        <w:bCs/>
        <w:color w:val="FFFFFF" w:themeColor="background1"/>
      </w:rPr>
      <w:tblPr/>
      <w:tcPr>
        <w:tcBorders>
          <w:top w:val="single" w:sz="4" w:space="0" w:color="0055AA" w:themeColor="accent5"/>
          <w:left w:val="single" w:sz="4" w:space="0" w:color="0055AA" w:themeColor="accent5"/>
          <w:bottom w:val="single" w:sz="4" w:space="0" w:color="0055AA" w:themeColor="accent5"/>
          <w:right w:val="single" w:sz="4" w:space="0" w:color="0055AA" w:themeColor="accent5"/>
          <w:insideH w:val="nil"/>
          <w:insideV w:val="nil"/>
        </w:tcBorders>
        <w:shd w:val="clear" w:color="auto" w:fill="0055AA" w:themeFill="accent5"/>
      </w:tcPr>
    </w:tblStylePr>
    <w:tblStylePr w:type="lastRow">
      <w:rPr>
        <w:b/>
        <w:bCs/>
      </w:rPr>
      <w:tblPr/>
      <w:tcPr>
        <w:tcBorders>
          <w:top w:val="double" w:sz="4" w:space="0" w:color="0055AA" w:themeColor="accent5"/>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styleId="GridTable4-Accent6">
    <w:name w:val="Grid Table 4 Accent 6"/>
    <w:basedOn w:val="TableNormal"/>
    <w:uiPriority w:val="49"/>
    <w:rsid w:val="00F527CC"/>
    <w:pPr>
      <w:spacing w:after="0" w:line="240" w:lineRule="auto"/>
    </w:p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insideV w:val="single" w:sz="4" w:space="0" w:color="FFCB7A" w:themeColor="accent6" w:themeTint="99"/>
      </w:tblBorders>
    </w:tblPr>
    <w:tblStylePr w:type="firstRow">
      <w:rPr>
        <w:b/>
        <w:bCs/>
        <w:color w:val="FFFFFF" w:themeColor="background1"/>
      </w:rPr>
      <w:tblPr/>
      <w:tcPr>
        <w:tcBorders>
          <w:top w:val="single" w:sz="4" w:space="0" w:color="FFAA22" w:themeColor="accent6"/>
          <w:left w:val="single" w:sz="4" w:space="0" w:color="FFAA22" w:themeColor="accent6"/>
          <w:bottom w:val="single" w:sz="4" w:space="0" w:color="FFAA22" w:themeColor="accent6"/>
          <w:right w:val="single" w:sz="4" w:space="0" w:color="FFAA22" w:themeColor="accent6"/>
          <w:insideH w:val="nil"/>
          <w:insideV w:val="nil"/>
        </w:tcBorders>
        <w:shd w:val="clear" w:color="auto" w:fill="FFAA22" w:themeFill="accent6"/>
      </w:tcPr>
    </w:tblStylePr>
    <w:tblStylePr w:type="lastRow">
      <w:rPr>
        <w:b/>
        <w:bCs/>
      </w:rPr>
      <w:tblPr/>
      <w:tcPr>
        <w:tcBorders>
          <w:top w:val="double" w:sz="4" w:space="0" w:color="FFAA22" w:themeColor="accent6"/>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styleId="GridTable5Dark">
    <w:name w:val="Grid Table 5 Dark"/>
    <w:basedOn w:val="TableNormal"/>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8"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4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4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4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40" w:themeFill="text1"/>
      </w:tcPr>
    </w:tblStylePr>
    <w:tblStylePr w:type="band1Vert">
      <w:tblPr/>
      <w:tcPr>
        <w:shd w:val="clear" w:color="auto" w:fill="B2B2B2" w:themeFill="text1" w:themeFillTint="66"/>
      </w:tcPr>
    </w:tblStylePr>
    <w:tblStylePr w:type="band1Horz">
      <w:tblPr/>
      <w:tcPr>
        <w:shd w:val="clear" w:color="auto" w:fill="B2B2B2" w:themeFill="text1" w:themeFillTint="66"/>
      </w:tcPr>
    </w:tblStylePr>
  </w:style>
  <w:style w:type="table" w:styleId="GridTable5Dark-Accent1">
    <w:name w:val="Grid Table 5 Dark Accent 1"/>
    <w:basedOn w:val="TableNormal"/>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3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7C8C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7C8C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7C8C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7C8CA" w:themeFill="accent1"/>
      </w:tcPr>
    </w:tblStylePr>
    <w:tblStylePr w:type="band1Vert">
      <w:tblPr/>
      <w:tcPr>
        <w:shd w:val="clear" w:color="auto" w:fill="E8E8E9" w:themeFill="accent1" w:themeFillTint="66"/>
      </w:tcPr>
    </w:tblStylePr>
    <w:tblStylePr w:type="band1Horz">
      <w:tblPr/>
      <w:tcPr>
        <w:shd w:val="clear" w:color="auto" w:fill="E8E8E9" w:themeFill="accent1" w:themeFillTint="66"/>
      </w:tcPr>
    </w:tblStylePr>
  </w:style>
  <w:style w:type="table" w:styleId="GridTable5Dark-Accent2">
    <w:name w:val="Grid Table 5 Dark Accent 2"/>
    <w:basedOn w:val="TableNormal"/>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2"/>
      </w:tcPr>
    </w:tblStylePr>
    <w:tblStylePr w:type="band1Vert">
      <w:tblPr/>
      <w:tcPr>
        <w:shd w:val="clear" w:color="auto" w:fill="D3D4D5" w:themeFill="accent2" w:themeFillTint="66"/>
      </w:tcPr>
    </w:tblStylePr>
    <w:tblStylePr w:type="band1Horz">
      <w:tblPr/>
      <w:tcPr>
        <w:shd w:val="clear" w:color="auto" w:fill="D3D4D5" w:themeFill="accent2" w:themeFillTint="66"/>
      </w:tcPr>
    </w:tblStylePr>
  </w:style>
  <w:style w:type="table" w:styleId="GridTable5Dark-Accent3">
    <w:name w:val="Grid Table 5 Dark Accent 3"/>
    <w:basedOn w:val="TableNormal"/>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646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646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646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6466" w:themeFill="accent3"/>
      </w:tcPr>
    </w:tblStylePr>
    <w:tblStylePr w:type="band1Vert">
      <w:tblPr/>
      <w:tcPr>
        <w:shd w:val="clear" w:color="auto" w:fill="C0C0C2" w:themeFill="accent3" w:themeFillTint="66"/>
      </w:tcPr>
    </w:tblStylePr>
    <w:tblStylePr w:type="band1Horz">
      <w:tblPr/>
      <w:tcPr>
        <w:shd w:val="clear" w:color="auto" w:fill="C0C0C2" w:themeFill="accent3" w:themeFillTint="66"/>
      </w:tcPr>
    </w:tblStylePr>
  </w:style>
  <w:style w:type="table" w:styleId="GridTable5Dark-Accent4">
    <w:name w:val="Grid Table 5 Dark Accent 4"/>
    <w:basedOn w:val="TableNormal"/>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F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202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202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202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202C" w:themeFill="accent4"/>
      </w:tcPr>
    </w:tblStylePr>
    <w:tblStylePr w:type="band1Vert">
      <w:tblPr/>
      <w:tcPr>
        <w:shd w:val="clear" w:color="auto" w:fill="F0A0A5" w:themeFill="accent4" w:themeFillTint="66"/>
      </w:tcPr>
    </w:tblStylePr>
    <w:tblStylePr w:type="band1Horz">
      <w:tblPr/>
      <w:tcPr>
        <w:shd w:val="clear" w:color="auto" w:fill="F0A0A5" w:themeFill="accent4" w:themeFillTint="66"/>
      </w:tcPr>
    </w:tblStylePr>
  </w:style>
  <w:style w:type="table" w:styleId="GridTable5Dark-Accent5">
    <w:name w:val="Grid Table 5 Dark Accent 5"/>
    <w:basedOn w:val="TableNormal"/>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DC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5A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5A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5A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5AA" w:themeFill="accent5"/>
      </w:tcPr>
    </w:tblStylePr>
    <w:tblStylePr w:type="band1Vert">
      <w:tblPr/>
      <w:tcPr>
        <w:shd w:val="clear" w:color="auto" w:fill="77BAFF" w:themeFill="accent5" w:themeFillTint="66"/>
      </w:tcPr>
    </w:tblStylePr>
    <w:tblStylePr w:type="band1Horz">
      <w:tblPr/>
      <w:tcPr>
        <w:shd w:val="clear" w:color="auto" w:fill="77BAFF" w:themeFill="accent5" w:themeFillTint="66"/>
      </w:tcPr>
    </w:tblStylePr>
  </w:style>
  <w:style w:type="table" w:styleId="GridTable5Dark-Accent6">
    <w:name w:val="Grid Table 5 Dark Accent 6"/>
    <w:basedOn w:val="TableNormal"/>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D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A2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A2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A2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A22" w:themeFill="accent6"/>
      </w:tcPr>
    </w:tblStylePr>
    <w:tblStylePr w:type="band1Vert">
      <w:tblPr/>
      <w:tcPr>
        <w:shd w:val="clear" w:color="auto" w:fill="FFDCA6" w:themeFill="accent6" w:themeFillTint="66"/>
      </w:tcPr>
    </w:tblStylePr>
    <w:tblStylePr w:type="band1Horz">
      <w:tblPr/>
      <w:tcPr>
        <w:shd w:val="clear" w:color="auto" w:fill="FFDCA6" w:themeFill="accent6" w:themeFillTint="66"/>
      </w:tcPr>
    </w:tblStylePr>
  </w:style>
  <w:style w:type="table" w:styleId="GridTable6Colorful">
    <w:name w:val="Grid Table 6 Colorful"/>
    <w:basedOn w:val="TableNormal"/>
    <w:uiPriority w:val="51"/>
    <w:rsid w:val="00F527CC"/>
    <w:pPr>
      <w:spacing w:after="0" w:line="240" w:lineRule="auto"/>
    </w:pPr>
    <w:rPr>
      <w:color w:val="404040" w:themeColor="text1"/>
    </w:r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blStylePr w:type="firstRow">
      <w:rPr>
        <w:b/>
        <w:bCs/>
      </w:rPr>
      <w:tblPr/>
      <w:tcPr>
        <w:tcBorders>
          <w:bottom w:val="single" w:sz="12" w:space="0" w:color="8C8C8C" w:themeColor="text1" w:themeTint="99"/>
        </w:tcBorders>
      </w:tcPr>
    </w:tblStylePr>
    <w:tblStylePr w:type="lastRow">
      <w:rPr>
        <w:b/>
        <w:bCs/>
      </w:rPr>
      <w:tblPr/>
      <w:tcPr>
        <w:tcBorders>
          <w:top w:val="double" w:sz="4" w:space="0" w:color="8C8C8C" w:themeColor="text1" w:themeTint="99"/>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styleId="GridTable6Colorful-Accent1">
    <w:name w:val="Grid Table 6 Colorful Accent 1"/>
    <w:basedOn w:val="TableNormal"/>
    <w:uiPriority w:val="51"/>
    <w:rsid w:val="00F527CC"/>
    <w:pPr>
      <w:spacing w:after="0" w:line="240" w:lineRule="auto"/>
    </w:pPr>
    <w:rPr>
      <w:color w:val="939599" w:themeColor="accent1" w:themeShade="BF"/>
    </w:r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insideV w:val="single" w:sz="4" w:space="0" w:color="DDDDDF" w:themeColor="accent1" w:themeTint="99"/>
      </w:tblBorders>
    </w:tblPr>
    <w:tblStylePr w:type="firstRow">
      <w:rPr>
        <w:b/>
        <w:bCs/>
      </w:rPr>
      <w:tblPr/>
      <w:tcPr>
        <w:tcBorders>
          <w:bottom w:val="single" w:sz="12" w:space="0" w:color="DDDDDF" w:themeColor="accent1" w:themeTint="99"/>
        </w:tcBorders>
      </w:tcPr>
    </w:tblStylePr>
    <w:tblStylePr w:type="lastRow">
      <w:rPr>
        <w:b/>
        <w:bCs/>
      </w:rPr>
      <w:tblPr/>
      <w:tcPr>
        <w:tcBorders>
          <w:top w:val="double" w:sz="4" w:space="0" w:color="DDDDDF" w:themeColor="accent1" w:themeTint="99"/>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styleId="GridTable6Colorful-Accent2">
    <w:name w:val="Grid Table 6 Colorful Accent 2"/>
    <w:basedOn w:val="TableNormal"/>
    <w:uiPriority w:val="51"/>
    <w:rsid w:val="00F527CC"/>
    <w:pPr>
      <w:spacing w:after="0" w:line="240" w:lineRule="auto"/>
    </w:pPr>
    <w:rPr>
      <w:color w:val="6D6F72" w:themeColor="accent2" w:themeShade="BF"/>
    </w:r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insideV w:val="single" w:sz="4" w:space="0" w:color="BEBFC1" w:themeColor="accent2" w:themeTint="99"/>
      </w:tblBorders>
    </w:tblPr>
    <w:tblStylePr w:type="firstRow">
      <w:rPr>
        <w:b/>
        <w:bCs/>
      </w:rPr>
      <w:tblPr/>
      <w:tcPr>
        <w:tcBorders>
          <w:bottom w:val="single" w:sz="12" w:space="0" w:color="BEBFC1" w:themeColor="accent2" w:themeTint="99"/>
        </w:tcBorders>
      </w:tcPr>
    </w:tblStylePr>
    <w:tblStylePr w:type="lastRow">
      <w:rPr>
        <w:b/>
        <w:bCs/>
      </w:rPr>
      <w:tblPr/>
      <w:tcPr>
        <w:tcBorders>
          <w:top w:val="double" w:sz="4" w:space="0" w:color="BEBFC1" w:themeColor="accent2" w:themeTint="99"/>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styleId="GridTable6Colorful-Accent3">
    <w:name w:val="Grid Table 6 Colorful Accent 3"/>
    <w:basedOn w:val="TableNormal"/>
    <w:uiPriority w:val="51"/>
    <w:rsid w:val="00F527CC"/>
    <w:pPr>
      <w:spacing w:after="0" w:line="240" w:lineRule="auto"/>
    </w:pPr>
    <w:rPr>
      <w:color w:val="4A4A4C" w:themeColor="accent3" w:themeShade="BF"/>
    </w:r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insideV w:val="single" w:sz="4" w:space="0" w:color="A0A1A3" w:themeColor="accent3" w:themeTint="99"/>
      </w:tblBorders>
    </w:tblPr>
    <w:tblStylePr w:type="firstRow">
      <w:rPr>
        <w:b/>
        <w:bCs/>
      </w:rPr>
      <w:tblPr/>
      <w:tcPr>
        <w:tcBorders>
          <w:bottom w:val="single" w:sz="12" w:space="0" w:color="A0A1A3" w:themeColor="accent3" w:themeTint="99"/>
        </w:tcBorders>
      </w:tcPr>
    </w:tblStylePr>
    <w:tblStylePr w:type="lastRow">
      <w:rPr>
        <w:b/>
        <w:bCs/>
      </w:rPr>
      <w:tblPr/>
      <w:tcPr>
        <w:tcBorders>
          <w:top w:val="double" w:sz="4" w:space="0" w:color="A0A1A3" w:themeColor="accent3" w:themeTint="99"/>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styleId="GridTable6Colorful-Accent4">
    <w:name w:val="Grid Table 6 Colorful Accent 4"/>
    <w:basedOn w:val="TableNormal"/>
    <w:uiPriority w:val="51"/>
    <w:rsid w:val="00F527CC"/>
    <w:pPr>
      <w:spacing w:after="0" w:line="240" w:lineRule="auto"/>
    </w:pPr>
    <w:rPr>
      <w:color w:val="991820" w:themeColor="accent4" w:themeShade="BF"/>
    </w:r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insideV w:val="single" w:sz="4" w:space="0" w:color="E87179" w:themeColor="accent4" w:themeTint="99"/>
      </w:tblBorders>
    </w:tblPr>
    <w:tblStylePr w:type="firstRow">
      <w:rPr>
        <w:b/>
        <w:bCs/>
      </w:rPr>
      <w:tblPr/>
      <w:tcPr>
        <w:tcBorders>
          <w:bottom w:val="single" w:sz="12" w:space="0" w:color="E87179" w:themeColor="accent4" w:themeTint="99"/>
        </w:tcBorders>
      </w:tcPr>
    </w:tblStylePr>
    <w:tblStylePr w:type="lastRow">
      <w:rPr>
        <w:b/>
        <w:bCs/>
      </w:rPr>
      <w:tblPr/>
      <w:tcPr>
        <w:tcBorders>
          <w:top w:val="double" w:sz="4" w:space="0" w:color="E87179" w:themeColor="accent4" w:themeTint="99"/>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styleId="GridTable6Colorful-Accent5">
    <w:name w:val="Grid Table 6 Colorful Accent 5"/>
    <w:basedOn w:val="TableNormal"/>
    <w:uiPriority w:val="51"/>
    <w:rsid w:val="00F527CC"/>
    <w:pPr>
      <w:spacing w:after="0" w:line="240" w:lineRule="auto"/>
    </w:pPr>
    <w:rPr>
      <w:color w:val="003F7F" w:themeColor="accent5" w:themeShade="BF"/>
    </w:r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insideV w:val="single" w:sz="4" w:space="0" w:color="3398FF" w:themeColor="accent5" w:themeTint="99"/>
      </w:tblBorders>
    </w:tblPr>
    <w:tblStylePr w:type="firstRow">
      <w:rPr>
        <w:b/>
        <w:bCs/>
      </w:rPr>
      <w:tblPr/>
      <w:tcPr>
        <w:tcBorders>
          <w:bottom w:val="single" w:sz="12" w:space="0" w:color="3398FF" w:themeColor="accent5" w:themeTint="99"/>
        </w:tcBorders>
      </w:tcPr>
    </w:tblStylePr>
    <w:tblStylePr w:type="lastRow">
      <w:rPr>
        <w:b/>
        <w:bCs/>
      </w:rPr>
      <w:tblPr/>
      <w:tcPr>
        <w:tcBorders>
          <w:top w:val="double" w:sz="4" w:space="0" w:color="3398FF" w:themeColor="accent5" w:themeTint="99"/>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styleId="GridTable6Colorful-Accent6">
    <w:name w:val="Grid Table 6 Colorful Accent 6"/>
    <w:basedOn w:val="TableNormal"/>
    <w:uiPriority w:val="51"/>
    <w:rsid w:val="00F527CC"/>
    <w:pPr>
      <w:spacing w:after="0" w:line="240" w:lineRule="auto"/>
    </w:pPr>
    <w:rPr>
      <w:color w:val="D88400" w:themeColor="accent6" w:themeShade="BF"/>
    </w:r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insideV w:val="single" w:sz="4" w:space="0" w:color="FFCB7A" w:themeColor="accent6" w:themeTint="99"/>
      </w:tblBorders>
    </w:tblPr>
    <w:tblStylePr w:type="firstRow">
      <w:rPr>
        <w:b/>
        <w:bCs/>
      </w:rPr>
      <w:tblPr/>
      <w:tcPr>
        <w:tcBorders>
          <w:bottom w:val="single" w:sz="12" w:space="0" w:color="FFCB7A" w:themeColor="accent6" w:themeTint="99"/>
        </w:tcBorders>
      </w:tcPr>
    </w:tblStylePr>
    <w:tblStylePr w:type="lastRow">
      <w:rPr>
        <w:b/>
        <w:bCs/>
      </w:rPr>
      <w:tblPr/>
      <w:tcPr>
        <w:tcBorders>
          <w:top w:val="double" w:sz="4" w:space="0" w:color="FFCB7A" w:themeColor="accent6" w:themeTint="99"/>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styleId="GridTable7Colorful">
    <w:name w:val="Grid Table 7 Colorful"/>
    <w:basedOn w:val="TableNormal"/>
    <w:uiPriority w:val="52"/>
    <w:rsid w:val="00F527CC"/>
    <w:pPr>
      <w:spacing w:after="0" w:line="240" w:lineRule="auto"/>
    </w:pPr>
    <w:rPr>
      <w:color w:val="404040" w:themeColor="text1"/>
    </w:r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8D8" w:themeFill="text1" w:themeFillTint="33"/>
      </w:tcPr>
    </w:tblStylePr>
    <w:tblStylePr w:type="band1Horz">
      <w:tblPr/>
      <w:tcPr>
        <w:shd w:val="clear" w:color="auto" w:fill="D8D8D8" w:themeFill="text1" w:themeFillTint="33"/>
      </w:tcPr>
    </w:tblStylePr>
    <w:tblStylePr w:type="neCell">
      <w:tblPr/>
      <w:tcPr>
        <w:tcBorders>
          <w:bottom w:val="single" w:sz="4" w:space="0" w:color="8C8C8C" w:themeColor="text1" w:themeTint="99"/>
        </w:tcBorders>
      </w:tcPr>
    </w:tblStylePr>
    <w:tblStylePr w:type="nwCell">
      <w:tblPr/>
      <w:tcPr>
        <w:tcBorders>
          <w:bottom w:val="single" w:sz="4" w:space="0" w:color="8C8C8C" w:themeColor="text1" w:themeTint="99"/>
        </w:tcBorders>
      </w:tcPr>
    </w:tblStylePr>
    <w:tblStylePr w:type="seCell">
      <w:tblPr/>
      <w:tcPr>
        <w:tcBorders>
          <w:top w:val="single" w:sz="4" w:space="0" w:color="8C8C8C" w:themeColor="text1" w:themeTint="99"/>
        </w:tcBorders>
      </w:tcPr>
    </w:tblStylePr>
    <w:tblStylePr w:type="swCell">
      <w:tblPr/>
      <w:tcPr>
        <w:tcBorders>
          <w:top w:val="single" w:sz="4" w:space="0" w:color="8C8C8C" w:themeColor="text1" w:themeTint="99"/>
        </w:tcBorders>
      </w:tcPr>
    </w:tblStylePr>
  </w:style>
  <w:style w:type="table" w:styleId="GridTable7Colorful-Accent1">
    <w:name w:val="Grid Table 7 Colorful Accent 1"/>
    <w:basedOn w:val="TableNormal"/>
    <w:uiPriority w:val="52"/>
    <w:rsid w:val="00F527CC"/>
    <w:pPr>
      <w:spacing w:after="0" w:line="240" w:lineRule="auto"/>
    </w:pPr>
    <w:rPr>
      <w:color w:val="939599" w:themeColor="accent1" w:themeShade="BF"/>
    </w:r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insideV w:val="single" w:sz="4" w:space="0" w:color="DDDDD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4" w:themeFill="accent1" w:themeFillTint="33"/>
      </w:tcPr>
    </w:tblStylePr>
    <w:tblStylePr w:type="band1Horz">
      <w:tblPr/>
      <w:tcPr>
        <w:shd w:val="clear" w:color="auto" w:fill="F3F3F4" w:themeFill="accent1" w:themeFillTint="33"/>
      </w:tcPr>
    </w:tblStylePr>
    <w:tblStylePr w:type="neCell">
      <w:tblPr/>
      <w:tcPr>
        <w:tcBorders>
          <w:bottom w:val="single" w:sz="4" w:space="0" w:color="DDDDDF" w:themeColor="accent1" w:themeTint="99"/>
        </w:tcBorders>
      </w:tcPr>
    </w:tblStylePr>
    <w:tblStylePr w:type="nwCell">
      <w:tblPr/>
      <w:tcPr>
        <w:tcBorders>
          <w:bottom w:val="single" w:sz="4" w:space="0" w:color="DDDDDF" w:themeColor="accent1" w:themeTint="99"/>
        </w:tcBorders>
      </w:tcPr>
    </w:tblStylePr>
    <w:tblStylePr w:type="seCell">
      <w:tblPr/>
      <w:tcPr>
        <w:tcBorders>
          <w:top w:val="single" w:sz="4" w:space="0" w:color="DDDDDF" w:themeColor="accent1" w:themeTint="99"/>
        </w:tcBorders>
      </w:tcPr>
    </w:tblStylePr>
    <w:tblStylePr w:type="swCell">
      <w:tblPr/>
      <w:tcPr>
        <w:tcBorders>
          <w:top w:val="single" w:sz="4" w:space="0" w:color="DDDDDF" w:themeColor="accent1" w:themeTint="99"/>
        </w:tcBorders>
      </w:tcPr>
    </w:tblStylePr>
  </w:style>
  <w:style w:type="table" w:styleId="GridTable7Colorful-Accent2">
    <w:name w:val="Grid Table 7 Colorful Accent 2"/>
    <w:basedOn w:val="TableNormal"/>
    <w:uiPriority w:val="52"/>
    <w:rsid w:val="00F527CC"/>
    <w:pPr>
      <w:spacing w:after="0" w:line="240" w:lineRule="auto"/>
    </w:pPr>
    <w:rPr>
      <w:color w:val="6D6F72" w:themeColor="accent2" w:themeShade="BF"/>
    </w:r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insideV w:val="single" w:sz="4" w:space="0" w:color="BEB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9EA" w:themeFill="accent2" w:themeFillTint="33"/>
      </w:tcPr>
    </w:tblStylePr>
    <w:tblStylePr w:type="band1Horz">
      <w:tblPr/>
      <w:tcPr>
        <w:shd w:val="clear" w:color="auto" w:fill="E9E9EA" w:themeFill="accent2" w:themeFillTint="33"/>
      </w:tcPr>
    </w:tblStylePr>
    <w:tblStylePr w:type="neCell">
      <w:tblPr/>
      <w:tcPr>
        <w:tcBorders>
          <w:bottom w:val="single" w:sz="4" w:space="0" w:color="BEBFC1" w:themeColor="accent2" w:themeTint="99"/>
        </w:tcBorders>
      </w:tcPr>
    </w:tblStylePr>
    <w:tblStylePr w:type="nwCell">
      <w:tblPr/>
      <w:tcPr>
        <w:tcBorders>
          <w:bottom w:val="single" w:sz="4" w:space="0" w:color="BEBFC1" w:themeColor="accent2" w:themeTint="99"/>
        </w:tcBorders>
      </w:tcPr>
    </w:tblStylePr>
    <w:tblStylePr w:type="seCell">
      <w:tblPr/>
      <w:tcPr>
        <w:tcBorders>
          <w:top w:val="single" w:sz="4" w:space="0" w:color="BEBFC1" w:themeColor="accent2" w:themeTint="99"/>
        </w:tcBorders>
      </w:tcPr>
    </w:tblStylePr>
    <w:tblStylePr w:type="swCell">
      <w:tblPr/>
      <w:tcPr>
        <w:tcBorders>
          <w:top w:val="single" w:sz="4" w:space="0" w:color="BEBFC1" w:themeColor="accent2" w:themeTint="99"/>
        </w:tcBorders>
      </w:tcPr>
    </w:tblStylePr>
  </w:style>
  <w:style w:type="table" w:styleId="GridTable7Colorful-Accent3">
    <w:name w:val="Grid Table 7 Colorful Accent 3"/>
    <w:basedOn w:val="TableNormal"/>
    <w:uiPriority w:val="52"/>
    <w:rsid w:val="00F527CC"/>
    <w:pPr>
      <w:spacing w:after="0" w:line="240" w:lineRule="auto"/>
    </w:pPr>
    <w:rPr>
      <w:color w:val="4A4A4C" w:themeColor="accent3" w:themeShade="BF"/>
    </w:r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insideV w:val="single" w:sz="4" w:space="0" w:color="A0A1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E0" w:themeFill="accent3" w:themeFillTint="33"/>
      </w:tcPr>
    </w:tblStylePr>
    <w:tblStylePr w:type="band1Horz">
      <w:tblPr/>
      <w:tcPr>
        <w:shd w:val="clear" w:color="auto" w:fill="DFDFE0" w:themeFill="accent3" w:themeFillTint="33"/>
      </w:tcPr>
    </w:tblStylePr>
    <w:tblStylePr w:type="neCell">
      <w:tblPr/>
      <w:tcPr>
        <w:tcBorders>
          <w:bottom w:val="single" w:sz="4" w:space="0" w:color="A0A1A3" w:themeColor="accent3" w:themeTint="99"/>
        </w:tcBorders>
      </w:tcPr>
    </w:tblStylePr>
    <w:tblStylePr w:type="nwCell">
      <w:tblPr/>
      <w:tcPr>
        <w:tcBorders>
          <w:bottom w:val="single" w:sz="4" w:space="0" w:color="A0A1A3" w:themeColor="accent3" w:themeTint="99"/>
        </w:tcBorders>
      </w:tcPr>
    </w:tblStylePr>
    <w:tblStylePr w:type="seCell">
      <w:tblPr/>
      <w:tcPr>
        <w:tcBorders>
          <w:top w:val="single" w:sz="4" w:space="0" w:color="A0A1A3" w:themeColor="accent3" w:themeTint="99"/>
        </w:tcBorders>
      </w:tcPr>
    </w:tblStylePr>
    <w:tblStylePr w:type="swCell">
      <w:tblPr/>
      <w:tcPr>
        <w:tcBorders>
          <w:top w:val="single" w:sz="4" w:space="0" w:color="A0A1A3" w:themeColor="accent3" w:themeTint="99"/>
        </w:tcBorders>
      </w:tcPr>
    </w:tblStylePr>
  </w:style>
  <w:style w:type="table" w:styleId="GridTable7Colorful-Accent4">
    <w:name w:val="Grid Table 7 Colorful Accent 4"/>
    <w:basedOn w:val="TableNormal"/>
    <w:uiPriority w:val="52"/>
    <w:rsid w:val="00F527CC"/>
    <w:pPr>
      <w:spacing w:after="0" w:line="240" w:lineRule="auto"/>
    </w:pPr>
    <w:rPr>
      <w:color w:val="991820" w:themeColor="accent4" w:themeShade="BF"/>
    </w:r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insideV w:val="single" w:sz="4" w:space="0" w:color="E871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FD2" w:themeFill="accent4" w:themeFillTint="33"/>
      </w:tcPr>
    </w:tblStylePr>
    <w:tblStylePr w:type="band1Horz">
      <w:tblPr/>
      <w:tcPr>
        <w:shd w:val="clear" w:color="auto" w:fill="F7CFD2" w:themeFill="accent4" w:themeFillTint="33"/>
      </w:tcPr>
    </w:tblStylePr>
    <w:tblStylePr w:type="neCell">
      <w:tblPr/>
      <w:tcPr>
        <w:tcBorders>
          <w:bottom w:val="single" w:sz="4" w:space="0" w:color="E87179" w:themeColor="accent4" w:themeTint="99"/>
        </w:tcBorders>
      </w:tcPr>
    </w:tblStylePr>
    <w:tblStylePr w:type="nwCell">
      <w:tblPr/>
      <w:tcPr>
        <w:tcBorders>
          <w:bottom w:val="single" w:sz="4" w:space="0" w:color="E87179" w:themeColor="accent4" w:themeTint="99"/>
        </w:tcBorders>
      </w:tcPr>
    </w:tblStylePr>
    <w:tblStylePr w:type="seCell">
      <w:tblPr/>
      <w:tcPr>
        <w:tcBorders>
          <w:top w:val="single" w:sz="4" w:space="0" w:color="E87179" w:themeColor="accent4" w:themeTint="99"/>
        </w:tcBorders>
      </w:tcPr>
    </w:tblStylePr>
    <w:tblStylePr w:type="swCell">
      <w:tblPr/>
      <w:tcPr>
        <w:tcBorders>
          <w:top w:val="single" w:sz="4" w:space="0" w:color="E87179" w:themeColor="accent4" w:themeTint="99"/>
        </w:tcBorders>
      </w:tcPr>
    </w:tblStylePr>
  </w:style>
  <w:style w:type="table" w:styleId="GridTable7Colorful-Accent5">
    <w:name w:val="Grid Table 7 Colorful Accent 5"/>
    <w:basedOn w:val="TableNormal"/>
    <w:uiPriority w:val="52"/>
    <w:rsid w:val="00F527CC"/>
    <w:pPr>
      <w:spacing w:after="0" w:line="240" w:lineRule="auto"/>
    </w:pPr>
    <w:rPr>
      <w:color w:val="003F7F" w:themeColor="accent5" w:themeShade="BF"/>
    </w:r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insideV w:val="single" w:sz="4" w:space="0" w:color="339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DCFF" w:themeFill="accent5" w:themeFillTint="33"/>
      </w:tcPr>
    </w:tblStylePr>
    <w:tblStylePr w:type="band1Horz">
      <w:tblPr/>
      <w:tcPr>
        <w:shd w:val="clear" w:color="auto" w:fill="BBDCFF" w:themeFill="accent5" w:themeFillTint="33"/>
      </w:tcPr>
    </w:tblStylePr>
    <w:tblStylePr w:type="neCell">
      <w:tblPr/>
      <w:tcPr>
        <w:tcBorders>
          <w:bottom w:val="single" w:sz="4" w:space="0" w:color="3398FF" w:themeColor="accent5" w:themeTint="99"/>
        </w:tcBorders>
      </w:tcPr>
    </w:tblStylePr>
    <w:tblStylePr w:type="nwCell">
      <w:tblPr/>
      <w:tcPr>
        <w:tcBorders>
          <w:bottom w:val="single" w:sz="4" w:space="0" w:color="3398FF" w:themeColor="accent5" w:themeTint="99"/>
        </w:tcBorders>
      </w:tcPr>
    </w:tblStylePr>
    <w:tblStylePr w:type="seCell">
      <w:tblPr/>
      <w:tcPr>
        <w:tcBorders>
          <w:top w:val="single" w:sz="4" w:space="0" w:color="3398FF" w:themeColor="accent5" w:themeTint="99"/>
        </w:tcBorders>
      </w:tcPr>
    </w:tblStylePr>
    <w:tblStylePr w:type="swCell">
      <w:tblPr/>
      <w:tcPr>
        <w:tcBorders>
          <w:top w:val="single" w:sz="4" w:space="0" w:color="3398FF" w:themeColor="accent5" w:themeTint="99"/>
        </w:tcBorders>
      </w:tcPr>
    </w:tblStylePr>
  </w:style>
  <w:style w:type="table" w:styleId="GridTable7Colorful-Accent6">
    <w:name w:val="Grid Table 7 Colorful Accent 6"/>
    <w:basedOn w:val="TableNormal"/>
    <w:uiPriority w:val="52"/>
    <w:rsid w:val="00F527CC"/>
    <w:pPr>
      <w:spacing w:after="0" w:line="240" w:lineRule="auto"/>
    </w:pPr>
    <w:rPr>
      <w:color w:val="D88400" w:themeColor="accent6" w:themeShade="BF"/>
    </w:r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insideV w:val="single" w:sz="4" w:space="0" w:color="FFCB7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DD2" w:themeFill="accent6" w:themeFillTint="33"/>
      </w:tcPr>
    </w:tblStylePr>
    <w:tblStylePr w:type="band1Horz">
      <w:tblPr/>
      <w:tcPr>
        <w:shd w:val="clear" w:color="auto" w:fill="FFEDD2" w:themeFill="accent6" w:themeFillTint="33"/>
      </w:tcPr>
    </w:tblStylePr>
    <w:tblStylePr w:type="neCell">
      <w:tblPr/>
      <w:tcPr>
        <w:tcBorders>
          <w:bottom w:val="single" w:sz="4" w:space="0" w:color="FFCB7A" w:themeColor="accent6" w:themeTint="99"/>
        </w:tcBorders>
      </w:tcPr>
    </w:tblStylePr>
    <w:tblStylePr w:type="nwCell">
      <w:tblPr/>
      <w:tcPr>
        <w:tcBorders>
          <w:bottom w:val="single" w:sz="4" w:space="0" w:color="FFCB7A" w:themeColor="accent6" w:themeTint="99"/>
        </w:tcBorders>
      </w:tcPr>
    </w:tblStylePr>
    <w:tblStylePr w:type="seCell">
      <w:tblPr/>
      <w:tcPr>
        <w:tcBorders>
          <w:top w:val="single" w:sz="4" w:space="0" w:color="FFCB7A" w:themeColor="accent6" w:themeTint="99"/>
        </w:tcBorders>
      </w:tcPr>
    </w:tblStylePr>
    <w:tblStylePr w:type="swCell">
      <w:tblPr/>
      <w:tcPr>
        <w:tcBorders>
          <w:top w:val="single" w:sz="4" w:space="0" w:color="FFCB7A" w:themeColor="accent6" w:themeTint="99"/>
        </w:tcBorders>
      </w:tcPr>
    </w:tblStylePr>
  </w:style>
  <w:style w:type="character" w:styleId="HTMLAcronym">
    <w:name w:val="HTML Acronym"/>
    <w:basedOn w:val="DefaultParagraphFont"/>
    <w:uiPriority w:val="99"/>
    <w:semiHidden/>
    <w:unhideWhenUsed/>
    <w:rsid w:val="00F527CC"/>
    <w:rPr>
      <w:lang w:val="en-US"/>
    </w:rPr>
  </w:style>
  <w:style w:type="paragraph" w:styleId="HTMLAddress">
    <w:name w:val="HTML Address"/>
    <w:basedOn w:val="Normal"/>
    <w:link w:val="HTMLAddressChar"/>
    <w:uiPriority w:val="99"/>
    <w:semiHidden/>
    <w:unhideWhenUsed/>
    <w:rsid w:val="00F527CC"/>
    <w:pPr>
      <w:spacing w:after="0" w:line="240" w:lineRule="auto"/>
    </w:pPr>
    <w:rPr>
      <w:i/>
      <w:iCs/>
    </w:rPr>
  </w:style>
  <w:style w:type="character" w:customStyle="1" w:styleId="HTMLAddressChar">
    <w:name w:val="HTML Address Char"/>
    <w:basedOn w:val="DefaultParagraphFont"/>
    <w:link w:val="HTMLAddress"/>
    <w:uiPriority w:val="99"/>
    <w:semiHidden/>
    <w:rsid w:val="00F527CC"/>
    <w:rPr>
      <w:i/>
      <w:iCs/>
      <w:lang w:val="en-US"/>
    </w:rPr>
  </w:style>
  <w:style w:type="character" w:styleId="HTMLCite">
    <w:name w:val="HTML Cite"/>
    <w:basedOn w:val="DefaultParagraphFont"/>
    <w:uiPriority w:val="99"/>
    <w:semiHidden/>
    <w:unhideWhenUsed/>
    <w:rsid w:val="00F527CC"/>
    <w:rPr>
      <w:i/>
      <w:iCs/>
      <w:lang w:val="en-US"/>
    </w:rPr>
  </w:style>
  <w:style w:type="character" w:styleId="HTMLCode">
    <w:name w:val="HTML Code"/>
    <w:basedOn w:val="DefaultParagraphFont"/>
    <w:uiPriority w:val="99"/>
    <w:semiHidden/>
    <w:unhideWhenUsed/>
    <w:rsid w:val="00F527CC"/>
    <w:rPr>
      <w:rFonts w:ascii="Consolas" w:hAnsi="Consolas"/>
      <w:sz w:val="20"/>
      <w:szCs w:val="20"/>
      <w:lang w:val="en-US"/>
    </w:rPr>
  </w:style>
  <w:style w:type="character" w:styleId="HTMLDefinition">
    <w:name w:val="HTML Definition"/>
    <w:basedOn w:val="DefaultParagraphFont"/>
    <w:uiPriority w:val="99"/>
    <w:semiHidden/>
    <w:unhideWhenUsed/>
    <w:rsid w:val="00F527CC"/>
    <w:rPr>
      <w:i/>
      <w:iCs/>
      <w:lang w:val="en-US"/>
    </w:rPr>
  </w:style>
  <w:style w:type="character" w:styleId="HTMLKeyboard">
    <w:name w:val="HTML Keyboard"/>
    <w:basedOn w:val="DefaultParagraphFont"/>
    <w:uiPriority w:val="99"/>
    <w:semiHidden/>
    <w:unhideWhenUsed/>
    <w:rsid w:val="00F527CC"/>
    <w:rPr>
      <w:rFonts w:ascii="Consolas" w:hAnsi="Consolas"/>
      <w:sz w:val="20"/>
      <w:szCs w:val="20"/>
      <w:lang w:val="en-US"/>
    </w:rPr>
  </w:style>
  <w:style w:type="paragraph" w:styleId="HTMLPreformatted">
    <w:name w:val="HTML Preformatted"/>
    <w:basedOn w:val="Normal"/>
    <w:link w:val="HTMLPreformattedChar"/>
    <w:uiPriority w:val="99"/>
    <w:semiHidden/>
    <w:unhideWhenUsed/>
    <w:rsid w:val="00F527C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527CC"/>
    <w:rPr>
      <w:rFonts w:ascii="Consolas" w:hAnsi="Consolas"/>
      <w:sz w:val="20"/>
      <w:szCs w:val="20"/>
      <w:lang w:val="en-US"/>
    </w:rPr>
  </w:style>
  <w:style w:type="character" w:styleId="HTMLSample">
    <w:name w:val="HTML Sample"/>
    <w:basedOn w:val="DefaultParagraphFont"/>
    <w:uiPriority w:val="99"/>
    <w:semiHidden/>
    <w:unhideWhenUsed/>
    <w:rsid w:val="00F527CC"/>
    <w:rPr>
      <w:rFonts w:ascii="Consolas" w:hAnsi="Consolas"/>
      <w:sz w:val="24"/>
      <w:szCs w:val="24"/>
      <w:lang w:val="en-US"/>
    </w:rPr>
  </w:style>
  <w:style w:type="character" w:styleId="HTMLTypewriter">
    <w:name w:val="HTML Typewriter"/>
    <w:basedOn w:val="DefaultParagraphFont"/>
    <w:uiPriority w:val="99"/>
    <w:semiHidden/>
    <w:unhideWhenUsed/>
    <w:rsid w:val="00F527CC"/>
    <w:rPr>
      <w:rFonts w:ascii="Consolas" w:hAnsi="Consolas"/>
      <w:sz w:val="20"/>
      <w:szCs w:val="20"/>
      <w:lang w:val="en-US"/>
    </w:rPr>
  </w:style>
  <w:style w:type="character" w:styleId="HTMLVariable">
    <w:name w:val="HTML Variable"/>
    <w:basedOn w:val="DefaultParagraphFont"/>
    <w:uiPriority w:val="99"/>
    <w:semiHidden/>
    <w:unhideWhenUsed/>
    <w:rsid w:val="00F527CC"/>
    <w:rPr>
      <w:i/>
      <w:iCs/>
      <w:lang w:val="en-US"/>
    </w:rPr>
  </w:style>
  <w:style w:type="paragraph" w:styleId="Index1">
    <w:name w:val="index 1"/>
    <w:basedOn w:val="Normal"/>
    <w:next w:val="Normal"/>
    <w:autoRedefine/>
    <w:uiPriority w:val="99"/>
    <w:semiHidden/>
    <w:unhideWhenUsed/>
    <w:rsid w:val="00F527CC"/>
    <w:pPr>
      <w:spacing w:after="0" w:line="240" w:lineRule="auto"/>
      <w:ind w:left="220" w:hanging="220"/>
    </w:pPr>
  </w:style>
  <w:style w:type="paragraph" w:styleId="Index2">
    <w:name w:val="index 2"/>
    <w:basedOn w:val="Normal"/>
    <w:next w:val="Normal"/>
    <w:autoRedefine/>
    <w:uiPriority w:val="99"/>
    <w:semiHidden/>
    <w:unhideWhenUsed/>
    <w:rsid w:val="00F527CC"/>
    <w:pPr>
      <w:spacing w:after="0" w:line="240" w:lineRule="auto"/>
      <w:ind w:left="440" w:hanging="220"/>
    </w:pPr>
  </w:style>
  <w:style w:type="paragraph" w:styleId="Index3">
    <w:name w:val="index 3"/>
    <w:basedOn w:val="Normal"/>
    <w:next w:val="Normal"/>
    <w:autoRedefine/>
    <w:uiPriority w:val="99"/>
    <w:semiHidden/>
    <w:unhideWhenUsed/>
    <w:rsid w:val="00F527CC"/>
    <w:pPr>
      <w:spacing w:after="0" w:line="240" w:lineRule="auto"/>
      <w:ind w:left="660" w:hanging="220"/>
    </w:pPr>
  </w:style>
  <w:style w:type="paragraph" w:styleId="Index4">
    <w:name w:val="index 4"/>
    <w:basedOn w:val="Normal"/>
    <w:next w:val="Normal"/>
    <w:autoRedefine/>
    <w:uiPriority w:val="99"/>
    <w:semiHidden/>
    <w:unhideWhenUsed/>
    <w:rsid w:val="00F527CC"/>
    <w:pPr>
      <w:spacing w:after="0" w:line="240" w:lineRule="auto"/>
      <w:ind w:left="880" w:hanging="220"/>
    </w:pPr>
  </w:style>
  <w:style w:type="paragraph" w:styleId="Index5">
    <w:name w:val="index 5"/>
    <w:basedOn w:val="Normal"/>
    <w:next w:val="Normal"/>
    <w:autoRedefine/>
    <w:uiPriority w:val="99"/>
    <w:semiHidden/>
    <w:unhideWhenUsed/>
    <w:rsid w:val="00F527CC"/>
    <w:pPr>
      <w:spacing w:after="0" w:line="240" w:lineRule="auto"/>
      <w:ind w:left="1100" w:hanging="220"/>
    </w:pPr>
  </w:style>
  <w:style w:type="paragraph" w:styleId="Index6">
    <w:name w:val="index 6"/>
    <w:basedOn w:val="Normal"/>
    <w:next w:val="Normal"/>
    <w:autoRedefine/>
    <w:uiPriority w:val="99"/>
    <w:semiHidden/>
    <w:unhideWhenUsed/>
    <w:rsid w:val="00F527CC"/>
    <w:pPr>
      <w:spacing w:after="0" w:line="240" w:lineRule="auto"/>
      <w:ind w:left="1320" w:hanging="220"/>
    </w:pPr>
  </w:style>
  <w:style w:type="paragraph" w:styleId="Index7">
    <w:name w:val="index 7"/>
    <w:basedOn w:val="Normal"/>
    <w:next w:val="Normal"/>
    <w:autoRedefine/>
    <w:uiPriority w:val="99"/>
    <w:semiHidden/>
    <w:unhideWhenUsed/>
    <w:rsid w:val="00F527CC"/>
    <w:pPr>
      <w:spacing w:after="0" w:line="240" w:lineRule="auto"/>
      <w:ind w:left="1540" w:hanging="220"/>
    </w:pPr>
  </w:style>
  <w:style w:type="paragraph" w:styleId="Index8">
    <w:name w:val="index 8"/>
    <w:basedOn w:val="Normal"/>
    <w:next w:val="Normal"/>
    <w:autoRedefine/>
    <w:uiPriority w:val="99"/>
    <w:semiHidden/>
    <w:unhideWhenUsed/>
    <w:rsid w:val="00F527CC"/>
    <w:pPr>
      <w:spacing w:after="0" w:line="240" w:lineRule="auto"/>
      <w:ind w:left="1760" w:hanging="220"/>
    </w:pPr>
  </w:style>
  <w:style w:type="paragraph" w:styleId="Index9">
    <w:name w:val="index 9"/>
    <w:basedOn w:val="Normal"/>
    <w:next w:val="Normal"/>
    <w:autoRedefine/>
    <w:uiPriority w:val="99"/>
    <w:semiHidden/>
    <w:unhideWhenUsed/>
    <w:rsid w:val="00F527CC"/>
    <w:pPr>
      <w:spacing w:after="0" w:line="240" w:lineRule="auto"/>
      <w:ind w:left="1980" w:hanging="220"/>
    </w:pPr>
  </w:style>
  <w:style w:type="paragraph" w:styleId="IndexHeading">
    <w:name w:val="index heading"/>
    <w:basedOn w:val="Normal"/>
    <w:next w:val="Index1"/>
    <w:uiPriority w:val="99"/>
    <w:semiHidden/>
    <w:unhideWhenUsed/>
    <w:rsid w:val="00F527CC"/>
    <w:rPr>
      <w:rFonts w:eastAsiaTheme="majorEastAsia" w:cs="Arial"/>
      <w:b/>
      <w:bCs/>
    </w:rPr>
  </w:style>
  <w:style w:type="character" w:styleId="IntenseEmphasis">
    <w:name w:val="Intense Emphasis"/>
    <w:basedOn w:val="DefaultParagraphFont"/>
    <w:uiPriority w:val="21"/>
    <w:qFormat/>
    <w:rsid w:val="00F527CC"/>
    <w:rPr>
      <w:i/>
      <w:iCs/>
      <w:color w:val="C7C8CA" w:themeColor="accent1"/>
      <w:lang w:val="en-US"/>
    </w:rPr>
  </w:style>
  <w:style w:type="paragraph" w:styleId="IntenseQuote">
    <w:name w:val="Intense Quote"/>
    <w:basedOn w:val="Normal"/>
    <w:next w:val="Normal"/>
    <w:link w:val="IntenseQuoteChar"/>
    <w:uiPriority w:val="30"/>
    <w:qFormat/>
    <w:rsid w:val="00F527CC"/>
    <w:pPr>
      <w:pBdr>
        <w:top w:val="single" w:sz="4" w:space="10" w:color="C7C8CA" w:themeColor="accent1"/>
        <w:bottom w:val="single" w:sz="4" w:space="10" w:color="C7C8CA" w:themeColor="accent1"/>
      </w:pBdr>
      <w:spacing w:before="360" w:after="360"/>
      <w:ind w:left="864" w:right="864"/>
      <w:jc w:val="center"/>
    </w:pPr>
    <w:rPr>
      <w:i/>
      <w:iCs/>
      <w:color w:val="C7C8CA" w:themeColor="accent1"/>
    </w:rPr>
  </w:style>
  <w:style w:type="character" w:customStyle="1" w:styleId="IntenseQuoteChar">
    <w:name w:val="Intense Quote Char"/>
    <w:basedOn w:val="DefaultParagraphFont"/>
    <w:link w:val="IntenseQuote"/>
    <w:uiPriority w:val="30"/>
    <w:rsid w:val="00F527CC"/>
    <w:rPr>
      <w:i/>
      <w:iCs/>
      <w:color w:val="C7C8CA" w:themeColor="accent1"/>
      <w:lang w:val="en-US"/>
    </w:rPr>
  </w:style>
  <w:style w:type="character" w:styleId="IntenseReference">
    <w:name w:val="Intense Reference"/>
    <w:basedOn w:val="DefaultParagraphFont"/>
    <w:uiPriority w:val="32"/>
    <w:qFormat/>
    <w:rsid w:val="00F527CC"/>
    <w:rPr>
      <w:b/>
      <w:bCs/>
      <w:smallCaps/>
      <w:color w:val="C7C8CA" w:themeColor="accent1"/>
      <w:spacing w:val="5"/>
      <w:lang w:val="en-US"/>
    </w:rPr>
  </w:style>
  <w:style w:type="table" w:styleId="LightGrid">
    <w:name w:val="Light Grid"/>
    <w:basedOn w:val="TableNormal"/>
    <w:uiPriority w:val="62"/>
    <w:semiHidden/>
    <w:unhideWhenUsed/>
    <w:rsid w:val="00F527CC"/>
    <w:pPr>
      <w:spacing w:after="0" w:line="240" w:lineRule="auto"/>
    </w:pPr>
    <w:tblPr>
      <w:tblStyleRowBandSize w:val="1"/>
      <w:tblStyleColBandSize w:val="1"/>
      <w:tblBorders>
        <w:top w:val="single" w:sz="8" w:space="0" w:color="404040" w:themeColor="text1"/>
        <w:left w:val="single" w:sz="8" w:space="0" w:color="404040" w:themeColor="text1"/>
        <w:bottom w:val="single" w:sz="8" w:space="0" w:color="404040" w:themeColor="text1"/>
        <w:right w:val="single" w:sz="8" w:space="0" w:color="404040" w:themeColor="text1"/>
        <w:insideH w:val="single" w:sz="8" w:space="0" w:color="404040" w:themeColor="text1"/>
        <w:insideV w:val="single" w:sz="8" w:space="0" w:color="40404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40" w:themeColor="text1"/>
          <w:left w:val="single" w:sz="8" w:space="0" w:color="404040" w:themeColor="text1"/>
          <w:bottom w:val="single" w:sz="18" w:space="0" w:color="404040" w:themeColor="text1"/>
          <w:right w:val="single" w:sz="8" w:space="0" w:color="404040" w:themeColor="text1"/>
          <w:insideH w:val="nil"/>
          <w:insideV w:val="single" w:sz="8" w:space="0" w:color="40404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40" w:themeColor="text1"/>
          <w:left w:val="single" w:sz="8" w:space="0" w:color="404040" w:themeColor="text1"/>
          <w:bottom w:val="single" w:sz="8" w:space="0" w:color="404040" w:themeColor="text1"/>
          <w:right w:val="single" w:sz="8" w:space="0" w:color="404040" w:themeColor="text1"/>
          <w:insideH w:val="nil"/>
          <w:insideV w:val="single" w:sz="8" w:space="0" w:color="40404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40" w:themeColor="text1"/>
          <w:left w:val="single" w:sz="8" w:space="0" w:color="404040" w:themeColor="text1"/>
          <w:bottom w:val="single" w:sz="8" w:space="0" w:color="404040" w:themeColor="text1"/>
          <w:right w:val="single" w:sz="8" w:space="0" w:color="404040" w:themeColor="text1"/>
        </w:tcBorders>
      </w:tcPr>
    </w:tblStylePr>
    <w:tblStylePr w:type="band1Vert">
      <w:tblPr/>
      <w:tcPr>
        <w:tcBorders>
          <w:top w:val="single" w:sz="8" w:space="0" w:color="404040" w:themeColor="text1"/>
          <w:left w:val="single" w:sz="8" w:space="0" w:color="404040" w:themeColor="text1"/>
          <w:bottom w:val="single" w:sz="8" w:space="0" w:color="404040" w:themeColor="text1"/>
          <w:right w:val="single" w:sz="8" w:space="0" w:color="404040" w:themeColor="text1"/>
        </w:tcBorders>
        <w:shd w:val="clear" w:color="auto" w:fill="CFCFCF" w:themeFill="text1" w:themeFillTint="3F"/>
      </w:tcPr>
    </w:tblStylePr>
    <w:tblStylePr w:type="band1Horz">
      <w:tblPr/>
      <w:tcPr>
        <w:tcBorders>
          <w:top w:val="single" w:sz="8" w:space="0" w:color="404040" w:themeColor="text1"/>
          <w:left w:val="single" w:sz="8" w:space="0" w:color="404040" w:themeColor="text1"/>
          <w:bottom w:val="single" w:sz="8" w:space="0" w:color="404040" w:themeColor="text1"/>
          <w:right w:val="single" w:sz="8" w:space="0" w:color="404040" w:themeColor="text1"/>
          <w:insideV w:val="single" w:sz="8" w:space="0" w:color="404040" w:themeColor="text1"/>
        </w:tcBorders>
        <w:shd w:val="clear" w:color="auto" w:fill="CFCFCF" w:themeFill="text1" w:themeFillTint="3F"/>
      </w:tcPr>
    </w:tblStylePr>
    <w:tblStylePr w:type="band2Horz">
      <w:tblPr/>
      <w:tcPr>
        <w:tcBorders>
          <w:top w:val="single" w:sz="8" w:space="0" w:color="404040" w:themeColor="text1"/>
          <w:left w:val="single" w:sz="8" w:space="0" w:color="404040" w:themeColor="text1"/>
          <w:bottom w:val="single" w:sz="8" w:space="0" w:color="404040" w:themeColor="text1"/>
          <w:right w:val="single" w:sz="8" w:space="0" w:color="404040" w:themeColor="text1"/>
          <w:insideV w:val="single" w:sz="8" w:space="0" w:color="404040" w:themeColor="text1"/>
        </w:tcBorders>
      </w:tcPr>
    </w:tblStylePr>
  </w:style>
  <w:style w:type="table" w:styleId="LightGrid-Accent1">
    <w:name w:val="Light Grid Accent 1"/>
    <w:basedOn w:val="TableNormal"/>
    <w:uiPriority w:val="62"/>
    <w:semiHidden/>
    <w:unhideWhenUsed/>
    <w:rsid w:val="00F527CC"/>
    <w:pPr>
      <w:spacing w:after="0" w:line="240" w:lineRule="auto"/>
    </w:pPr>
    <w:tblPr>
      <w:tblStyleRowBandSize w:val="1"/>
      <w:tblStyleColBandSize w:val="1"/>
      <w:tblBorders>
        <w:top w:val="single" w:sz="8" w:space="0" w:color="C7C8CA" w:themeColor="accent1"/>
        <w:left w:val="single" w:sz="8" w:space="0" w:color="C7C8CA" w:themeColor="accent1"/>
        <w:bottom w:val="single" w:sz="8" w:space="0" w:color="C7C8CA" w:themeColor="accent1"/>
        <w:right w:val="single" w:sz="8" w:space="0" w:color="C7C8CA" w:themeColor="accent1"/>
        <w:insideH w:val="single" w:sz="8" w:space="0" w:color="C7C8CA" w:themeColor="accent1"/>
        <w:insideV w:val="single" w:sz="8" w:space="0" w:color="C7C8C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7C8CA" w:themeColor="accent1"/>
          <w:left w:val="single" w:sz="8" w:space="0" w:color="C7C8CA" w:themeColor="accent1"/>
          <w:bottom w:val="single" w:sz="18" w:space="0" w:color="C7C8CA" w:themeColor="accent1"/>
          <w:right w:val="single" w:sz="8" w:space="0" w:color="C7C8CA" w:themeColor="accent1"/>
          <w:insideH w:val="nil"/>
          <w:insideV w:val="single" w:sz="8" w:space="0" w:color="C7C8C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7C8CA" w:themeColor="accent1"/>
          <w:left w:val="single" w:sz="8" w:space="0" w:color="C7C8CA" w:themeColor="accent1"/>
          <w:bottom w:val="single" w:sz="8" w:space="0" w:color="C7C8CA" w:themeColor="accent1"/>
          <w:right w:val="single" w:sz="8" w:space="0" w:color="C7C8CA" w:themeColor="accent1"/>
          <w:insideH w:val="nil"/>
          <w:insideV w:val="single" w:sz="8" w:space="0" w:color="C7C8C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7C8CA" w:themeColor="accent1"/>
          <w:left w:val="single" w:sz="8" w:space="0" w:color="C7C8CA" w:themeColor="accent1"/>
          <w:bottom w:val="single" w:sz="8" w:space="0" w:color="C7C8CA" w:themeColor="accent1"/>
          <w:right w:val="single" w:sz="8" w:space="0" w:color="C7C8CA" w:themeColor="accent1"/>
        </w:tcBorders>
      </w:tcPr>
    </w:tblStylePr>
    <w:tblStylePr w:type="band1Vert">
      <w:tblPr/>
      <w:tcPr>
        <w:tcBorders>
          <w:top w:val="single" w:sz="8" w:space="0" w:color="C7C8CA" w:themeColor="accent1"/>
          <w:left w:val="single" w:sz="8" w:space="0" w:color="C7C8CA" w:themeColor="accent1"/>
          <w:bottom w:val="single" w:sz="8" w:space="0" w:color="C7C8CA" w:themeColor="accent1"/>
          <w:right w:val="single" w:sz="8" w:space="0" w:color="C7C8CA" w:themeColor="accent1"/>
        </w:tcBorders>
        <w:shd w:val="clear" w:color="auto" w:fill="F1F1F2" w:themeFill="accent1" w:themeFillTint="3F"/>
      </w:tcPr>
    </w:tblStylePr>
    <w:tblStylePr w:type="band1Horz">
      <w:tblPr/>
      <w:tcPr>
        <w:tcBorders>
          <w:top w:val="single" w:sz="8" w:space="0" w:color="C7C8CA" w:themeColor="accent1"/>
          <w:left w:val="single" w:sz="8" w:space="0" w:color="C7C8CA" w:themeColor="accent1"/>
          <w:bottom w:val="single" w:sz="8" w:space="0" w:color="C7C8CA" w:themeColor="accent1"/>
          <w:right w:val="single" w:sz="8" w:space="0" w:color="C7C8CA" w:themeColor="accent1"/>
          <w:insideV w:val="single" w:sz="8" w:space="0" w:color="C7C8CA" w:themeColor="accent1"/>
        </w:tcBorders>
        <w:shd w:val="clear" w:color="auto" w:fill="F1F1F2" w:themeFill="accent1" w:themeFillTint="3F"/>
      </w:tcPr>
    </w:tblStylePr>
    <w:tblStylePr w:type="band2Horz">
      <w:tblPr/>
      <w:tcPr>
        <w:tcBorders>
          <w:top w:val="single" w:sz="8" w:space="0" w:color="C7C8CA" w:themeColor="accent1"/>
          <w:left w:val="single" w:sz="8" w:space="0" w:color="C7C8CA" w:themeColor="accent1"/>
          <w:bottom w:val="single" w:sz="8" w:space="0" w:color="C7C8CA" w:themeColor="accent1"/>
          <w:right w:val="single" w:sz="8" w:space="0" w:color="C7C8CA" w:themeColor="accent1"/>
          <w:insideV w:val="single" w:sz="8" w:space="0" w:color="C7C8CA" w:themeColor="accent1"/>
        </w:tcBorders>
      </w:tcPr>
    </w:tblStylePr>
  </w:style>
  <w:style w:type="table" w:styleId="LightGrid-Accent2">
    <w:name w:val="Light Grid Accent 2"/>
    <w:basedOn w:val="TableNormal"/>
    <w:uiPriority w:val="62"/>
    <w:semiHidden/>
    <w:unhideWhenUsed/>
    <w:rsid w:val="00F527CC"/>
    <w:pPr>
      <w:spacing w:after="0" w:line="240" w:lineRule="auto"/>
    </w:pPr>
    <w:tblPr>
      <w:tblStyleRowBandSize w:val="1"/>
      <w:tblStyleColBandSize w:val="1"/>
      <w:tblBorders>
        <w:top w:val="single" w:sz="8" w:space="0" w:color="939598" w:themeColor="accent2"/>
        <w:left w:val="single" w:sz="8" w:space="0" w:color="939598" w:themeColor="accent2"/>
        <w:bottom w:val="single" w:sz="8" w:space="0" w:color="939598" w:themeColor="accent2"/>
        <w:right w:val="single" w:sz="8" w:space="0" w:color="939598" w:themeColor="accent2"/>
        <w:insideH w:val="single" w:sz="8" w:space="0" w:color="939598" w:themeColor="accent2"/>
        <w:insideV w:val="single" w:sz="8" w:space="0" w:color="93959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9598" w:themeColor="accent2"/>
          <w:left w:val="single" w:sz="8" w:space="0" w:color="939598" w:themeColor="accent2"/>
          <w:bottom w:val="single" w:sz="18" w:space="0" w:color="939598" w:themeColor="accent2"/>
          <w:right w:val="single" w:sz="8" w:space="0" w:color="939598" w:themeColor="accent2"/>
          <w:insideH w:val="nil"/>
          <w:insideV w:val="single" w:sz="8" w:space="0" w:color="93959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9598" w:themeColor="accent2"/>
          <w:left w:val="single" w:sz="8" w:space="0" w:color="939598" w:themeColor="accent2"/>
          <w:bottom w:val="single" w:sz="8" w:space="0" w:color="939598" w:themeColor="accent2"/>
          <w:right w:val="single" w:sz="8" w:space="0" w:color="939598" w:themeColor="accent2"/>
          <w:insideH w:val="nil"/>
          <w:insideV w:val="single" w:sz="8" w:space="0" w:color="93959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9598" w:themeColor="accent2"/>
          <w:left w:val="single" w:sz="8" w:space="0" w:color="939598" w:themeColor="accent2"/>
          <w:bottom w:val="single" w:sz="8" w:space="0" w:color="939598" w:themeColor="accent2"/>
          <w:right w:val="single" w:sz="8" w:space="0" w:color="939598" w:themeColor="accent2"/>
        </w:tcBorders>
      </w:tcPr>
    </w:tblStylePr>
    <w:tblStylePr w:type="band1Vert">
      <w:tblPr/>
      <w:tcPr>
        <w:tcBorders>
          <w:top w:val="single" w:sz="8" w:space="0" w:color="939598" w:themeColor="accent2"/>
          <w:left w:val="single" w:sz="8" w:space="0" w:color="939598" w:themeColor="accent2"/>
          <w:bottom w:val="single" w:sz="8" w:space="0" w:color="939598" w:themeColor="accent2"/>
          <w:right w:val="single" w:sz="8" w:space="0" w:color="939598" w:themeColor="accent2"/>
        </w:tcBorders>
        <w:shd w:val="clear" w:color="auto" w:fill="E4E4E5" w:themeFill="accent2" w:themeFillTint="3F"/>
      </w:tcPr>
    </w:tblStylePr>
    <w:tblStylePr w:type="band1Horz">
      <w:tblPr/>
      <w:tcPr>
        <w:tcBorders>
          <w:top w:val="single" w:sz="8" w:space="0" w:color="939598" w:themeColor="accent2"/>
          <w:left w:val="single" w:sz="8" w:space="0" w:color="939598" w:themeColor="accent2"/>
          <w:bottom w:val="single" w:sz="8" w:space="0" w:color="939598" w:themeColor="accent2"/>
          <w:right w:val="single" w:sz="8" w:space="0" w:color="939598" w:themeColor="accent2"/>
          <w:insideV w:val="single" w:sz="8" w:space="0" w:color="939598" w:themeColor="accent2"/>
        </w:tcBorders>
        <w:shd w:val="clear" w:color="auto" w:fill="E4E4E5" w:themeFill="accent2" w:themeFillTint="3F"/>
      </w:tcPr>
    </w:tblStylePr>
    <w:tblStylePr w:type="band2Horz">
      <w:tblPr/>
      <w:tcPr>
        <w:tcBorders>
          <w:top w:val="single" w:sz="8" w:space="0" w:color="939598" w:themeColor="accent2"/>
          <w:left w:val="single" w:sz="8" w:space="0" w:color="939598" w:themeColor="accent2"/>
          <w:bottom w:val="single" w:sz="8" w:space="0" w:color="939598" w:themeColor="accent2"/>
          <w:right w:val="single" w:sz="8" w:space="0" w:color="939598" w:themeColor="accent2"/>
          <w:insideV w:val="single" w:sz="8" w:space="0" w:color="939598" w:themeColor="accent2"/>
        </w:tcBorders>
      </w:tcPr>
    </w:tblStylePr>
  </w:style>
  <w:style w:type="table" w:styleId="LightGrid-Accent3">
    <w:name w:val="Light Grid Accent 3"/>
    <w:basedOn w:val="TableNormal"/>
    <w:uiPriority w:val="62"/>
    <w:semiHidden/>
    <w:unhideWhenUsed/>
    <w:rsid w:val="00F527CC"/>
    <w:pPr>
      <w:spacing w:after="0" w:line="240" w:lineRule="auto"/>
    </w:pPr>
    <w:tblPr>
      <w:tblStyleRowBandSize w:val="1"/>
      <w:tblStyleColBandSize w:val="1"/>
      <w:tblBorders>
        <w:top w:val="single" w:sz="8" w:space="0" w:color="636466" w:themeColor="accent3"/>
        <w:left w:val="single" w:sz="8" w:space="0" w:color="636466" w:themeColor="accent3"/>
        <w:bottom w:val="single" w:sz="8" w:space="0" w:color="636466" w:themeColor="accent3"/>
        <w:right w:val="single" w:sz="8" w:space="0" w:color="636466" w:themeColor="accent3"/>
        <w:insideH w:val="single" w:sz="8" w:space="0" w:color="636466" w:themeColor="accent3"/>
        <w:insideV w:val="single" w:sz="8" w:space="0" w:color="63646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6466" w:themeColor="accent3"/>
          <w:left w:val="single" w:sz="8" w:space="0" w:color="636466" w:themeColor="accent3"/>
          <w:bottom w:val="single" w:sz="18" w:space="0" w:color="636466" w:themeColor="accent3"/>
          <w:right w:val="single" w:sz="8" w:space="0" w:color="636466" w:themeColor="accent3"/>
          <w:insideH w:val="nil"/>
          <w:insideV w:val="single" w:sz="8" w:space="0" w:color="63646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6466" w:themeColor="accent3"/>
          <w:left w:val="single" w:sz="8" w:space="0" w:color="636466" w:themeColor="accent3"/>
          <w:bottom w:val="single" w:sz="8" w:space="0" w:color="636466" w:themeColor="accent3"/>
          <w:right w:val="single" w:sz="8" w:space="0" w:color="636466" w:themeColor="accent3"/>
          <w:insideH w:val="nil"/>
          <w:insideV w:val="single" w:sz="8" w:space="0" w:color="63646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6466" w:themeColor="accent3"/>
          <w:left w:val="single" w:sz="8" w:space="0" w:color="636466" w:themeColor="accent3"/>
          <w:bottom w:val="single" w:sz="8" w:space="0" w:color="636466" w:themeColor="accent3"/>
          <w:right w:val="single" w:sz="8" w:space="0" w:color="636466" w:themeColor="accent3"/>
        </w:tcBorders>
      </w:tcPr>
    </w:tblStylePr>
    <w:tblStylePr w:type="band1Vert">
      <w:tblPr/>
      <w:tcPr>
        <w:tcBorders>
          <w:top w:val="single" w:sz="8" w:space="0" w:color="636466" w:themeColor="accent3"/>
          <w:left w:val="single" w:sz="8" w:space="0" w:color="636466" w:themeColor="accent3"/>
          <w:bottom w:val="single" w:sz="8" w:space="0" w:color="636466" w:themeColor="accent3"/>
          <w:right w:val="single" w:sz="8" w:space="0" w:color="636466" w:themeColor="accent3"/>
        </w:tcBorders>
        <w:shd w:val="clear" w:color="auto" w:fill="D8D8D9" w:themeFill="accent3" w:themeFillTint="3F"/>
      </w:tcPr>
    </w:tblStylePr>
    <w:tblStylePr w:type="band1Horz">
      <w:tblPr/>
      <w:tcPr>
        <w:tcBorders>
          <w:top w:val="single" w:sz="8" w:space="0" w:color="636466" w:themeColor="accent3"/>
          <w:left w:val="single" w:sz="8" w:space="0" w:color="636466" w:themeColor="accent3"/>
          <w:bottom w:val="single" w:sz="8" w:space="0" w:color="636466" w:themeColor="accent3"/>
          <w:right w:val="single" w:sz="8" w:space="0" w:color="636466" w:themeColor="accent3"/>
          <w:insideV w:val="single" w:sz="8" w:space="0" w:color="636466" w:themeColor="accent3"/>
        </w:tcBorders>
        <w:shd w:val="clear" w:color="auto" w:fill="D8D8D9" w:themeFill="accent3" w:themeFillTint="3F"/>
      </w:tcPr>
    </w:tblStylePr>
    <w:tblStylePr w:type="band2Horz">
      <w:tblPr/>
      <w:tcPr>
        <w:tcBorders>
          <w:top w:val="single" w:sz="8" w:space="0" w:color="636466" w:themeColor="accent3"/>
          <w:left w:val="single" w:sz="8" w:space="0" w:color="636466" w:themeColor="accent3"/>
          <w:bottom w:val="single" w:sz="8" w:space="0" w:color="636466" w:themeColor="accent3"/>
          <w:right w:val="single" w:sz="8" w:space="0" w:color="636466" w:themeColor="accent3"/>
          <w:insideV w:val="single" w:sz="8" w:space="0" w:color="636466" w:themeColor="accent3"/>
        </w:tcBorders>
      </w:tcPr>
    </w:tblStylePr>
  </w:style>
  <w:style w:type="table" w:styleId="LightGrid-Accent4">
    <w:name w:val="Light Grid Accent 4"/>
    <w:basedOn w:val="TableNormal"/>
    <w:uiPriority w:val="62"/>
    <w:semiHidden/>
    <w:unhideWhenUsed/>
    <w:rsid w:val="00F527CC"/>
    <w:pPr>
      <w:spacing w:after="0" w:line="240" w:lineRule="auto"/>
    </w:pPr>
    <w:tblPr>
      <w:tblStyleRowBandSize w:val="1"/>
      <w:tblStyleColBandSize w:val="1"/>
      <w:tblBorders>
        <w:top w:val="single" w:sz="8" w:space="0" w:color="CD202C" w:themeColor="accent4"/>
        <w:left w:val="single" w:sz="8" w:space="0" w:color="CD202C" w:themeColor="accent4"/>
        <w:bottom w:val="single" w:sz="8" w:space="0" w:color="CD202C" w:themeColor="accent4"/>
        <w:right w:val="single" w:sz="8" w:space="0" w:color="CD202C" w:themeColor="accent4"/>
        <w:insideH w:val="single" w:sz="8" w:space="0" w:color="CD202C" w:themeColor="accent4"/>
        <w:insideV w:val="single" w:sz="8" w:space="0" w:color="CD202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202C" w:themeColor="accent4"/>
          <w:left w:val="single" w:sz="8" w:space="0" w:color="CD202C" w:themeColor="accent4"/>
          <w:bottom w:val="single" w:sz="18" w:space="0" w:color="CD202C" w:themeColor="accent4"/>
          <w:right w:val="single" w:sz="8" w:space="0" w:color="CD202C" w:themeColor="accent4"/>
          <w:insideH w:val="nil"/>
          <w:insideV w:val="single" w:sz="8" w:space="0" w:color="CD202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202C" w:themeColor="accent4"/>
          <w:left w:val="single" w:sz="8" w:space="0" w:color="CD202C" w:themeColor="accent4"/>
          <w:bottom w:val="single" w:sz="8" w:space="0" w:color="CD202C" w:themeColor="accent4"/>
          <w:right w:val="single" w:sz="8" w:space="0" w:color="CD202C" w:themeColor="accent4"/>
          <w:insideH w:val="nil"/>
          <w:insideV w:val="single" w:sz="8" w:space="0" w:color="CD202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202C" w:themeColor="accent4"/>
          <w:left w:val="single" w:sz="8" w:space="0" w:color="CD202C" w:themeColor="accent4"/>
          <w:bottom w:val="single" w:sz="8" w:space="0" w:color="CD202C" w:themeColor="accent4"/>
          <w:right w:val="single" w:sz="8" w:space="0" w:color="CD202C" w:themeColor="accent4"/>
        </w:tcBorders>
      </w:tcPr>
    </w:tblStylePr>
    <w:tblStylePr w:type="band1Vert">
      <w:tblPr/>
      <w:tcPr>
        <w:tcBorders>
          <w:top w:val="single" w:sz="8" w:space="0" w:color="CD202C" w:themeColor="accent4"/>
          <w:left w:val="single" w:sz="8" w:space="0" w:color="CD202C" w:themeColor="accent4"/>
          <w:bottom w:val="single" w:sz="8" w:space="0" w:color="CD202C" w:themeColor="accent4"/>
          <w:right w:val="single" w:sz="8" w:space="0" w:color="CD202C" w:themeColor="accent4"/>
        </w:tcBorders>
        <w:shd w:val="clear" w:color="auto" w:fill="F6C4C7" w:themeFill="accent4" w:themeFillTint="3F"/>
      </w:tcPr>
    </w:tblStylePr>
    <w:tblStylePr w:type="band1Horz">
      <w:tblPr/>
      <w:tcPr>
        <w:tcBorders>
          <w:top w:val="single" w:sz="8" w:space="0" w:color="CD202C" w:themeColor="accent4"/>
          <w:left w:val="single" w:sz="8" w:space="0" w:color="CD202C" w:themeColor="accent4"/>
          <w:bottom w:val="single" w:sz="8" w:space="0" w:color="CD202C" w:themeColor="accent4"/>
          <w:right w:val="single" w:sz="8" w:space="0" w:color="CD202C" w:themeColor="accent4"/>
          <w:insideV w:val="single" w:sz="8" w:space="0" w:color="CD202C" w:themeColor="accent4"/>
        </w:tcBorders>
        <w:shd w:val="clear" w:color="auto" w:fill="F6C4C7" w:themeFill="accent4" w:themeFillTint="3F"/>
      </w:tcPr>
    </w:tblStylePr>
    <w:tblStylePr w:type="band2Horz">
      <w:tblPr/>
      <w:tcPr>
        <w:tcBorders>
          <w:top w:val="single" w:sz="8" w:space="0" w:color="CD202C" w:themeColor="accent4"/>
          <w:left w:val="single" w:sz="8" w:space="0" w:color="CD202C" w:themeColor="accent4"/>
          <w:bottom w:val="single" w:sz="8" w:space="0" w:color="CD202C" w:themeColor="accent4"/>
          <w:right w:val="single" w:sz="8" w:space="0" w:color="CD202C" w:themeColor="accent4"/>
          <w:insideV w:val="single" w:sz="8" w:space="0" w:color="CD202C" w:themeColor="accent4"/>
        </w:tcBorders>
      </w:tcPr>
    </w:tblStylePr>
  </w:style>
  <w:style w:type="table" w:styleId="LightGrid-Accent5">
    <w:name w:val="Light Grid Accent 5"/>
    <w:basedOn w:val="TableNormal"/>
    <w:uiPriority w:val="62"/>
    <w:semiHidden/>
    <w:unhideWhenUsed/>
    <w:rsid w:val="00F527CC"/>
    <w:pPr>
      <w:spacing w:after="0" w:line="240" w:lineRule="auto"/>
    </w:pPr>
    <w:tblPr>
      <w:tblStyleRowBandSize w:val="1"/>
      <w:tblStyleColBandSize w:val="1"/>
      <w:tblBorders>
        <w:top w:val="single" w:sz="8" w:space="0" w:color="0055AA" w:themeColor="accent5"/>
        <w:left w:val="single" w:sz="8" w:space="0" w:color="0055AA" w:themeColor="accent5"/>
        <w:bottom w:val="single" w:sz="8" w:space="0" w:color="0055AA" w:themeColor="accent5"/>
        <w:right w:val="single" w:sz="8" w:space="0" w:color="0055AA" w:themeColor="accent5"/>
        <w:insideH w:val="single" w:sz="8" w:space="0" w:color="0055AA" w:themeColor="accent5"/>
        <w:insideV w:val="single" w:sz="8" w:space="0" w:color="0055A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5AA" w:themeColor="accent5"/>
          <w:left w:val="single" w:sz="8" w:space="0" w:color="0055AA" w:themeColor="accent5"/>
          <w:bottom w:val="single" w:sz="18" w:space="0" w:color="0055AA" w:themeColor="accent5"/>
          <w:right w:val="single" w:sz="8" w:space="0" w:color="0055AA" w:themeColor="accent5"/>
          <w:insideH w:val="nil"/>
          <w:insideV w:val="single" w:sz="8" w:space="0" w:color="0055A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5AA" w:themeColor="accent5"/>
          <w:left w:val="single" w:sz="8" w:space="0" w:color="0055AA" w:themeColor="accent5"/>
          <w:bottom w:val="single" w:sz="8" w:space="0" w:color="0055AA" w:themeColor="accent5"/>
          <w:right w:val="single" w:sz="8" w:space="0" w:color="0055AA" w:themeColor="accent5"/>
          <w:insideH w:val="nil"/>
          <w:insideV w:val="single" w:sz="8" w:space="0" w:color="0055A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5AA" w:themeColor="accent5"/>
          <w:left w:val="single" w:sz="8" w:space="0" w:color="0055AA" w:themeColor="accent5"/>
          <w:bottom w:val="single" w:sz="8" w:space="0" w:color="0055AA" w:themeColor="accent5"/>
          <w:right w:val="single" w:sz="8" w:space="0" w:color="0055AA" w:themeColor="accent5"/>
        </w:tcBorders>
      </w:tcPr>
    </w:tblStylePr>
    <w:tblStylePr w:type="band1Vert">
      <w:tblPr/>
      <w:tcPr>
        <w:tcBorders>
          <w:top w:val="single" w:sz="8" w:space="0" w:color="0055AA" w:themeColor="accent5"/>
          <w:left w:val="single" w:sz="8" w:space="0" w:color="0055AA" w:themeColor="accent5"/>
          <w:bottom w:val="single" w:sz="8" w:space="0" w:color="0055AA" w:themeColor="accent5"/>
          <w:right w:val="single" w:sz="8" w:space="0" w:color="0055AA" w:themeColor="accent5"/>
        </w:tcBorders>
        <w:shd w:val="clear" w:color="auto" w:fill="ABD4FF" w:themeFill="accent5" w:themeFillTint="3F"/>
      </w:tcPr>
    </w:tblStylePr>
    <w:tblStylePr w:type="band1Horz">
      <w:tblPr/>
      <w:tcPr>
        <w:tcBorders>
          <w:top w:val="single" w:sz="8" w:space="0" w:color="0055AA" w:themeColor="accent5"/>
          <w:left w:val="single" w:sz="8" w:space="0" w:color="0055AA" w:themeColor="accent5"/>
          <w:bottom w:val="single" w:sz="8" w:space="0" w:color="0055AA" w:themeColor="accent5"/>
          <w:right w:val="single" w:sz="8" w:space="0" w:color="0055AA" w:themeColor="accent5"/>
          <w:insideV w:val="single" w:sz="8" w:space="0" w:color="0055AA" w:themeColor="accent5"/>
        </w:tcBorders>
        <w:shd w:val="clear" w:color="auto" w:fill="ABD4FF" w:themeFill="accent5" w:themeFillTint="3F"/>
      </w:tcPr>
    </w:tblStylePr>
    <w:tblStylePr w:type="band2Horz">
      <w:tblPr/>
      <w:tcPr>
        <w:tcBorders>
          <w:top w:val="single" w:sz="8" w:space="0" w:color="0055AA" w:themeColor="accent5"/>
          <w:left w:val="single" w:sz="8" w:space="0" w:color="0055AA" w:themeColor="accent5"/>
          <w:bottom w:val="single" w:sz="8" w:space="0" w:color="0055AA" w:themeColor="accent5"/>
          <w:right w:val="single" w:sz="8" w:space="0" w:color="0055AA" w:themeColor="accent5"/>
          <w:insideV w:val="single" w:sz="8" w:space="0" w:color="0055AA" w:themeColor="accent5"/>
        </w:tcBorders>
      </w:tcPr>
    </w:tblStylePr>
  </w:style>
  <w:style w:type="table" w:styleId="LightGrid-Accent6">
    <w:name w:val="Light Grid Accent 6"/>
    <w:basedOn w:val="TableNormal"/>
    <w:uiPriority w:val="62"/>
    <w:semiHidden/>
    <w:unhideWhenUsed/>
    <w:rsid w:val="00F527CC"/>
    <w:pPr>
      <w:spacing w:after="0" w:line="240" w:lineRule="auto"/>
    </w:pPr>
    <w:tblPr>
      <w:tblStyleRowBandSize w:val="1"/>
      <w:tblStyleColBandSize w:val="1"/>
      <w:tblBorders>
        <w:top w:val="single" w:sz="8" w:space="0" w:color="FFAA22" w:themeColor="accent6"/>
        <w:left w:val="single" w:sz="8" w:space="0" w:color="FFAA22" w:themeColor="accent6"/>
        <w:bottom w:val="single" w:sz="8" w:space="0" w:color="FFAA22" w:themeColor="accent6"/>
        <w:right w:val="single" w:sz="8" w:space="0" w:color="FFAA22" w:themeColor="accent6"/>
        <w:insideH w:val="single" w:sz="8" w:space="0" w:color="FFAA22" w:themeColor="accent6"/>
        <w:insideV w:val="single" w:sz="8" w:space="0" w:color="FFAA2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A22" w:themeColor="accent6"/>
          <w:left w:val="single" w:sz="8" w:space="0" w:color="FFAA22" w:themeColor="accent6"/>
          <w:bottom w:val="single" w:sz="18" w:space="0" w:color="FFAA22" w:themeColor="accent6"/>
          <w:right w:val="single" w:sz="8" w:space="0" w:color="FFAA22" w:themeColor="accent6"/>
          <w:insideH w:val="nil"/>
          <w:insideV w:val="single" w:sz="8" w:space="0" w:color="FFAA2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A22" w:themeColor="accent6"/>
          <w:left w:val="single" w:sz="8" w:space="0" w:color="FFAA22" w:themeColor="accent6"/>
          <w:bottom w:val="single" w:sz="8" w:space="0" w:color="FFAA22" w:themeColor="accent6"/>
          <w:right w:val="single" w:sz="8" w:space="0" w:color="FFAA22" w:themeColor="accent6"/>
          <w:insideH w:val="nil"/>
          <w:insideV w:val="single" w:sz="8" w:space="0" w:color="FFAA2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A22" w:themeColor="accent6"/>
          <w:left w:val="single" w:sz="8" w:space="0" w:color="FFAA22" w:themeColor="accent6"/>
          <w:bottom w:val="single" w:sz="8" w:space="0" w:color="FFAA22" w:themeColor="accent6"/>
          <w:right w:val="single" w:sz="8" w:space="0" w:color="FFAA22" w:themeColor="accent6"/>
        </w:tcBorders>
      </w:tcPr>
    </w:tblStylePr>
    <w:tblStylePr w:type="band1Vert">
      <w:tblPr/>
      <w:tcPr>
        <w:tcBorders>
          <w:top w:val="single" w:sz="8" w:space="0" w:color="FFAA22" w:themeColor="accent6"/>
          <w:left w:val="single" w:sz="8" w:space="0" w:color="FFAA22" w:themeColor="accent6"/>
          <w:bottom w:val="single" w:sz="8" w:space="0" w:color="FFAA22" w:themeColor="accent6"/>
          <w:right w:val="single" w:sz="8" w:space="0" w:color="FFAA22" w:themeColor="accent6"/>
        </w:tcBorders>
        <w:shd w:val="clear" w:color="auto" w:fill="FFE9C8" w:themeFill="accent6" w:themeFillTint="3F"/>
      </w:tcPr>
    </w:tblStylePr>
    <w:tblStylePr w:type="band1Horz">
      <w:tblPr/>
      <w:tcPr>
        <w:tcBorders>
          <w:top w:val="single" w:sz="8" w:space="0" w:color="FFAA22" w:themeColor="accent6"/>
          <w:left w:val="single" w:sz="8" w:space="0" w:color="FFAA22" w:themeColor="accent6"/>
          <w:bottom w:val="single" w:sz="8" w:space="0" w:color="FFAA22" w:themeColor="accent6"/>
          <w:right w:val="single" w:sz="8" w:space="0" w:color="FFAA22" w:themeColor="accent6"/>
          <w:insideV w:val="single" w:sz="8" w:space="0" w:color="FFAA22" w:themeColor="accent6"/>
        </w:tcBorders>
        <w:shd w:val="clear" w:color="auto" w:fill="FFE9C8" w:themeFill="accent6" w:themeFillTint="3F"/>
      </w:tcPr>
    </w:tblStylePr>
    <w:tblStylePr w:type="band2Horz">
      <w:tblPr/>
      <w:tcPr>
        <w:tcBorders>
          <w:top w:val="single" w:sz="8" w:space="0" w:color="FFAA22" w:themeColor="accent6"/>
          <w:left w:val="single" w:sz="8" w:space="0" w:color="FFAA22" w:themeColor="accent6"/>
          <w:bottom w:val="single" w:sz="8" w:space="0" w:color="FFAA22" w:themeColor="accent6"/>
          <w:right w:val="single" w:sz="8" w:space="0" w:color="FFAA22" w:themeColor="accent6"/>
          <w:insideV w:val="single" w:sz="8" w:space="0" w:color="FFAA22" w:themeColor="accent6"/>
        </w:tcBorders>
      </w:tcPr>
    </w:tblStylePr>
  </w:style>
  <w:style w:type="table" w:styleId="LightList">
    <w:name w:val="Light List"/>
    <w:basedOn w:val="TableNormal"/>
    <w:uiPriority w:val="61"/>
    <w:semiHidden/>
    <w:unhideWhenUsed/>
    <w:rsid w:val="00F527CC"/>
    <w:pPr>
      <w:spacing w:after="0" w:line="240" w:lineRule="auto"/>
    </w:pPr>
    <w:tblPr>
      <w:tblStyleRowBandSize w:val="1"/>
      <w:tblStyleColBandSize w:val="1"/>
      <w:tblBorders>
        <w:top w:val="single" w:sz="8" w:space="0" w:color="404040" w:themeColor="text1"/>
        <w:left w:val="single" w:sz="8" w:space="0" w:color="404040" w:themeColor="text1"/>
        <w:bottom w:val="single" w:sz="8" w:space="0" w:color="404040" w:themeColor="text1"/>
        <w:right w:val="single" w:sz="8" w:space="0" w:color="404040" w:themeColor="text1"/>
      </w:tblBorders>
    </w:tblPr>
    <w:tblStylePr w:type="firstRow">
      <w:pPr>
        <w:spacing w:before="0" w:after="0" w:line="240" w:lineRule="auto"/>
      </w:pPr>
      <w:rPr>
        <w:b/>
        <w:bCs/>
        <w:color w:val="FFFFFF" w:themeColor="background1"/>
      </w:rPr>
      <w:tblPr/>
      <w:tcPr>
        <w:shd w:val="clear" w:color="auto" w:fill="404040" w:themeFill="text1"/>
      </w:tcPr>
    </w:tblStylePr>
    <w:tblStylePr w:type="lastRow">
      <w:pPr>
        <w:spacing w:before="0" w:after="0" w:line="240" w:lineRule="auto"/>
      </w:pPr>
      <w:rPr>
        <w:b/>
        <w:bCs/>
      </w:rPr>
      <w:tblPr/>
      <w:tcPr>
        <w:tcBorders>
          <w:top w:val="double" w:sz="6" w:space="0" w:color="404040" w:themeColor="text1"/>
          <w:left w:val="single" w:sz="8" w:space="0" w:color="404040" w:themeColor="text1"/>
          <w:bottom w:val="single" w:sz="8" w:space="0" w:color="404040" w:themeColor="text1"/>
          <w:right w:val="single" w:sz="8" w:space="0" w:color="404040" w:themeColor="text1"/>
        </w:tcBorders>
      </w:tcPr>
    </w:tblStylePr>
    <w:tblStylePr w:type="firstCol">
      <w:rPr>
        <w:b/>
        <w:bCs/>
      </w:rPr>
    </w:tblStylePr>
    <w:tblStylePr w:type="lastCol">
      <w:rPr>
        <w:b/>
        <w:bCs/>
      </w:rPr>
    </w:tblStylePr>
    <w:tblStylePr w:type="band1Vert">
      <w:tblPr/>
      <w:tcPr>
        <w:tcBorders>
          <w:top w:val="single" w:sz="8" w:space="0" w:color="404040" w:themeColor="text1"/>
          <w:left w:val="single" w:sz="8" w:space="0" w:color="404040" w:themeColor="text1"/>
          <w:bottom w:val="single" w:sz="8" w:space="0" w:color="404040" w:themeColor="text1"/>
          <w:right w:val="single" w:sz="8" w:space="0" w:color="404040" w:themeColor="text1"/>
        </w:tcBorders>
      </w:tcPr>
    </w:tblStylePr>
    <w:tblStylePr w:type="band1Horz">
      <w:tblPr/>
      <w:tcPr>
        <w:tcBorders>
          <w:top w:val="single" w:sz="8" w:space="0" w:color="404040" w:themeColor="text1"/>
          <w:left w:val="single" w:sz="8" w:space="0" w:color="404040" w:themeColor="text1"/>
          <w:bottom w:val="single" w:sz="8" w:space="0" w:color="404040" w:themeColor="text1"/>
          <w:right w:val="single" w:sz="8" w:space="0" w:color="404040" w:themeColor="text1"/>
        </w:tcBorders>
      </w:tcPr>
    </w:tblStylePr>
  </w:style>
  <w:style w:type="table" w:styleId="LightList-Accent1">
    <w:name w:val="Light List Accent 1"/>
    <w:basedOn w:val="TableNormal"/>
    <w:uiPriority w:val="61"/>
    <w:semiHidden/>
    <w:unhideWhenUsed/>
    <w:rsid w:val="00F527CC"/>
    <w:pPr>
      <w:spacing w:after="0" w:line="240" w:lineRule="auto"/>
    </w:pPr>
    <w:tblPr>
      <w:tblStyleRowBandSize w:val="1"/>
      <w:tblStyleColBandSize w:val="1"/>
      <w:tblBorders>
        <w:top w:val="single" w:sz="8" w:space="0" w:color="C7C8CA" w:themeColor="accent1"/>
        <w:left w:val="single" w:sz="8" w:space="0" w:color="C7C8CA" w:themeColor="accent1"/>
        <w:bottom w:val="single" w:sz="8" w:space="0" w:color="C7C8CA" w:themeColor="accent1"/>
        <w:right w:val="single" w:sz="8" w:space="0" w:color="C7C8CA" w:themeColor="accent1"/>
      </w:tblBorders>
    </w:tblPr>
    <w:tblStylePr w:type="firstRow">
      <w:pPr>
        <w:spacing w:before="0" w:after="0" w:line="240" w:lineRule="auto"/>
      </w:pPr>
      <w:rPr>
        <w:b/>
        <w:bCs/>
        <w:color w:val="FFFFFF" w:themeColor="background1"/>
      </w:rPr>
      <w:tblPr/>
      <w:tcPr>
        <w:shd w:val="clear" w:color="auto" w:fill="C7C8CA" w:themeFill="accent1"/>
      </w:tcPr>
    </w:tblStylePr>
    <w:tblStylePr w:type="lastRow">
      <w:pPr>
        <w:spacing w:before="0" w:after="0" w:line="240" w:lineRule="auto"/>
      </w:pPr>
      <w:rPr>
        <w:b/>
        <w:bCs/>
      </w:rPr>
      <w:tblPr/>
      <w:tcPr>
        <w:tcBorders>
          <w:top w:val="double" w:sz="6" w:space="0" w:color="C7C8CA" w:themeColor="accent1"/>
          <w:left w:val="single" w:sz="8" w:space="0" w:color="C7C8CA" w:themeColor="accent1"/>
          <w:bottom w:val="single" w:sz="8" w:space="0" w:color="C7C8CA" w:themeColor="accent1"/>
          <w:right w:val="single" w:sz="8" w:space="0" w:color="C7C8CA" w:themeColor="accent1"/>
        </w:tcBorders>
      </w:tcPr>
    </w:tblStylePr>
    <w:tblStylePr w:type="firstCol">
      <w:rPr>
        <w:b/>
        <w:bCs/>
      </w:rPr>
    </w:tblStylePr>
    <w:tblStylePr w:type="lastCol">
      <w:rPr>
        <w:b/>
        <w:bCs/>
      </w:rPr>
    </w:tblStylePr>
    <w:tblStylePr w:type="band1Vert">
      <w:tblPr/>
      <w:tcPr>
        <w:tcBorders>
          <w:top w:val="single" w:sz="8" w:space="0" w:color="C7C8CA" w:themeColor="accent1"/>
          <w:left w:val="single" w:sz="8" w:space="0" w:color="C7C8CA" w:themeColor="accent1"/>
          <w:bottom w:val="single" w:sz="8" w:space="0" w:color="C7C8CA" w:themeColor="accent1"/>
          <w:right w:val="single" w:sz="8" w:space="0" w:color="C7C8CA" w:themeColor="accent1"/>
        </w:tcBorders>
      </w:tcPr>
    </w:tblStylePr>
    <w:tblStylePr w:type="band1Horz">
      <w:tblPr/>
      <w:tcPr>
        <w:tcBorders>
          <w:top w:val="single" w:sz="8" w:space="0" w:color="C7C8CA" w:themeColor="accent1"/>
          <w:left w:val="single" w:sz="8" w:space="0" w:color="C7C8CA" w:themeColor="accent1"/>
          <w:bottom w:val="single" w:sz="8" w:space="0" w:color="C7C8CA" w:themeColor="accent1"/>
          <w:right w:val="single" w:sz="8" w:space="0" w:color="C7C8CA" w:themeColor="accent1"/>
        </w:tcBorders>
      </w:tcPr>
    </w:tblStylePr>
  </w:style>
  <w:style w:type="table" w:styleId="LightList-Accent2">
    <w:name w:val="Light List Accent 2"/>
    <w:basedOn w:val="TableNormal"/>
    <w:uiPriority w:val="61"/>
    <w:semiHidden/>
    <w:unhideWhenUsed/>
    <w:rsid w:val="00F527CC"/>
    <w:pPr>
      <w:spacing w:after="0" w:line="240" w:lineRule="auto"/>
    </w:pPr>
    <w:tblPr>
      <w:tblStyleRowBandSize w:val="1"/>
      <w:tblStyleColBandSize w:val="1"/>
      <w:tblBorders>
        <w:top w:val="single" w:sz="8" w:space="0" w:color="939598" w:themeColor="accent2"/>
        <w:left w:val="single" w:sz="8" w:space="0" w:color="939598" w:themeColor="accent2"/>
        <w:bottom w:val="single" w:sz="8" w:space="0" w:color="939598" w:themeColor="accent2"/>
        <w:right w:val="single" w:sz="8" w:space="0" w:color="939598" w:themeColor="accent2"/>
      </w:tblBorders>
    </w:tblPr>
    <w:tblStylePr w:type="firstRow">
      <w:pPr>
        <w:spacing w:before="0" w:after="0" w:line="240" w:lineRule="auto"/>
      </w:pPr>
      <w:rPr>
        <w:b/>
        <w:bCs/>
        <w:color w:val="FFFFFF" w:themeColor="background1"/>
      </w:rPr>
      <w:tblPr/>
      <w:tcPr>
        <w:shd w:val="clear" w:color="auto" w:fill="939598" w:themeFill="accent2"/>
      </w:tcPr>
    </w:tblStylePr>
    <w:tblStylePr w:type="lastRow">
      <w:pPr>
        <w:spacing w:before="0" w:after="0" w:line="240" w:lineRule="auto"/>
      </w:pPr>
      <w:rPr>
        <w:b/>
        <w:bCs/>
      </w:rPr>
      <w:tblPr/>
      <w:tcPr>
        <w:tcBorders>
          <w:top w:val="double" w:sz="6" w:space="0" w:color="939598" w:themeColor="accent2"/>
          <w:left w:val="single" w:sz="8" w:space="0" w:color="939598" w:themeColor="accent2"/>
          <w:bottom w:val="single" w:sz="8" w:space="0" w:color="939598" w:themeColor="accent2"/>
          <w:right w:val="single" w:sz="8" w:space="0" w:color="939598" w:themeColor="accent2"/>
        </w:tcBorders>
      </w:tcPr>
    </w:tblStylePr>
    <w:tblStylePr w:type="firstCol">
      <w:rPr>
        <w:b/>
        <w:bCs/>
      </w:rPr>
    </w:tblStylePr>
    <w:tblStylePr w:type="lastCol">
      <w:rPr>
        <w:b/>
        <w:bCs/>
      </w:rPr>
    </w:tblStylePr>
    <w:tblStylePr w:type="band1Vert">
      <w:tblPr/>
      <w:tcPr>
        <w:tcBorders>
          <w:top w:val="single" w:sz="8" w:space="0" w:color="939598" w:themeColor="accent2"/>
          <w:left w:val="single" w:sz="8" w:space="0" w:color="939598" w:themeColor="accent2"/>
          <w:bottom w:val="single" w:sz="8" w:space="0" w:color="939598" w:themeColor="accent2"/>
          <w:right w:val="single" w:sz="8" w:space="0" w:color="939598" w:themeColor="accent2"/>
        </w:tcBorders>
      </w:tcPr>
    </w:tblStylePr>
    <w:tblStylePr w:type="band1Horz">
      <w:tblPr/>
      <w:tcPr>
        <w:tcBorders>
          <w:top w:val="single" w:sz="8" w:space="0" w:color="939598" w:themeColor="accent2"/>
          <w:left w:val="single" w:sz="8" w:space="0" w:color="939598" w:themeColor="accent2"/>
          <w:bottom w:val="single" w:sz="8" w:space="0" w:color="939598" w:themeColor="accent2"/>
          <w:right w:val="single" w:sz="8" w:space="0" w:color="939598" w:themeColor="accent2"/>
        </w:tcBorders>
      </w:tcPr>
    </w:tblStylePr>
  </w:style>
  <w:style w:type="table" w:styleId="LightList-Accent3">
    <w:name w:val="Light List Accent 3"/>
    <w:basedOn w:val="TableNormal"/>
    <w:uiPriority w:val="61"/>
    <w:semiHidden/>
    <w:unhideWhenUsed/>
    <w:rsid w:val="00F527CC"/>
    <w:pPr>
      <w:spacing w:after="0" w:line="240" w:lineRule="auto"/>
    </w:pPr>
    <w:tblPr>
      <w:tblStyleRowBandSize w:val="1"/>
      <w:tblStyleColBandSize w:val="1"/>
      <w:tblBorders>
        <w:top w:val="single" w:sz="8" w:space="0" w:color="636466" w:themeColor="accent3"/>
        <w:left w:val="single" w:sz="8" w:space="0" w:color="636466" w:themeColor="accent3"/>
        <w:bottom w:val="single" w:sz="8" w:space="0" w:color="636466" w:themeColor="accent3"/>
        <w:right w:val="single" w:sz="8" w:space="0" w:color="636466" w:themeColor="accent3"/>
      </w:tblBorders>
    </w:tblPr>
    <w:tblStylePr w:type="firstRow">
      <w:pPr>
        <w:spacing w:before="0" w:after="0" w:line="240" w:lineRule="auto"/>
      </w:pPr>
      <w:rPr>
        <w:b/>
        <w:bCs/>
        <w:color w:val="FFFFFF" w:themeColor="background1"/>
      </w:rPr>
      <w:tblPr/>
      <w:tcPr>
        <w:shd w:val="clear" w:color="auto" w:fill="636466" w:themeFill="accent3"/>
      </w:tcPr>
    </w:tblStylePr>
    <w:tblStylePr w:type="lastRow">
      <w:pPr>
        <w:spacing w:before="0" w:after="0" w:line="240" w:lineRule="auto"/>
      </w:pPr>
      <w:rPr>
        <w:b/>
        <w:bCs/>
      </w:rPr>
      <w:tblPr/>
      <w:tcPr>
        <w:tcBorders>
          <w:top w:val="double" w:sz="6" w:space="0" w:color="636466" w:themeColor="accent3"/>
          <w:left w:val="single" w:sz="8" w:space="0" w:color="636466" w:themeColor="accent3"/>
          <w:bottom w:val="single" w:sz="8" w:space="0" w:color="636466" w:themeColor="accent3"/>
          <w:right w:val="single" w:sz="8" w:space="0" w:color="636466" w:themeColor="accent3"/>
        </w:tcBorders>
      </w:tcPr>
    </w:tblStylePr>
    <w:tblStylePr w:type="firstCol">
      <w:rPr>
        <w:b/>
        <w:bCs/>
      </w:rPr>
    </w:tblStylePr>
    <w:tblStylePr w:type="lastCol">
      <w:rPr>
        <w:b/>
        <w:bCs/>
      </w:rPr>
    </w:tblStylePr>
    <w:tblStylePr w:type="band1Vert">
      <w:tblPr/>
      <w:tcPr>
        <w:tcBorders>
          <w:top w:val="single" w:sz="8" w:space="0" w:color="636466" w:themeColor="accent3"/>
          <w:left w:val="single" w:sz="8" w:space="0" w:color="636466" w:themeColor="accent3"/>
          <w:bottom w:val="single" w:sz="8" w:space="0" w:color="636466" w:themeColor="accent3"/>
          <w:right w:val="single" w:sz="8" w:space="0" w:color="636466" w:themeColor="accent3"/>
        </w:tcBorders>
      </w:tcPr>
    </w:tblStylePr>
    <w:tblStylePr w:type="band1Horz">
      <w:tblPr/>
      <w:tcPr>
        <w:tcBorders>
          <w:top w:val="single" w:sz="8" w:space="0" w:color="636466" w:themeColor="accent3"/>
          <w:left w:val="single" w:sz="8" w:space="0" w:color="636466" w:themeColor="accent3"/>
          <w:bottom w:val="single" w:sz="8" w:space="0" w:color="636466" w:themeColor="accent3"/>
          <w:right w:val="single" w:sz="8" w:space="0" w:color="636466" w:themeColor="accent3"/>
        </w:tcBorders>
      </w:tcPr>
    </w:tblStylePr>
  </w:style>
  <w:style w:type="table" w:styleId="LightList-Accent4">
    <w:name w:val="Light List Accent 4"/>
    <w:basedOn w:val="TableNormal"/>
    <w:uiPriority w:val="61"/>
    <w:semiHidden/>
    <w:unhideWhenUsed/>
    <w:rsid w:val="00F527CC"/>
    <w:pPr>
      <w:spacing w:after="0" w:line="240" w:lineRule="auto"/>
    </w:pPr>
    <w:tblPr>
      <w:tblStyleRowBandSize w:val="1"/>
      <w:tblStyleColBandSize w:val="1"/>
      <w:tblBorders>
        <w:top w:val="single" w:sz="8" w:space="0" w:color="CD202C" w:themeColor="accent4"/>
        <w:left w:val="single" w:sz="8" w:space="0" w:color="CD202C" w:themeColor="accent4"/>
        <w:bottom w:val="single" w:sz="8" w:space="0" w:color="CD202C" w:themeColor="accent4"/>
        <w:right w:val="single" w:sz="8" w:space="0" w:color="CD202C" w:themeColor="accent4"/>
      </w:tblBorders>
    </w:tblPr>
    <w:tblStylePr w:type="firstRow">
      <w:pPr>
        <w:spacing w:before="0" w:after="0" w:line="240" w:lineRule="auto"/>
      </w:pPr>
      <w:rPr>
        <w:b/>
        <w:bCs/>
        <w:color w:val="FFFFFF" w:themeColor="background1"/>
      </w:rPr>
      <w:tblPr/>
      <w:tcPr>
        <w:shd w:val="clear" w:color="auto" w:fill="CD202C" w:themeFill="accent4"/>
      </w:tcPr>
    </w:tblStylePr>
    <w:tblStylePr w:type="lastRow">
      <w:pPr>
        <w:spacing w:before="0" w:after="0" w:line="240" w:lineRule="auto"/>
      </w:pPr>
      <w:rPr>
        <w:b/>
        <w:bCs/>
      </w:rPr>
      <w:tblPr/>
      <w:tcPr>
        <w:tcBorders>
          <w:top w:val="double" w:sz="6" w:space="0" w:color="CD202C" w:themeColor="accent4"/>
          <w:left w:val="single" w:sz="8" w:space="0" w:color="CD202C" w:themeColor="accent4"/>
          <w:bottom w:val="single" w:sz="8" w:space="0" w:color="CD202C" w:themeColor="accent4"/>
          <w:right w:val="single" w:sz="8" w:space="0" w:color="CD202C" w:themeColor="accent4"/>
        </w:tcBorders>
      </w:tcPr>
    </w:tblStylePr>
    <w:tblStylePr w:type="firstCol">
      <w:rPr>
        <w:b/>
        <w:bCs/>
      </w:rPr>
    </w:tblStylePr>
    <w:tblStylePr w:type="lastCol">
      <w:rPr>
        <w:b/>
        <w:bCs/>
      </w:rPr>
    </w:tblStylePr>
    <w:tblStylePr w:type="band1Vert">
      <w:tblPr/>
      <w:tcPr>
        <w:tcBorders>
          <w:top w:val="single" w:sz="8" w:space="0" w:color="CD202C" w:themeColor="accent4"/>
          <w:left w:val="single" w:sz="8" w:space="0" w:color="CD202C" w:themeColor="accent4"/>
          <w:bottom w:val="single" w:sz="8" w:space="0" w:color="CD202C" w:themeColor="accent4"/>
          <w:right w:val="single" w:sz="8" w:space="0" w:color="CD202C" w:themeColor="accent4"/>
        </w:tcBorders>
      </w:tcPr>
    </w:tblStylePr>
    <w:tblStylePr w:type="band1Horz">
      <w:tblPr/>
      <w:tcPr>
        <w:tcBorders>
          <w:top w:val="single" w:sz="8" w:space="0" w:color="CD202C" w:themeColor="accent4"/>
          <w:left w:val="single" w:sz="8" w:space="0" w:color="CD202C" w:themeColor="accent4"/>
          <w:bottom w:val="single" w:sz="8" w:space="0" w:color="CD202C" w:themeColor="accent4"/>
          <w:right w:val="single" w:sz="8" w:space="0" w:color="CD202C" w:themeColor="accent4"/>
        </w:tcBorders>
      </w:tcPr>
    </w:tblStylePr>
  </w:style>
  <w:style w:type="table" w:styleId="LightList-Accent5">
    <w:name w:val="Light List Accent 5"/>
    <w:basedOn w:val="TableNormal"/>
    <w:uiPriority w:val="61"/>
    <w:semiHidden/>
    <w:unhideWhenUsed/>
    <w:rsid w:val="00F527CC"/>
    <w:pPr>
      <w:spacing w:after="0" w:line="240" w:lineRule="auto"/>
    </w:pPr>
    <w:tblPr>
      <w:tblStyleRowBandSize w:val="1"/>
      <w:tblStyleColBandSize w:val="1"/>
      <w:tblBorders>
        <w:top w:val="single" w:sz="8" w:space="0" w:color="0055AA" w:themeColor="accent5"/>
        <w:left w:val="single" w:sz="8" w:space="0" w:color="0055AA" w:themeColor="accent5"/>
        <w:bottom w:val="single" w:sz="8" w:space="0" w:color="0055AA" w:themeColor="accent5"/>
        <w:right w:val="single" w:sz="8" w:space="0" w:color="0055AA" w:themeColor="accent5"/>
      </w:tblBorders>
    </w:tblPr>
    <w:tblStylePr w:type="firstRow">
      <w:pPr>
        <w:spacing w:before="0" w:after="0" w:line="240" w:lineRule="auto"/>
      </w:pPr>
      <w:rPr>
        <w:b/>
        <w:bCs/>
        <w:color w:val="FFFFFF" w:themeColor="background1"/>
      </w:rPr>
      <w:tblPr/>
      <w:tcPr>
        <w:shd w:val="clear" w:color="auto" w:fill="0055AA" w:themeFill="accent5"/>
      </w:tcPr>
    </w:tblStylePr>
    <w:tblStylePr w:type="lastRow">
      <w:pPr>
        <w:spacing w:before="0" w:after="0" w:line="240" w:lineRule="auto"/>
      </w:pPr>
      <w:rPr>
        <w:b/>
        <w:bCs/>
      </w:rPr>
      <w:tblPr/>
      <w:tcPr>
        <w:tcBorders>
          <w:top w:val="double" w:sz="6" w:space="0" w:color="0055AA" w:themeColor="accent5"/>
          <w:left w:val="single" w:sz="8" w:space="0" w:color="0055AA" w:themeColor="accent5"/>
          <w:bottom w:val="single" w:sz="8" w:space="0" w:color="0055AA" w:themeColor="accent5"/>
          <w:right w:val="single" w:sz="8" w:space="0" w:color="0055AA" w:themeColor="accent5"/>
        </w:tcBorders>
      </w:tcPr>
    </w:tblStylePr>
    <w:tblStylePr w:type="firstCol">
      <w:rPr>
        <w:b/>
        <w:bCs/>
      </w:rPr>
    </w:tblStylePr>
    <w:tblStylePr w:type="lastCol">
      <w:rPr>
        <w:b/>
        <w:bCs/>
      </w:rPr>
    </w:tblStylePr>
    <w:tblStylePr w:type="band1Vert">
      <w:tblPr/>
      <w:tcPr>
        <w:tcBorders>
          <w:top w:val="single" w:sz="8" w:space="0" w:color="0055AA" w:themeColor="accent5"/>
          <w:left w:val="single" w:sz="8" w:space="0" w:color="0055AA" w:themeColor="accent5"/>
          <w:bottom w:val="single" w:sz="8" w:space="0" w:color="0055AA" w:themeColor="accent5"/>
          <w:right w:val="single" w:sz="8" w:space="0" w:color="0055AA" w:themeColor="accent5"/>
        </w:tcBorders>
      </w:tcPr>
    </w:tblStylePr>
    <w:tblStylePr w:type="band1Horz">
      <w:tblPr/>
      <w:tcPr>
        <w:tcBorders>
          <w:top w:val="single" w:sz="8" w:space="0" w:color="0055AA" w:themeColor="accent5"/>
          <w:left w:val="single" w:sz="8" w:space="0" w:color="0055AA" w:themeColor="accent5"/>
          <w:bottom w:val="single" w:sz="8" w:space="0" w:color="0055AA" w:themeColor="accent5"/>
          <w:right w:val="single" w:sz="8" w:space="0" w:color="0055AA" w:themeColor="accent5"/>
        </w:tcBorders>
      </w:tcPr>
    </w:tblStylePr>
  </w:style>
  <w:style w:type="table" w:styleId="LightList-Accent6">
    <w:name w:val="Light List Accent 6"/>
    <w:basedOn w:val="TableNormal"/>
    <w:uiPriority w:val="61"/>
    <w:semiHidden/>
    <w:unhideWhenUsed/>
    <w:rsid w:val="00F527CC"/>
    <w:pPr>
      <w:spacing w:after="0" w:line="240" w:lineRule="auto"/>
    </w:pPr>
    <w:tblPr>
      <w:tblStyleRowBandSize w:val="1"/>
      <w:tblStyleColBandSize w:val="1"/>
      <w:tblBorders>
        <w:top w:val="single" w:sz="8" w:space="0" w:color="FFAA22" w:themeColor="accent6"/>
        <w:left w:val="single" w:sz="8" w:space="0" w:color="FFAA22" w:themeColor="accent6"/>
        <w:bottom w:val="single" w:sz="8" w:space="0" w:color="FFAA22" w:themeColor="accent6"/>
        <w:right w:val="single" w:sz="8" w:space="0" w:color="FFAA22" w:themeColor="accent6"/>
      </w:tblBorders>
    </w:tblPr>
    <w:tblStylePr w:type="firstRow">
      <w:pPr>
        <w:spacing w:before="0" w:after="0" w:line="240" w:lineRule="auto"/>
      </w:pPr>
      <w:rPr>
        <w:b/>
        <w:bCs/>
        <w:color w:val="FFFFFF" w:themeColor="background1"/>
      </w:rPr>
      <w:tblPr/>
      <w:tcPr>
        <w:shd w:val="clear" w:color="auto" w:fill="FFAA22" w:themeFill="accent6"/>
      </w:tcPr>
    </w:tblStylePr>
    <w:tblStylePr w:type="lastRow">
      <w:pPr>
        <w:spacing w:before="0" w:after="0" w:line="240" w:lineRule="auto"/>
      </w:pPr>
      <w:rPr>
        <w:b/>
        <w:bCs/>
      </w:rPr>
      <w:tblPr/>
      <w:tcPr>
        <w:tcBorders>
          <w:top w:val="double" w:sz="6" w:space="0" w:color="FFAA22" w:themeColor="accent6"/>
          <w:left w:val="single" w:sz="8" w:space="0" w:color="FFAA22" w:themeColor="accent6"/>
          <w:bottom w:val="single" w:sz="8" w:space="0" w:color="FFAA22" w:themeColor="accent6"/>
          <w:right w:val="single" w:sz="8" w:space="0" w:color="FFAA22" w:themeColor="accent6"/>
        </w:tcBorders>
      </w:tcPr>
    </w:tblStylePr>
    <w:tblStylePr w:type="firstCol">
      <w:rPr>
        <w:b/>
        <w:bCs/>
      </w:rPr>
    </w:tblStylePr>
    <w:tblStylePr w:type="lastCol">
      <w:rPr>
        <w:b/>
        <w:bCs/>
      </w:rPr>
    </w:tblStylePr>
    <w:tblStylePr w:type="band1Vert">
      <w:tblPr/>
      <w:tcPr>
        <w:tcBorders>
          <w:top w:val="single" w:sz="8" w:space="0" w:color="FFAA22" w:themeColor="accent6"/>
          <w:left w:val="single" w:sz="8" w:space="0" w:color="FFAA22" w:themeColor="accent6"/>
          <w:bottom w:val="single" w:sz="8" w:space="0" w:color="FFAA22" w:themeColor="accent6"/>
          <w:right w:val="single" w:sz="8" w:space="0" w:color="FFAA22" w:themeColor="accent6"/>
        </w:tcBorders>
      </w:tcPr>
    </w:tblStylePr>
    <w:tblStylePr w:type="band1Horz">
      <w:tblPr/>
      <w:tcPr>
        <w:tcBorders>
          <w:top w:val="single" w:sz="8" w:space="0" w:color="FFAA22" w:themeColor="accent6"/>
          <w:left w:val="single" w:sz="8" w:space="0" w:color="FFAA22" w:themeColor="accent6"/>
          <w:bottom w:val="single" w:sz="8" w:space="0" w:color="FFAA22" w:themeColor="accent6"/>
          <w:right w:val="single" w:sz="8" w:space="0" w:color="FFAA22" w:themeColor="accent6"/>
        </w:tcBorders>
      </w:tcPr>
    </w:tblStylePr>
  </w:style>
  <w:style w:type="table" w:styleId="LightShading">
    <w:name w:val="Light Shading"/>
    <w:basedOn w:val="TableNormal"/>
    <w:uiPriority w:val="60"/>
    <w:semiHidden/>
    <w:unhideWhenUsed/>
    <w:rsid w:val="00F527CC"/>
    <w:pPr>
      <w:spacing w:after="0" w:line="240" w:lineRule="auto"/>
    </w:pPr>
    <w:rPr>
      <w:color w:val="2F2F2F" w:themeColor="text1" w:themeShade="BF"/>
    </w:rPr>
    <w:tblPr>
      <w:tblStyleRowBandSize w:val="1"/>
      <w:tblStyleColBandSize w:val="1"/>
      <w:tblBorders>
        <w:top w:val="single" w:sz="8" w:space="0" w:color="404040" w:themeColor="text1"/>
        <w:bottom w:val="single" w:sz="8" w:space="0" w:color="404040" w:themeColor="text1"/>
      </w:tblBorders>
    </w:tblPr>
    <w:tblStylePr w:type="firstRow">
      <w:pPr>
        <w:spacing w:before="0" w:after="0" w:line="240" w:lineRule="auto"/>
      </w:pPr>
      <w:rPr>
        <w:b/>
        <w:bCs/>
      </w:rPr>
      <w:tblPr/>
      <w:tcPr>
        <w:tcBorders>
          <w:top w:val="single" w:sz="8" w:space="0" w:color="404040" w:themeColor="text1"/>
          <w:left w:val="nil"/>
          <w:bottom w:val="single" w:sz="8" w:space="0" w:color="404040" w:themeColor="text1"/>
          <w:right w:val="nil"/>
          <w:insideH w:val="nil"/>
          <w:insideV w:val="nil"/>
        </w:tcBorders>
      </w:tcPr>
    </w:tblStylePr>
    <w:tblStylePr w:type="lastRow">
      <w:pPr>
        <w:spacing w:before="0" w:after="0" w:line="240" w:lineRule="auto"/>
      </w:pPr>
      <w:rPr>
        <w:b/>
        <w:bCs/>
      </w:rPr>
      <w:tblPr/>
      <w:tcPr>
        <w:tcBorders>
          <w:top w:val="single" w:sz="8" w:space="0" w:color="404040" w:themeColor="text1"/>
          <w:left w:val="nil"/>
          <w:bottom w:val="single" w:sz="8" w:space="0" w:color="4040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F" w:themeFill="text1" w:themeFillTint="3F"/>
      </w:tcPr>
    </w:tblStylePr>
    <w:tblStylePr w:type="band1Horz">
      <w:tblPr/>
      <w:tcPr>
        <w:tcBorders>
          <w:left w:val="nil"/>
          <w:right w:val="nil"/>
          <w:insideH w:val="nil"/>
          <w:insideV w:val="nil"/>
        </w:tcBorders>
        <w:shd w:val="clear" w:color="auto" w:fill="CFCFCF" w:themeFill="text1" w:themeFillTint="3F"/>
      </w:tcPr>
    </w:tblStylePr>
  </w:style>
  <w:style w:type="table" w:styleId="LightShading-Accent1">
    <w:name w:val="Light Shading Accent 1"/>
    <w:basedOn w:val="TableNormal"/>
    <w:uiPriority w:val="60"/>
    <w:semiHidden/>
    <w:unhideWhenUsed/>
    <w:rsid w:val="00F527CC"/>
    <w:pPr>
      <w:spacing w:after="0" w:line="240" w:lineRule="auto"/>
    </w:pPr>
    <w:rPr>
      <w:color w:val="939599" w:themeColor="accent1" w:themeShade="BF"/>
    </w:rPr>
    <w:tblPr>
      <w:tblStyleRowBandSize w:val="1"/>
      <w:tblStyleColBandSize w:val="1"/>
      <w:tblBorders>
        <w:top w:val="single" w:sz="8" w:space="0" w:color="C7C8CA" w:themeColor="accent1"/>
        <w:bottom w:val="single" w:sz="8" w:space="0" w:color="C7C8CA" w:themeColor="accent1"/>
      </w:tblBorders>
    </w:tblPr>
    <w:tblStylePr w:type="firstRow">
      <w:pPr>
        <w:spacing w:before="0" w:after="0" w:line="240" w:lineRule="auto"/>
      </w:pPr>
      <w:rPr>
        <w:b/>
        <w:bCs/>
      </w:rPr>
      <w:tblPr/>
      <w:tcPr>
        <w:tcBorders>
          <w:top w:val="single" w:sz="8" w:space="0" w:color="C7C8CA" w:themeColor="accent1"/>
          <w:left w:val="nil"/>
          <w:bottom w:val="single" w:sz="8" w:space="0" w:color="C7C8CA" w:themeColor="accent1"/>
          <w:right w:val="nil"/>
          <w:insideH w:val="nil"/>
          <w:insideV w:val="nil"/>
        </w:tcBorders>
      </w:tcPr>
    </w:tblStylePr>
    <w:tblStylePr w:type="lastRow">
      <w:pPr>
        <w:spacing w:before="0" w:after="0" w:line="240" w:lineRule="auto"/>
      </w:pPr>
      <w:rPr>
        <w:b/>
        <w:bCs/>
      </w:rPr>
      <w:tblPr/>
      <w:tcPr>
        <w:tcBorders>
          <w:top w:val="single" w:sz="8" w:space="0" w:color="C7C8CA" w:themeColor="accent1"/>
          <w:left w:val="nil"/>
          <w:bottom w:val="single" w:sz="8" w:space="0" w:color="C7C8C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2" w:themeFill="accent1" w:themeFillTint="3F"/>
      </w:tcPr>
    </w:tblStylePr>
    <w:tblStylePr w:type="band1Horz">
      <w:tblPr/>
      <w:tcPr>
        <w:tcBorders>
          <w:left w:val="nil"/>
          <w:right w:val="nil"/>
          <w:insideH w:val="nil"/>
          <w:insideV w:val="nil"/>
        </w:tcBorders>
        <w:shd w:val="clear" w:color="auto" w:fill="F1F1F2" w:themeFill="accent1" w:themeFillTint="3F"/>
      </w:tcPr>
    </w:tblStylePr>
  </w:style>
  <w:style w:type="table" w:styleId="LightShading-Accent2">
    <w:name w:val="Light Shading Accent 2"/>
    <w:basedOn w:val="TableNormal"/>
    <w:uiPriority w:val="60"/>
    <w:semiHidden/>
    <w:unhideWhenUsed/>
    <w:rsid w:val="00F527CC"/>
    <w:pPr>
      <w:spacing w:after="0" w:line="240" w:lineRule="auto"/>
    </w:pPr>
    <w:rPr>
      <w:color w:val="6D6F72" w:themeColor="accent2" w:themeShade="BF"/>
    </w:rPr>
    <w:tblPr>
      <w:tblStyleRowBandSize w:val="1"/>
      <w:tblStyleColBandSize w:val="1"/>
      <w:tblBorders>
        <w:top w:val="single" w:sz="8" w:space="0" w:color="939598" w:themeColor="accent2"/>
        <w:bottom w:val="single" w:sz="8" w:space="0" w:color="939598" w:themeColor="accent2"/>
      </w:tblBorders>
    </w:tblPr>
    <w:tblStylePr w:type="firstRow">
      <w:pPr>
        <w:spacing w:before="0" w:after="0" w:line="240" w:lineRule="auto"/>
      </w:pPr>
      <w:rPr>
        <w:b/>
        <w:bCs/>
      </w:rPr>
      <w:tblPr/>
      <w:tcPr>
        <w:tcBorders>
          <w:top w:val="single" w:sz="8" w:space="0" w:color="939598" w:themeColor="accent2"/>
          <w:left w:val="nil"/>
          <w:bottom w:val="single" w:sz="8" w:space="0" w:color="939598" w:themeColor="accent2"/>
          <w:right w:val="nil"/>
          <w:insideH w:val="nil"/>
          <w:insideV w:val="nil"/>
        </w:tcBorders>
      </w:tcPr>
    </w:tblStylePr>
    <w:tblStylePr w:type="lastRow">
      <w:pPr>
        <w:spacing w:before="0" w:after="0" w:line="240" w:lineRule="auto"/>
      </w:pPr>
      <w:rPr>
        <w:b/>
        <w:bCs/>
      </w:rPr>
      <w:tblPr/>
      <w:tcPr>
        <w:tcBorders>
          <w:top w:val="single" w:sz="8" w:space="0" w:color="939598" w:themeColor="accent2"/>
          <w:left w:val="nil"/>
          <w:bottom w:val="single" w:sz="8" w:space="0" w:color="93959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4E5" w:themeFill="accent2" w:themeFillTint="3F"/>
      </w:tcPr>
    </w:tblStylePr>
    <w:tblStylePr w:type="band1Horz">
      <w:tblPr/>
      <w:tcPr>
        <w:tcBorders>
          <w:left w:val="nil"/>
          <w:right w:val="nil"/>
          <w:insideH w:val="nil"/>
          <w:insideV w:val="nil"/>
        </w:tcBorders>
        <w:shd w:val="clear" w:color="auto" w:fill="E4E4E5" w:themeFill="accent2" w:themeFillTint="3F"/>
      </w:tcPr>
    </w:tblStylePr>
  </w:style>
  <w:style w:type="table" w:styleId="LightShading-Accent3">
    <w:name w:val="Light Shading Accent 3"/>
    <w:basedOn w:val="TableNormal"/>
    <w:uiPriority w:val="60"/>
    <w:semiHidden/>
    <w:unhideWhenUsed/>
    <w:rsid w:val="00F527CC"/>
    <w:pPr>
      <w:spacing w:after="0" w:line="240" w:lineRule="auto"/>
    </w:pPr>
    <w:rPr>
      <w:color w:val="4A4A4C" w:themeColor="accent3" w:themeShade="BF"/>
    </w:rPr>
    <w:tblPr>
      <w:tblStyleRowBandSize w:val="1"/>
      <w:tblStyleColBandSize w:val="1"/>
      <w:tblBorders>
        <w:top w:val="single" w:sz="8" w:space="0" w:color="636466" w:themeColor="accent3"/>
        <w:bottom w:val="single" w:sz="8" w:space="0" w:color="636466" w:themeColor="accent3"/>
      </w:tblBorders>
    </w:tblPr>
    <w:tblStylePr w:type="firstRow">
      <w:pPr>
        <w:spacing w:before="0" w:after="0" w:line="240" w:lineRule="auto"/>
      </w:pPr>
      <w:rPr>
        <w:b/>
        <w:bCs/>
      </w:rPr>
      <w:tblPr/>
      <w:tcPr>
        <w:tcBorders>
          <w:top w:val="single" w:sz="8" w:space="0" w:color="636466" w:themeColor="accent3"/>
          <w:left w:val="nil"/>
          <w:bottom w:val="single" w:sz="8" w:space="0" w:color="636466" w:themeColor="accent3"/>
          <w:right w:val="nil"/>
          <w:insideH w:val="nil"/>
          <w:insideV w:val="nil"/>
        </w:tcBorders>
      </w:tcPr>
    </w:tblStylePr>
    <w:tblStylePr w:type="lastRow">
      <w:pPr>
        <w:spacing w:before="0" w:after="0" w:line="240" w:lineRule="auto"/>
      </w:pPr>
      <w:rPr>
        <w:b/>
        <w:bCs/>
      </w:rPr>
      <w:tblPr/>
      <w:tcPr>
        <w:tcBorders>
          <w:top w:val="single" w:sz="8" w:space="0" w:color="636466" w:themeColor="accent3"/>
          <w:left w:val="nil"/>
          <w:bottom w:val="single" w:sz="8" w:space="0" w:color="63646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8D9" w:themeFill="accent3" w:themeFillTint="3F"/>
      </w:tcPr>
    </w:tblStylePr>
    <w:tblStylePr w:type="band1Horz">
      <w:tblPr/>
      <w:tcPr>
        <w:tcBorders>
          <w:left w:val="nil"/>
          <w:right w:val="nil"/>
          <w:insideH w:val="nil"/>
          <w:insideV w:val="nil"/>
        </w:tcBorders>
        <w:shd w:val="clear" w:color="auto" w:fill="D8D8D9" w:themeFill="accent3" w:themeFillTint="3F"/>
      </w:tcPr>
    </w:tblStylePr>
  </w:style>
  <w:style w:type="table" w:styleId="LightShading-Accent4">
    <w:name w:val="Light Shading Accent 4"/>
    <w:basedOn w:val="TableNormal"/>
    <w:uiPriority w:val="60"/>
    <w:semiHidden/>
    <w:unhideWhenUsed/>
    <w:rsid w:val="00F527CC"/>
    <w:pPr>
      <w:spacing w:after="0" w:line="240" w:lineRule="auto"/>
    </w:pPr>
    <w:rPr>
      <w:color w:val="991820" w:themeColor="accent4" w:themeShade="BF"/>
    </w:rPr>
    <w:tblPr>
      <w:tblStyleRowBandSize w:val="1"/>
      <w:tblStyleColBandSize w:val="1"/>
      <w:tblBorders>
        <w:top w:val="single" w:sz="8" w:space="0" w:color="CD202C" w:themeColor="accent4"/>
        <w:bottom w:val="single" w:sz="8" w:space="0" w:color="CD202C" w:themeColor="accent4"/>
      </w:tblBorders>
    </w:tblPr>
    <w:tblStylePr w:type="firstRow">
      <w:pPr>
        <w:spacing w:before="0" w:after="0" w:line="240" w:lineRule="auto"/>
      </w:pPr>
      <w:rPr>
        <w:b/>
        <w:bCs/>
      </w:rPr>
      <w:tblPr/>
      <w:tcPr>
        <w:tcBorders>
          <w:top w:val="single" w:sz="8" w:space="0" w:color="CD202C" w:themeColor="accent4"/>
          <w:left w:val="nil"/>
          <w:bottom w:val="single" w:sz="8" w:space="0" w:color="CD202C" w:themeColor="accent4"/>
          <w:right w:val="nil"/>
          <w:insideH w:val="nil"/>
          <w:insideV w:val="nil"/>
        </w:tcBorders>
      </w:tcPr>
    </w:tblStylePr>
    <w:tblStylePr w:type="lastRow">
      <w:pPr>
        <w:spacing w:before="0" w:after="0" w:line="240" w:lineRule="auto"/>
      </w:pPr>
      <w:rPr>
        <w:b/>
        <w:bCs/>
      </w:rPr>
      <w:tblPr/>
      <w:tcPr>
        <w:tcBorders>
          <w:top w:val="single" w:sz="8" w:space="0" w:color="CD202C" w:themeColor="accent4"/>
          <w:left w:val="nil"/>
          <w:bottom w:val="single" w:sz="8" w:space="0" w:color="CD20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4C7" w:themeFill="accent4" w:themeFillTint="3F"/>
      </w:tcPr>
    </w:tblStylePr>
    <w:tblStylePr w:type="band1Horz">
      <w:tblPr/>
      <w:tcPr>
        <w:tcBorders>
          <w:left w:val="nil"/>
          <w:right w:val="nil"/>
          <w:insideH w:val="nil"/>
          <w:insideV w:val="nil"/>
        </w:tcBorders>
        <w:shd w:val="clear" w:color="auto" w:fill="F6C4C7" w:themeFill="accent4" w:themeFillTint="3F"/>
      </w:tcPr>
    </w:tblStylePr>
  </w:style>
  <w:style w:type="table" w:styleId="LightShading-Accent5">
    <w:name w:val="Light Shading Accent 5"/>
    <w:basedOn w:val="TableNormal"/>
    <w:uiPriority w:val="60"/>
    <w:semiHidden/>
    <w:unhideWhenUsed/>
    <w:rsid w:val="00F527CC"/>
    <w:pPr>
      <w:spacing w:after="0" w:line="240" w:lineRule="auto"/>
    </w:pPr>
    <w:rPr>
      <w:color w:val="003F7F" w:themeColor="accent5" w:themeShade="BF"/>
    </w:rPr>
    <w:tblPr>
      <w:tblStyleRowBandSize w:val="1"/>
      <w:tblStyleColBandSize w:val="1"/>
      <w:tblBorders>
        <w:top w:val="single" w:sz="8" w:space="0" w:color="0055AA" w:themeColor="accent5"/>
        <w:bottom w:val="single" w:sz="8" w:space="0" w:color="0055AA" w:themeColor="accent5"/>
      </w:tblBorders>
    </w:tblPr>
    <w:tblStylePr w:type="firstRow">
      <w:pPr>
        <w:spacing w:before="0" w:after="0" w:line="240" w:lineRule="auto"/>
      </w:pPr>
      <w:rPr>
        <w:b/>
        <w:bCs/>
      </w:rPr>
      <w:tblPr/>
      <w:tcPr>
        <w:tcBorders>
          <w:top w:val="single" w:sz="8" w:space="0" w:color="0055AA" w:themeColor="accent5"/>
          <w:left w:val="nil"/>
          <w:bottom w:val="single" w:sz="8" w:space="0" w:color="0055AA" w:themeColor="accent5"/>
          <w:right w:val="nil"/>
          <w:insideH w:val="nil"/>
          <w:insideV w:val="nil"/>
        </w:tcBorders>
      </w:tcPr>
    </w:tblStylePr>
    <w:tblStylePr w:type="lastRow">
      <w:pPr>
        <w:spacing w:before="0" w:after="0" w:line="240" w:lineRule="auto"/>
      </w:pPr>
      <w:rPr>
        <w:b/>
        <w:bCs/>
      </w:rPr>
      <w:tblPr/>
      <w:tcPr>
        <w:tcBorders>
          <w:top w:val="single" w:sz="8" w:space="0" w:color="0055AA" w:themeColor="accent5"/>
          <w:left w:val="nil"/>
          <w:bottom w:val="single" w:sz="8" w:space="0" w:color="0055A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D4FF" w:themeFill="accent5" w:themeFillTint="3F"/>
      </w:tcPr>
    </w:tblStylePr>
    <w:tblStylePr w:type="band1Horz">
      <w:tblPr/>
      <w:tcPr>
        <w:tcBorders>
          <w:left w:val="nil"/>
          <w:right w:val="nil"/>
          <w:insideH w:val="nil"/>
          <w:insideV w:val="nil"/>
        </w:tcBorders>
        <w:shd w:val="clear" w:color="auto" w:fill="ABD4FF" w:themeFill="accent5" w:themeFillTint="3F"/>
      </w:tcPr>
    </w:tblStylePr>
  </w:style>
  <w:style w:type="table" w:styleId="LightShading-Accent6">
    <w:name w:val="Light Shading Accent 6"/>
    <w:basedOn w:val="TableNormal"/>
    <w:uiPriority w:val="60"/>
    <w:semiHidden/>
    <w:unhideWhenUsed/>
    <w:rsid w:val="00F527CC"/>
    <w:pPr>
      <w:spacing w:after="0" w:line="240" w:lineRule="auto"/>
    </w:pPr>
    <w:rPr>
      <w:color w:val="D88400" w:themeColor="accent6" w:themeShade="BF"/>
    </w:rPr>
    <w:tblPr>
      <w:tblStyleRowBandSize w:val="1"/>
      <w:tblStyleColBandSize w:val="1"/>
      <w:tblBorders>
        <w:top w:val="single" w:sz="8" w:space="0" w:color="FFAA22" w:themeColor="accent6"/>
        <w:bottom w:val="single" w:sz="8" w:space="0" w:color="FFAA22" w:themeColor="accent6"/>
      </w:tblBorders>
    </w:tblPr>
    <w:tblStylePr w:type="firstRow">
      <w:pPr>
        <w:spacing w:before="0" w:after="0" w:line="240" w:lineRule="auto"/>
      </w:pPr>
      <w:rPr>
        <w:b/>
        <w:bCs/>
      </w:rPr>
      <w:tblPr/>
      <w:tcPr>
        <w:tcBorders>
          <w:top w:val="single" w:sz="8" w:space="0" w:color="FFAA22" w:themeColor="accent6"/>
          <w:left w:val="nil"/>
          <w:bottom w:val="single" w:sz="8" w:space="0" w:color="FFAA22" w:themeColor="accent6"/>
          <w:right w:val="nil"/>
          <w:insideH w:val="nil"/>
          <w:insideV w:val="nil"/>
        </w:tcBorders>
      </w:tcPr>
    </w:tblStylePr>
    <w:tblStylePr w:type="lastRow">
      <w:pPr>
        <w:spacing w:before="0" w:after="0" w:line="240" w:lineRule="auto"/>
      </w:pPr>
      <w:rPr>
        <w:b/>
        <w:bCs/>
      </w:rPr>
      <w:tblPr/>
      <w:tcPr>
        <w:tcBorders>
          <w:top w:val="single" w:sz="8" w:space="0" w:color="FFAA22" w:themeColor="accent6"/>
          <w:left w:val="nil"/>
          <w:bottom w:val="single" w:sz="8" w:space="0" w:color="FFAA2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9C8" w:themeFill="accent6" w:themeFillTint="3F"/>
      </w:tcPr>
    </w:tblStylePr>
    <w:tblStylePr w:type="band1Horz">
      <w:tblPr/>
      <w:tcPr>
        <w:tcBorders>
          <w:left w:val="nil"/>
          <w:right w:val="nil"/>
          <w:insideH w:val="nil"/>
          <w:insideV w:val="nil"/>
        </w:tcBorders>
        <w:shd w:val="clear" w:color="auto" w:fill="FFE9C8" w:themeFill="accent6" w:themeFillTint="3F"/>
      </w:tcPr>
    </w:tblStylePr>
  </w:style>
  <w:style w:type="character" w:styleId="LineNumber">
    <w:name w:val="line number"/>
    <w:basedOn w:val="DefaultParagraphFont"/>
    <w:uiPriority w:val="99"/>
    <w:semiHidden/>
    <w:unhideWhenUsed/>
    <w:rsid w:val="00F527CC"/>
    <w:rPr>
      <w:lang w:val="en-US"/>
    </w:rPr>
  </w:style>
  <w:style w:type="paragraph" w:styleId="List">
    <w:name w:val="List"/>
    <w:basedOn w:val="Normal"/>
    <w:uiPriority w:val="99"/>
    <w:semiHidden/>
    <w:unhideWhenUsed/>
    <w:rsid w:val="00F527CC"/>
    <w:pPr>
      <w:ind w:left="283" w:hanging="283"/>
      <w:contextualSpacing/>
    </w:pPr>
  </w:style>
  <w:style w:type="paragraph" w:styleId="List2">
    <w:name w:val="List 2"/>
    <w:basedOn w:val="Normal"/>
    <w:uiPriority w:val="99"/>
    <w:semiHidden/>
    <w:unhideWhenUsed/>
    <w:rsid w:val="00F527CC"/>
    <w:pPr>
      <w:ind w:left="566" w:hanging="283"/>
      <w:contextualSpacing/>
    </w:pPr>
  </w:style>
  <w:style w:type="paragraph" w:styleId="List3">
    <w:name w:val="List 3"/>
    <w:basedOn w:val="Normal"/>
    <w:uiPriority w:val="99"/>
    <w:semiHidden/>
    <w:unhideWhenUsed/>
    <w:rsid w:val="00F527CC"/>
    <w:pPr>
      <w:ind w:left="849" w:hanging="283"/>
      <w:contextualSpacing/>
    </w:pPr>
  </w:style>
  <w:style w:type="paragraph" w:styleId="List4">
    <w:name w:val="List 4"/>
    <w:basedOn w:val="Normal"/>
    <w:uiPriority w:val="99"/>
    <w:semiHidden/>
    <w:unhideWhenUsed/>
    <w:rsid w:val="00F527CC"/>
    <w:pPr>
      <w:ind w:left="1132" w:hanging="283"/>
      <w:contextualSpacing/>
    </w:pPr>
  </w:style>
  <w:style w:type="paragraph" w:styleId="List5">
    <w:name w:val="List 5"/>
    <w:basedOn w:val="Normal"/>
    <w:uiPriority w:val="99"/>
    <w:semiHidden/>
    <w:unhideWhenUsed/>
    <w:rsid w:val="00F527CC"/>
    <w:pPr>
      <w:ind w:left="1415" w:hanging="283"/>
      <w:contextualSpacing/>
    </w:pPr>
  </w:style>
  <w:style w:type="paragraph" w:styleId="ListBullet">
    <w:name w:val="List Bullet"/>
    <w:basedOn w:val="Normal"/>
    <w:uiPriority w:val="99"/>
    <w:semiHidden/>
    <w:unhideWhenUsed/>
    <w:rsid w:val="00F527CC"/>
    <w:pPr>
      <w:numPr>
        <w:numId w:val="1"/>
      </w:numPr>
      <w:contextualSpacing/>
    </w:pPr>
  </w:style>
  <w:style w:type="paragraph" w:styleId="ListBullet2">
    <w:name w:val="List Bullet 2"/>
    <w:basedOn w:val="Normal"/>
    <w:uiPriority w:val="99"/>
    <w:semiHidden/>
    <w:unhideWhenUsed/>
    <w:rsid w:val="00F527CC"/>
    <w:pPr>
      <w:numPr>
        <w:numId w:val="2"/>
      </w:numPr>
      <w:contextualSpacing/>
    </w:pPr>
  </w:style>
  <w:style w:type="paragraph" w:styleId="ListBullet3">
    <w:name w:val="List Bullet 3"/>
    <w:basedOn w:val="Normal"/>
    <w:uiPriority w:val="99"/>
    <w:semiHidden/>
    <w:unhideWhenUsed/>
    <w:rsid w:val="00F527CC"/>
    <w:pPr>
      <w:numPr>
        <w:numId w:val="3"/>
      </w:numPr>
      <w:contextualSpacing/>
    </w:pPr>
  </w:style>
  <w:style w:type="paragraph" w:styleId="ListBullet4">
    <w:name w:val="List Bullet 4"/>
    <w:basedOn w:val="Normal"/>
    <w:uiPriority w:val="99"/>
    <w:semiHidden/>
    <w:unhideWhenUsed/>
    <w:rsid w:val="00F527CC"/>
    <w:pPr>
      <w:numPr>
        <w:numId w:val="4"/>
      </w:numPr>
      <w:contextualSpacing/>
    </w:pPr>
  </w:style>
  <w:style w:type="paragraph" w:styleId="ListBullet5">
    <w:name w:val="List Bullet 5"/>
    <w:basedOn w:val="Normal"/>
    <w:uiPriority w:val="99"/>
    <w:semiHidden/>
    <w:unhideWhenUsed/>
    <w:rsid w:val="00F527CC"/>
    <w:pPr>
      <w:numPr>
        <w:numId w:val="5"/>
      </w:numPr>
      <w:contextualSpacing/>
    </w:pPr>
  </w:style>
  <w:style w:type="paragraph" w:styleId="ListContinue">
    <w:name w:val="List Continue"/>
    <w:basedOn w:val="Normal"/>
    <w:uiPriority w:val="99"/>
    <w:semiHidden/>
    <w:unhideWhenUsed/>
    <w:rsid w:val="00F527CC"/>
    <w:pPr>
      <w:ind w:left="283"/>
      <w:contextualSpacing/>
    </w:pPr>
  </w:style>
  <w:style w:type="paragraph" w:styleId="ListContinue2">
    <w:name w:val="List Continue 2"/>
    <w:basedOn w:val="Normal"/>
    <w:uiPriority w:val="99"/>
    <w:semiHidden/>
    <w:unhideWhenUsed/>
    <w:rsid w:val="00F527CC"/>
    <w:pPr>
      <w:ind w:left="566"/>
      <w:contextualSpacing/>
    </w:pPr>
  </w:style>
  <w:style w:type="paragraph" w:styleId="ListContinue3">
    <w:name w:val="List Continue 3"/>
    <w:basedOn w:val="Normal"/>
    <w:uiPriority w:val="99"/>
    <w:semiHidden/>
    <w:unhideWhenUsed/>
    <w:rsid w:val="00F527CC"/>
    <w:pPr>
      <w:ind w:left="849"/>
      <w:contextualSpacing/>
    </w:pPr>
  </w:style>
  <w:style w:type="paragraph" w:styleId="ListContinue4">
    <w:name w:val="List Continue 4"/>
    <w:basedOn w:val="Normal"/>
    <w:uiPriority w:val="99"/>
    <w:semiHidden/>
    <w:unhideWhenUsed/>
    <w:rsid w:val="00F527CC"/>
    <w:pPr>
      <w:ind w:left="1132"/>
      <w:contextualSpacing/>
    </w:pPr>
  </w:style>
  <w:style w:type="paragraph" w:styleId="ListContinue5">
    <w:name w:val="List Continue 5"/>
    <w:basedOn w:val="Normal"/>
    <w:uiPriority w:val="99"/>
    <w:semiHidden/>
    <w:unhideWhenUsed/>
    <w:rsid w:val="00F527CC"/>
    <w:pPr>
      <w:ind w:left="1415"/>
      <w:contextualSpacing/>
    </w:pPr>
  </w:style>
  <w:style w:type="paragraph" w:styleId="ListNumber">
    <w:name w:val="List Number"/>
    <w:basedOn w:val="Normal"/>
    <w:uiPriority w:val="99"/>
    <w:semiHidden/>
    <w:unhideWhenUsed/>
    <w:rsid w:val="00F527CC"/>
    <w:pPr>
      <w:numPr>
        <w:numId w:val="6"/>
      </w:numPr>
      <w:contextualSpacing/>
    </w:pPr>
  </w:style>
  <w:style w:type="paragraph" w:styleId="ListNumber2">
    <w:name w:val="List Number 2"/>
    <w:basedOn w:val="Normal"/>
    <w:uiPriority w:val="99"/>
    <w:semiHidden/>
    <w:unhideWhenUsed/>
    <w:rsid w:val="00F527CC"/>
    <w:pPr>
      <w:numPr>
        <w:numId w:val="7"/>
      </w:numPr>
      <w:contextualSpacing/>
    </w:pPr>
  </w:style>
  <w:style w:type="paragraph" w:styleId="ListNumber3">
    <w:name w:val="List Number 3"/>
    <w:basedOn w:val="Normal"/>
    <w:uiPriority w:val="99"/>
    <w:semiHidden/>
    <w:unhideWhenUsed/>
    <w:rsid w:val="00F527CC"/>
    <w:pPr>
      <w:numPr>
        <w:numId w:val="8"/>
      </w:numPr>
      <w:contextualSpacing/>
    </w:pPr>
  </w:style>
  <w:style w:type="paragraph" w:styleId="ListNumber4">
    <w:name w:val="List Number 4"/>
    <w:basedOn w:val="Normal"/>
    <w:uiPriority w:val="99"/>
    <w:semiHidden/>
    <w:unhideWhenUsed/>
    <w:rsid w:val="00F527CC"/>
    <w:pPr>
      <w:numPr>
        <w:numId w:val="9"/>
      </w:numPr>
      <w:contextualSpacing/>
    </w:pPr>
  </w:style>
  <w:style w:type="paragraph" w:styleId="ListNumber5">
    <w:name w:val="List Number 5"/>
    <w:basedOn w:val="Normal"/>
    <w:uiPriority w:val="99"/>
    <w:semiHidden/>
    <w:unhideWhenUsed/>
    <w:rsid w:val="00F527CC"/>
    <w:pPr>
      <w:numPr>
        <w:numId w:val="10"/>
      </w:numPr>
      <w:contextualSpacing/>
    </w:pPr>
  </w:style>
  <w:style w:type="paragraph" w:styleId="ListParagraph">
    <w:name w:val="List Paragraph"/>
    <w:aliases w:val="Paragraph,Header 2,Head1.1,References,Paragraphe de liste1,List Paragraph1,Liste couleur - Accent 11,Liste couleur - Accent 111,Paragraphe de liste3,List Paragraph2,Bullets,List Paragraph nowy,Numbered List Paragraph,titre_kely,Liste 1,lp"/>
    <w:basedOn w:val="Normal"/>
    <w:link w:val="ListParagraphChar"/>
    <w:uiPriority w:val="34"/>
    <w:qFormat/>
    <w:rsid w:val="00F527CC"/>
    <w:pPr>
      <w:ind w:left="720"/>
      <w:contextualSpacing/>
    </w:pPr>
  </w:style>
  <w:style w:type="table" w:styleId="ListTable1Light">
    <w:name w:val="List Table 1 Light"/>
    <w:basedOn w:val="TableNormal"/>
    <w:uiPriority w:val="46"/>
    <w:rsid w:val="00F527CC"/>
    <w:pPr>
      <w:spacing w:after="0" w:line="240" w:lineRule="auto"/>
    </w:pPr>
    <w:tblPr>
      <w:tblStyleRowBandSize w:val="1"/>
      <w:tblStyleColBandSize w:val="1"/>
    </w:tblPr>
    <w:tblStylePr w:type="firstRow">
      <w:rPr>
        <w:b/>
        <w:bCs/>
      </w:rPr>
      <w:tblPr/>
      <w:tcPr>
        <w:tcBorders>
          <w:bottom w:val="single" w:sz="4" w:space="0" w:color="8C8C8C" w:themeColor="text1" w:themeTint="99"/>
        </w:tcBorders>
      </w:tcPr>
    </w:tblStylePr>
    <w:tblStylePr w:type="lastRow">
      <w:rPr>
        <w:b/>
        <w:bCs/>
      </w:rPr>
      <w:tblPr/>
      <w:tcPr>
        <w:tcBorders>
          <w:top w:val="single" w:sz="4" w:space="0" w:color="8C8C8C" w:themeColor="text1" w:themeTint="99"/>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styleId="ListTable1Light-Accent1">
    <w:name w:val="List Table 1 Light Accent 1"/>
    <w:basedOn w:val="TableNormal"/>
    <w:uiPriority w:val="46"/>
    <w:rsid w:val="00F527CC"/>
    <w:pPr>
      <w:spacing w:after="0" w:line="240" w:lineRule="auto"/>
    </w:pPr>
    <w:tblPr>
      <w:tblStyleRowBandSize w:val="1"/>
      <w:tblStyleColBandSize w:val="1"/>
    </w:tblPr>
    <w:tblStylePr w:type="firstRow">
      <w:rPr>
        <w:b/>
        <w:bCs/>
      </w:rPr>
      <w:tblPr/>
      <w:tcPr>
        <w:tcBorders>
          <w:bottom w:val="single" w:sz="4" w:space="0" w:color="DDDDDF" w:themeColor="accent1" w:themeTint="99"/>
        </w:tcBorders>
      </w:tcPr>
    </w:tblStylePr>
    <w:tblStylePr w:type="lastRow">
      <w:rPr>
        <w:b/>
        <w:bCs/>
      </w:rPr>
      <w:tblPr/>
      <w:tcPr>
        <w:tcBorders>
          <w:top w:val="single" w:sz="4" w:space="0" w:color="DDDDDF" w:themeColor="accent1" w:themeTint="99"/>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styleId="ListTable1Light-Accent2">
    <w:name w:val="List Table 1 Light Accent 2"/>
    <w:basedOn w:val="TableNormal"/>
    <w:uiPriority w:val="46"/>
    <w:rsid w:val="00F527CC"/>
    <w:pPr>
      <w:spacing w:after="0" w:line="240" w:lineRule="auto"/>
    </w:pPr>
    <w:tblPr>
      <w:tblStyleRowBandSize w:val="1"/>
      <w:tblStyleColBandSize w:val="1"/>
    </w:tblPr>
    <w:tblStylePr w:type="firstRow">
      <w:rPr>
        <w:b/>
        <w:bCs/>
      </w:rPr>
      <w:tblPr/>
      <w:tcPr>
        <w:tcBorders>
          <w:bottom w:val="single" w:sz="4" w:space="0" w:color="BEBFC1" w:themeColor="accent2" w:themeTint="99"/>
        </w:tcBorders>
      </w:tcPr>
    </w:tblStylePr>
    <w:tblStylePr w:type="lastRow">
      <w:rPr>
        <w:b/>
        <w:bCs/>
      </w:rPr>
      <w:tblPr/>
      <w:tcPr>
        <w:tcBorders>
          <w:top w:val="single" w:sz="4" w:space="0" w:color="BEBFC1" w:themeColor="accent2" w:themeTint="99"/>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styleId="ListTable1Light-Accent3">
    <w:name w:val="List Table 1 Light Accent 3"/>
    <w:basedOn w:val="TableNormal"/>
    <w:uiPriority w:val="46"/>
    <w:rsid w:val="00F527CC"/>
    <w:pPr>
      <w:spacing w:after="0" w:line="240" w:lineRule="auto"/>
    </w:pPr>
    <w:tblPr>
      <w:tblStyleRowBandSize w:val="1"/>
      <w:tblStyleColBandSize w:val="1"/>
    </w:tblPr>
    <w:tblStylePr w:type="firstRow">
      <w:rPr>
        <w:b/>
        <w:bCs/>
      </w:rPr>
      <w:tblPr/>
      <w:tcPr>
        <w:tcBorders>
          <w:bottom w:val="single" w:sz="4" w:space="0" w:color="A0A1A3" w:themeColor="accent3" w:themeTint="99"/>
        </w:tcBorders>
      </w:tcPr>
    </w:tblStylePr>
    <w:tblStylePr w:type="lastRow">
      <w:rPr>
        <w:b/>
        <w:bCs/>
      </w:rPr>
      <w:tblPr/>
      <w:tcPr>
        <w:tcBorders>
          <w:top w:val="single" w:sz="4" w:space="0" w:color="A0A1A3" w:themeColor="accent3" w:themeTint="99"/>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styleId="ListTable1Light-Accent4">
    <w:name w:val="List Table 1 Light Accent 4"/>
    <w:basedOn w:val="TableNormal"/>
    <w:uiPriority w:val="46"/>
    <w:rsid w:val="00F527CC"/>
    <w:pPr>
      <w:spacing w:after="0" w:line="240" w:lineRule="auto"/>
    </w:pPr>
    <w:tblPr>
      <w:tblStyleRowBandSize w:val="1"/>
      <w:tblStyleColBandSize w:val="1"/>
    </w:tblPr>
    <w:tblStylePr w:type="firstRow">
      <w:rPr>
        <w:b/>
        <w:bCs/>
      </w:rPr>
      <w:tblPr/>
      <w:tcPr>
        <w:tcBorders>
          <w:bottom w:val="single" w:sz="4" w:space="0" w:color="E87179" w:themeColor="accent4" w:themeTint="99"/>
        </w:tcBorders>
      </w:tcPr>
    </w:tblStylePr>
    <w:tblStylePr w:type="lastRow">
      <w:rPr>
        <w:b/>
        <w:bCs/>
      </w:rPr>
      <w:tblPr/>
      <w:tcPr>
        <w:tcBorders>
          <w:top w:val="single" w:sz="4" w:space="0" w:color="E87179" w:themeColor="accent4" w:themeTint="99"/>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styleId="ListTable1Light-Accent5">
    <w:name w:val="List Table 1 Light Accent 5"/>
    <w:basedOn w:val="TableNormal"/>
    <w:uiPriority w:val="46"/>
    <w:rsid w:val="00F527CC"/>
    <w:pPr>
      <w:spacing w:after="0" w:line="240" w:lineRule="auto"/>
    </w:pPr>
    <w:tblPr>
      <w:tblStyleRowBandSize w:val="1"/>
      <w:tblStyleColBandSize w:val="1"/>
    </w:tblPr>
    <w:tblStylePr w:type="firstRow">
      <w:rPr>
        <w:b/>
        <w:bCs/>
      </w:rPr>
      <w:tblPr/>
      <w:tcPr>
        <w:tcBorders>
          <w:bottom w:val="single" w:sz="4" w:space="0" w:color="3398FF" w:themeColor="accent5" w:themeTint="99"/>
        </w:tcBorders>
      </w:tcPr>
    </w:tblStylePr>
    <w:tblStylePr w:type="lastRow">
      <w:rPr>
        <w:b/>
        <w:bCs/>
      </w:rPr>
      <w:tblPr/>
      <w:tcPr>
        <w:tcBorders>
          <w:top w:val="single" w:sz="4" w:space="0" w:color="3398FF" w:themeColor="accent5" w:themeTint="99"/>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styleId="ListTable1Light-Accent6">
    <w:name w:val="List Table 1 Light Accent 6"/>
    <w:basedOn w:val="TableNormal"/>
    <w:uiPriority w:val="46"/>
    <w:rsid w:val="00F527CC"/>
    <w:pPr>
      <w:spacing w:after="0" w:line="240" w:lineRule="auto"/>
    </w:pPr>
    <w:tblPr>
      <w:tblStyleRowBandSize w:val="1"/>
      <w:tblStyleColBandSize w:val="1"/>
    </w:tblPr>
    <w:tblStylePr w:type="firstRow">
      <w:rPr>
        <w:b/>
        <w:bCs/>
      </w:rPr>
      <w:tblPr/>
      <w:tcPr>
        <w:tcBorders>
          <w:bottom w:val="single" w:sz="4" w:space="0" w:color="FFCB7A" w:themeColor="accent6" w:themeTint="99"/>
        </w:tcBorders>
      </w:tcPr>
    </w:tblStylePr>
    <w:tblStylePr w:type="lastRow">
      <w:rPr>
        <w:b/>
        <w:bCs/>
      </w:rPr>
      <w:tblPr/>
      <w:tcPr>
        <w:tcBorders>
          <w:top w:val="single" w:sz="4" w:space="0" w:color="FFCB7A" w:themeColor="accent6" w:themeTint="99"/>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styleId="ListTable2">
    <w:name w:val="List Table 2"/>
    <w:basedOn w:val="TableNormal"/>
    <w:uiPriority w:val="47"/>
    <w:rsid w:val="00F527CC"/>
    <w:pPr>
      <w:spacing w:after="0" w:line="240" w:lineRule="auto"/>
    </w:pPr>
    <w:tblPr>
      <w:tblStyleRowBandSize w:val="1"/>
      <w:tblStyleColBandSize w:val="1"/>
      <w:tblBorders>
        <w:top w:val="single" w:sz="4" w:space="0" w:color="8C8C8C" w:themeColor="text1" w:themeTint="99"/>
        <w:bottom w:val="single" w:sz="4" w:space="0" w:color="8C8C8C" w:themeColor="text1" w:themeTint="99"/>
        <w:insideH w:val="single" w:sz="4" w:space="0" w:color="8C8C8C"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styleId="ListTable2-Accent1">
    <w:name w:val="List Table 2 Accent 1"/>
    <w:basedOn w:val="TableNormal"/>
    <w:uiPriority w:val="47"/>
    <w:rsid w:val="00F527CC"/>
    <w:pPr>
      <w:spacing w:after="0" w:line="240" w:lineRule="auto"/>
    </w:pPr>
    <w:tblPr>
      <w:tblStyleRowBandSize w:val="1"/>
      <w:tblStyleColBandSize w:val="1"/>
      <w:tblBorders>
        <w:top w:val="single" w:sz="4" w:space="0" w:color="DDDDDF" w:themeColor="accent1" w:themeTint="99"/>
        <w:bottom w:val="single" w:sz="4" w:space="0" w:color="DDDDDF" w:themeColor="accent1" w:themeTint="99"/>
        <w:insideH w:val="single" w:sz="4" w:space="0" w:color="DDDDD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styleId="ListTable2-Accent2">
    <w:name w:val="List Table 2 Accent 2"/>
    <w:basedOn w:val="TableNormal"/>
    <w:uiPriority w:val="47"/>
    <w:rsid w:val="00F527CC"/>
    <w:pPr>
      <w:spacing w:after="0" w:line="240" w:lineRule="auto"/>
    </w:pPr>
    <w:tblPr>
      <w:tblStyleRowBandSize w:val="1"/>
      <w:tblStyleColBandSize w:val="1"/>
      <w:tblBorders>
        <w:top w:val="single" w:sz="4" w:space="0" w:color="BEBFC1" w:themeColor="accent2" w:themeTint="99"/>
        <w:bottom w:val="single" w:sz="4" w:space="0" w:color="BEBFC1" w:themeColor="accent2" w:themeTint="99"/>
        <w:insideH w:val="single" w:sz="4" w:space="0" w:color="BEBFC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styleId="ListTable2-Accent3">
    <w:name w:val="List Table 2 Accent 3"/>
    <w:basedOn w:val="TableNormal"/>
    <w:uiPriority w:val="47"/>
    <w:rsid w:val="00F527CC"/>
    <w:pPr>
      <w:spacing w:after="0" w:line="240" w:lineRule="auto"/>
    </w:pPr>
    <w:tblPr>
      <w:tblStyleRowBandSize w:val="1"/>
      <w:tblStyleColBandSize w:val="1"/>
      <w:tblBorders>
        <w:top w:val="single" w:sz="4" w:space="0" w:color="A0A1A3" w:themeColor="accent3" w:themeTint="99"/>
        <w:bottom w:val="single" w:sz="4" w:space="0" w:color="A0A1A3" w:themeColor="accent3" w:themeTint="99"/>
        <w:insideH w:val="single" w:sz="4" w:space="0" w:color="A0A1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styleId="ListTable2-Accent4">
    <w:name w:val="List Table 2 Accent 4"/>
    <w:basedOn w:val="TableNormal"/>
    <w:uiPriority w:val="47"/>
    <w:rsid w:val="00F527CC"/>
    <w:pPr>
      <w:spacing w:after="0" w:line="240" w:lineRule="auto"/>
    </w:pPr>
    <w:tblPr>
      <w:tblStyleRowBandSize w:val="1"/>
      <w:tblStyleColBandSize w:val="1"/>
      <w:tblBorders>
        <w:top w:val="single" w:sz="4" w:space="0" w:color="E87179" w:themeColor="accent4" w:themeTint="99"/>
        <w:bottom w:val="single" w:sz="4" w:space="0" w:color="E87179" w:themeColor="accent4" w:themeTint="99"/>
        <w:insideH w:val="single" w:sz="4" w:space="0" w:color="E8717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styleId="ListTable2-Accent5">
    <w:name w:val="List Table 2 Accent 5"/>
    <w:basedOn w:val="TableNormal"/>
    <w:uiPriority w:val="47"/>
    <w:rsid w:val="00F527CC"/>
    <w:pPr>
      <w:spacing w:after="0" w:line="240" w:lineRule="auto"/>
    </w:pPr>
    <w:tblPr>
      <w:tblStyleRowBandSize w:val="1"/>
      <w:tblStyleColBandSize w:val="1"/>
      <w:tblBorders>
        <w:top w:val="single" w:sz="4" w:space="0" w:color="3398FF" w:themeColor="accent5" w:themeTint="99"/>
        <w:bottom w:val="single" w:sz="4" w:space="0" w:color="3398FF" w:themeColor="accent5" w:themeTint="99"/>
        <w:insideH w:val="single" w:sz="4" w:space="0" w:color="339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styleId="ListTable2-Accent6">
    <w:name w:val="List Table 2 Accent 6"/>
    <w:basedOn w:val="TableNormal"/>
    <w:uiPriority w:val="47"/>
    <w:rsid w:val="00F527CC"/>
    <w:pPr>
      <w:spacing w:after="0" w:line="240" w:lineRule="auto"/>
    </w:pPr>
    <w:tblPr>
      <w:tblStyleRowBandSize w:val="1"/>
      <w:tblStyleColBandSize w:val="1"/>
      <w:tblBorders>
        <w:top w:val="single" w:sz="4" w:space="0" w:color="FFCB7A" w:themeColor="accent6" w:themeTint="99"/>
        <w:bottom w:val="single" w:sz="4" w:space="0" w:color="FFCB7A" w:themeColor="accent6" w:themeTint="99"/>
        <w:insideH w:val="single" w:sz="4" w:space="0" w:color="FFCB7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styleId="ListTable3">
    <w:name w:val="List Table 3"/>
    <w:basedOn w:val="TableNormal"/>
    <w:uiPriority w:val="48"/>
    <w:rsid w:val="00F527CC"/>
    <w:pPr>
      <w:spacing w:after="0" w:line="240" w:lineRule="auto"/>
    </w:pPr>
    <w:tblPr>
      <w:tblStyleRowBandSize w:val="1"/>
      <w:tblStyleColBandSize w:val="1"/>
      <w:tblBorders>
        <w:top w:val="single" w:sz="4" w:space="0" w:color="404040" w:themeColor="text1"/>
        <w:left w:val="single" w:sz="4" w:space="0" w:color="404040" w:themeColor="text1"/>
        <w:bottom w:val="single" w:sz="4" w:space="0" w:color="404040" w:themeColor="text1"/>
        <w:right w:val="single" w:sz="4" w:space="0" w:color="404040" w:themeColor="text1"/>
      </w:tblBorders>
    </w:tblPr>
    <w:tblStylePr w:type="firstRow">
      <w:rPr>
        <w:b/>
        <w:bCs/>
        <w:color w:val="FFFFFF" w:themeColor="background1"/>
      </w:rPr>
      <w:tblPr/>
      <w:tcPr>
        <w:shd w:val="clear" w:color="auto" w:fill="404040" w:themeFill="text1"/>
      </w:tcPr>
    </w:tblStylePr>
    <w:tblStylePr w:type="lastRow">
      <w:rPr>
        <w:b/>
        <w:bCs/>
      </w:rPr>
      <w:tblPr/>
      <w:tcPr>
        <w:tcBorders>
          <w:top w:val="double" w:sz="4" w:space="0" w:color="40404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40" w:themeColor="text1"/>
          <w:right w:val="single" w:sz="4" w:space="0" w:color="404040" w:themeColor="text1"/>
        </w:tcBorders>
      </w:tcPr>
    </w:tblStylePr>
    <w:tblStylePr w:type="band1Horz">
      <w:tblPr/>
      <w:tcPr>
        <w:tcBorders>
          <w:top w:val="single" w:sz="4" w:space="0" w:color="404040" w:themeColor="text1"/>
          <w:bottom w:val="single" w:sz="4" w:space="0" w:color="40404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40" w:themeColor="text1"/>
          <w:left w:val="nil"/>
        </w:tcBorders>
      </w:tcPr>
    </w:tblStylePr>
    <w:tblStylePr w:type="swCell">
      <w:tblPr/>
      <w:tcPr>
        <w:tcBorders>
          <w:top w:val="double" w:sz="4" w:space="0" w:color="404040" w:themeColor="text1"/>
          <w:right w:val="nil"/>
        </w:tcBorders>
      </w:tcPr>
    </w:tblStylePr>
  </w:style>
  <w:style w:type="table" w:styleId="ListTable3-Accent1">
    <w:name w:val="List Table 3 Accent 1"/>
    <w:basedOn w:val="TableNormal"/>
    <w:uiPriority w:val="48"/>
    <w:rsid w:val="00F527CC"/>
    <w:pPr>
      <w:spacing w:after="0" w:line="240" w:lineRule="auto"/>
    </w:pPr>
    <w:tblPr>
      <w:tblStyleRowBandSize w:val="1"/>
      <w:tblStyleColBandSize w:val="1"/>
      <w:tblBorders>
        <w:top w:val="single" w:sz="4" w:space="0" w:color="C7C8CA" w:themeColor="accent1"/>
        <w:left w:val="single" w:sz="4" w:space="0" w:color="C7C8CA" w:themeColor="accent1"/>
        <w:bottom w:val="single" w:sz="4" w:space="0" w:color="C7C8CA" w:themeColor="accent1"/>
        <w:right w:val="single" w:sz="4" w:space="0" w:color="C7C8CA" w:themeColor="accent1"/>
      </w:tblBorders>
    </w:tblPr>
    <w:tblStylePr w:type="firstRow">
      <w:rPr>
        <w:b/>
        <w:bCs/>
        <w:color w:val="FFFFFF" w:themeColor="background1"/>
      </w:rPr>
      <w:tblPr/>
      <w:tcPr>
        <w:shd w:val="clear" w:color="auto" w:fill="C7C8CA" w:themeFill="accent1"/>
      </w:tcPr>
    </w:tblStylePr>
    <w:tblStylePr w:type="lastRow">
      <w:rPr>
        <w:b/>
        <w:bCs/>
      </w:rPr>
      <w:tblPr/>
      <w:tcPr>
        <w:tcBorders>
          <w:top w:val="double" w:sz="4" w:space="0" w:color="C7C8C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7C8CA" w:themeColor="accent1"/>
          <w:right w:val="single" w:sz="4" w:space="0" w:color="C7C8CA" w:themeColor="accent1"/>
        </w:tcBorders>
      </w:tcPr>
    </w:tblStylePr>
    <w:tblStylePr w:type="band1Horz">
      <w:tblPr/>
      <w:tcPr>
        <w:tcBorders>
          <w:top w:val="single" w:sz="4" w:space="0" w:color="C7C8CA" w:themeColor="accent1"/>
          <w:bottom w:val="single" w:sz="4" w:space="0" w:color="C7C8C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8CA" w:themeColor="accent1"/>
          <w:left w:val="nil"/>
        </w:tcBorders>
      </w:tcPr>
    </w:tblStylePr>
    <w:tblStylePr w:type="swCell">
      <w:tblPr/>
      <w:tcPr>
        <w:tcBorders>
          <w:top w:val="double" w:sz="4" w:space="0" w:color="C7C8CA" w:themeColor="accent1"/>
          <w:right w:val="nil"/>
        </w:tcBorders>
      </w:tcPr>
    </w:tblStylePr>
  </w:style>
  <w:style w:type="table" w:styleId="ListTable3-Accent2">
    <w:name w:val="List Table 3 Accent 2"/>
    <w:basedOn w:val="TableNormal"/>
    <w:uiPriority w:val="48"/>
    <w:rsid w:val="00F527CC"/>
    <w:pPr>
      <w:spacing w:after="0" w:line="240" w:lineRule="auto"/>
    </w:pPr>
    <w:tblPr>
      <w:tblStyleRowBandSize w:val="1"/>
      <w:tblStyleColBandSize w:val="1"/>
      <w:tblBorders>
        <w:top w:val="single" w:sz="4" w:space="0" w:color="939598" w:themeColor="accent2"/>
        <w:left w:val="single" w:sz="4" w:space="0" w:color="939598" w:themeColor="accent2"/>
        <w:bottom w:val="single" w:sz="4" w:space="0" w:color="939598" w:themeColor="accent2"/>
        <w:right w:val="single" w:sz="4" w:space="0" w:color="939598" w:themeColor="accent2"/>
      </w:tblBorders>
    </w:tblPr>
    <w:tblStylePr w:type="firstRow">
      <w:rPr>
        <w:b/>
        <w:bCs/>
        <w:color w:val="FFFFFF" w:themeColor="background1"/>
      </w:rPr>
      <w:tblPr/>
      <w:tcPr>
        <w:shd w:val="clear" w:color="auto" w:fill="939598" w:themeFill="accent2"/>
      </w:tcPr>
    </w:tblStylePr>
    <w:tblStylePr w:type="lastRow">
      <w:rPr>
        <w:b/>
        <w:bCs/>
      </w:rPr>
      <w:tblPr/>
      <w:tcPr>
        <w:tcBorders>
          <w:top w:val="double" w:sz="4" w:space="0" w:color="93959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9598" w:themeColor="accent2"/>
          <w:right w:val="single" w:sz="4" w:space="0" w:color="939598" w:themeColor="accent2"/>
        </w:tcBorders>
      </w:tcPr>
    </w:tblStylePr>
    <w:tblStylePr w:type="band1Horz">
      <w:tblPr/>
      <w:tcPr>
        <w:tcBorders>
          <w:top w:val="single" w:sz="4" w:space="0" w:color="939598" w:themeColor="accent2"/>
          <w:bottom w:val="single" w:sz="4" w:space="0" w:color="93959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9598" w:themeColor="accent2"/>
          <w:left w:val="nil"/>
        </w:tcBorders>
      </w:tcPr>
    </w:tblStylePr>
    <w:tblStylePr w:type="swCell">
      <w:tblPr/>
      <w:tcPr>
        <w:tcBorders>
          <w:top w:val="double" w:sz="4" w:space="0" w:color="939598" w:themeColor="accent2"/>
          <w:right w:val="nil"/>
        </w:tcBorders>
      </w:tcPr>
    </w:tblStylePr>
  </w:style>
  <w:style w:type="table" w:styleId="ListTable3-Accent3">
    <w:name w:val="List Table 3 Accent 3"/>
    <w:basedOn w:val="TableNormal"/>
    <w:uiPriority w:val="48"/>
    <w:rsid w:val="00F527CC"/>
    <w:pPr>
      <w:spacing w:after="0" w:line="240" w:lineRule="auto"/>
    </w:pPr>
    <w:tblPr>
      <w:tblStyleRowBandSize w:val="1"/>
      <w:tblStyleColBandSize w:val="1"/>
      <w:tblBorders>
        <w:top w:val="single" w:sz="4" w:space="0" w:color="636466" w:themeColor="accent3"/>
        <w:left w:val="single" w:sz="4" w:space="0" w:color="636466" w:themeColor="accent3"/>
        <w:bottom w:val="single" w:sz="4" w:space="0" w:color="636466" w:themeColor="accent3"/>
        <w:right w:val="single" w:sz="4" w:space="0" w:color="636466" w:themeColor="accent3"/>
      </w:tblBorders>
    </w:tblPr>
    <w:tblStylePr w:type="firstRow">
      <w:rPr>
        <w:b/>
        <w:bCs/>
        <w:color w:val="FFFFFF" w:themeColor="background1"/>
      </w:rPr>
      <w:tblPr/>
      <w:tcPr>
        <w:shd w:val="clear" w:color="auto" w:fill="636466" w:themeFill="accent3"/>
      </w:tcPr>
    </w:tblStylePr>
    <w:tblStylePr w:type="lastRow">
      <w:rPr>
        <w:b/>
        <w:bCs/>
      </w:rPr>
      <w:tblPr/>
      <w:tcPr>
        <w:tcBorders>
          <w:top w:val="double" w:sz="4" w:space="0" w:color="63646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6466" w:themeColor="accent3"/>
          <w:right w:val="single" w:sz="4" w:space="0" w:color="636466" w:themeColor="accent3"/>
        </w:tcBorders>
      </w:tcPr>
    </w:tblStylePr>
    <w:tblStylePr w:type="band1Horz">
      <w:tblPr/>
      <w:tcPr>
        <w:tcBorders>
          <w:top w:val="single" w:sz="4" w:space="0" w:color="636466" w:themeColor="accent3"/>
          <w:bottom w:val="single" w:sz="4" w:space="0" w:color="63646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6466" w:themeColor="accent3"/>
          <w:left w:val="nil"/>
        </w:tcBorders>
      </w:tcPr>
    </w:tblStylePr>
    <w:tblStylePr w:type="swCell">
      <w:tblPr/>
      <w:tcPr>
        <w:tcBorders>
          <w:top w:val="double" w:sz="4" w:space="0" w:color="636466" w:themeColor="accent3"/>
          <w:right w:val="nil"/>
        </w:tcBorders>
      </w:tcPr>
    </w:tblStylePr>
  </w:style>
  <w:style w:type="table" w:styleId="ListTable3-Accent4">
    <w:name w:val="List Table 3 Accent 4"/>
    <w:basedOn w:val="TableNormal"/>
    <w:uiPriority w:val="48"/>
    <w:rsid w:val="00F527CC"/>
    <w:pPr>
      <w:spacing w:after="0" w:line="240" w:lineRule="auto"/>
    </w:pPr>
    <w:tblPr>
      <w:tblStyleRowBandSize w:val="1"/>
      <w:tblStyleColBandSize w:val="1"/>
      <w:tblBorders>
        <w:top w:val="single" w:sz="4" w:space="0" w:color="CD202C" w:themeColor="accent4"/>
        <w:left w:val="single" w:sz="4" w:space="0" w:color="CD202C" w:themeColor="accent4"/>
        <w:bottom w:val="single" w:sz="4" w:space="0" w:color="CD202C" w:themeColor="accent4"/>
        <w:right w:val="single" w:sz="4" w:space="0" w:color="CD202C" w:themeColor="accent4"/>
      </w:tblBorders>
    </w:tblPr>
    <w:tblStylePr w:type="firstRow">
      <w:rPr>
        <w:b/>
        <w:bCs/>
        <w:color w:val="FFFFFF" w:themeColor="background1"/>
      </w:rPr>
      <w:tblPr/>
      <w:tcPr>
        <w:shd w:val="clear" w:color="auto" w:fill="CD202C" w:themeFill="accent4"/>
      </w:tcPr>
    </w:tblStylePr>
    <w:tblStylePr w:type="lastRow">
      <w:rPr>
        <w:b/>
        <w:bCs/>
      </w:rPr>
      <w:tblPr/>
      <w:tcPr>
        <w:tcBorders>
          <w:top w:val="double" w:sz="4" w:space="0" w:color="CD202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202C" w:themeColor="accent4"/>
          <w:right w:val="single" w:sz="4" w:space="0" w:color="CD202C" w:themeColor="accent4"/>
        </w:tcBorders>
      </w:tcPr>
    </w:tblStylePr>
    <w:tblStylePr w:type="band1Horz">
      <w:tblPr/>
      <w:tcPr>
        <w:tcBorders>
          <w:top w:val="single" w:sz="4" w:space="0" w:color="CD202C" w:themeColor="accent4"/>
          <w:bottom w:val="single" w:sz="4" w:space="0" w:color="CD202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202C" w:themeColor="accent4"/>
          <w:left w:val="nil"/>
        </w:tcBorders>
      </w:tcPr>
    </w:tblStylePr>
    <w:tblStylePr w:type="swCell">
      <w:tblPr/>
      <w:tcPr>
        <w:tcBorders>
          <w:top w:val="double" w:sz="4" w:space="0" w:color="CD202C" w:themeColor="accent4"/>
          <w:right w:val="nil"/>
        </w:tcBorders>
      </w:tcPr>
    </w:tblStylePr>
  </w:style>
  <w:style w:type="table" w:styleId="ListTable3-Accent5">
    <w:name w:val="List Table 3 Accent 5"/>
    <w:basedOn w:val="TableNormal"/>
    <w:uiPriority w:val="48"/>
    <w:rsid w:val="00F527CC"/>
    <w:pPr>
      <w:spacing w:after="0" w:line="240" w:lineRule="auto"/>
    </w:pPr>
    <w:tblPr>
      <w:tblStyleRowBandSize w:val="1"/>
      <w:tblStyleColBandSize w:val="1"/>
      <w:tblBorders>
        <w:top w:val="single" w:sz="4" w:space="0" w:color="0055AA" w:themeColor="accent5"/>
        <w:left w:val="single" w:sz="4" w:space="0" w:color="0055AA" w:themeColor="accent5"/>
        <w:bottom w:val="single" w:sz="4" w:space="0" w:color="0055AA" w:themeColor="accent5"/>
        <w:right w:val="single" w:sz="4" w:space="0" w:color="0055AA" w:themeColor="accent5"/>
      </w:tblBorders>
    </w:tblPr>
    <w:tblStylePr w:type="firstRow">
      <w:rPr>
        <w:b/>
        <w:bCs/>
        <w:color w:val="FFFFFF" w:themeColor="background1"/>
      </w:rPr>
      <w:tblPr/>
      <w:tcPr>
        <w:shd w:val="clear" w:color="auto" w:fill="0055AA" w:themeFill="accent5"/>
      </w:tcPr>
    </w:tblStylePr>
    <w:tblStylePr w:type="lastRow">
      <w:rPr>
        <w:b/>
        <w:bCs/>
      </w:rPr>
      <w:tblPr/>
      <w:tcPr>
        <w:tcBorders>
          <w:top w:val="double" w:sz="4" w:space="0" w:color="0055A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5AA" w:themeColor="accent5"/>
          <w:right w:val="single" w:sz="4" w:space="0" w:color="0055AA" w:themeColor="accent5"/>
        </w:tcBorders>
      </w:tcPr>
    </w:tblStylePr>
    <w:tblStylePr w:type="band1Horz">
      <w:tblPr/>
      <w:tcPr>
        <w:tcBorders>
          <w:top w:val="single" w:sz="4" w:space="0" w:color="0055AA" w:themeColor="accent5"/>
          <w:bottom w:val="single" w:sz="4" w:space="0" w:color="0055A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5AA" w:themeColor="accent5"/>
          <w:left w:val="nil"/>
        </w:tcBorders>
      </w:tcPr>
    </w:tblStylePr>
    <w:tblStylePr w:type="swCell">
      <w:tblPr/>
      <w:tcPr>
        <w:tcBorders>
          <w:top w:val="double" w:sz="4" w:space="0" w:color="0055AA" w:themeColor="accent5"/>
          <w:right w:val="nil"/>
        </w:tcBorders>
      </w:tcPr>
    </w:tblStylePr>
  </w:style>
  <w:style w:type="table" w:styleId="ListTable3-Accent6">
    <w:name w:val="List Table 3 Accent 6"/>
    <w:basedOn w:val="TableNormal"/>
    <w:uiPriority w:val="48"/>
    <w:rsid w:val="00F527CC"/>
    <w:pPr>
      <w:spacing w:after="0" w:line="240" w:lineRule="auto"/>
    </w:pPr>
    <w:tblPr>
      <w:tblStyleRowBandSize w:val="1"/>
      <w:tblStyleColBandSize w:val="1"/>
      <w:tblBorders>
        <w:top w:val="single" w:sz="4" w:space="0" w:color="FFAA22" w:themeColor="accent6"/>
        <w:left w:val="single" w:sz="4" w:space="0" w:color="FFAA22" w:themeColor="accent6"/>
        <w:bottom w:val="single" w:sz="4" w:space="0" w:color="FFAA22" w:themeColor="accent6"/>
        <w:right w:val="single" w:sz="4" w:space="0" w:color="FFAA22" w:themeColor="accent6"/>
      </w:tblBorders>
    </w:tblPr>
    <w:tblStylePr w:type="firstRow">
      <w:rPr>
        <w:b/>
        <w:bCs/>
        <w:color w:val="FFFFFF" w:themeColor="background1"/>
      </w:rPr>
      <w:tblPr/>
      <w:tcPr>
        <w:shd w:val="clear" w:color="auto" w:fill="FFAA22" w:themeFill="accent6"/>
      </w:tcPr>
    </w:tblStylePr>
    <w:tblStylePr w:type="lastRow">
      <w:rPr>
        <w:b/>
        <w:bCs/>
      </w:rPr>
      <w:tblPr/>
      <w:tcPr>
        <w:tcBorders>
          <w:top w:val="double" w:sz="4" w:space="0" w:color="FFAA2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A22" w:themeColor="accent6"/>
          <w:right w:val="single" w:sz="4" w:space="0" w:color="FFAA22" w:themeColor="accent6"/>
        </w:tcBorders>
      </w:tcPr>
    </w:tblStylePr>
    <w:tblStylePr w:type="band1Horz">
      <w:tblPr/>
      <w:tcPr>
        <w:tcBorders>
          <w:top w:val="single" w:sz="4" w:space="0" w:color="FFAA22" w:themeColor="accent6"/>
          <w:bottom w:val="single" w:sz="4" w:space="0" w:color="FFAA2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A22" w:themeColor="accent6"/>
          <w:left w:val="nil"/>
        </w:tcBorders>
      </w:tcPr>
    </w:tblStylePr>
    <w:tblStylePr w:type="swCell">
      <w:tblPr/>
      <w:tcPr>
        <w:tcBorders>
          <w:top w:val="double" w:sz="4" w:space="0" w:color="FFAA22" w:themeColor="accent6"/>
          <w:right w:val="nil"/>
        </w:tcBorders>
      </w:tcPr>
    </w:tblStylePr>
  </w:style>
  <w:style w:type="table" w:styleId="ListTable4">
    <w:name w:val="List Table 4"/>
    <w:basedOn w:val="TableNormal"/>
    <w:uiPriority w:val="49"/>
    <w:rsid w:val="00F527CC"/>
    <w:pPr>
      <w:spacing w:after="0" w:line="240" w:lineRule="auto"/>
    </w:p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tblBorders>
    </w:tblPr>
    <w:tblStylePr w:type="firstRow">
      <w:rPr>
        <w:b/>
        <w:bCs/>
        <w:color w:val="FFFFFF" w:themeColor="background1"/>
      </w:rPr>
      <w:tblPr/>
      <w:tcPr>
        <w:tcBorders>
          <w:top w:val="single" w:sz="4" w:space="0" w:color="404040" w:themeColor="text1"/>
          <w:left w:val="single" w:sz="4" w:space="0" w:color="404040" w:themeColor="text1"/>
          <w:bottom w:val="single" w:sz="4" w:space="0" w:color="404040" w:themeColor="text1"/>
          <w:right w:val="single" w:sz="4" w:space="0" w:color="404040" w:themeColor="text1"/>
          <w:insideH w:val="nil"/>
        </w:tcBorders>
        <w:shd w:val="clear" w:color="auto" w:fill="404040" w:themeFill="text1"/>
      </w:tcPr>
    </w:tblStylePr>
    <w:tblStylePr w:type="lastRow">
      <w:rPr>
        <w:b/>
        <w:bCs/>
      </w:rPr>
      <w:tblPr/>
      <w:tcPr>
        <w:tcBorders>
          <w:top w:val="double" w:sz="4" w:space="0" w:color="8C8C8C" w:themeColor="text1" w:themeTint="99"/>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styleId="ListTable4-Accent1">
    <w:name w:val="List Table 4 Accent 1"/>
    <w:basedOn w:val="TableNormal"/>
    <w:uiPriority w:val="49"/>
    <w:rsid w:val="00F527CC"/>
    <w:pPr>
      <w:spacing w:after="0" w:line="240" w:lineRule="auto"/>
    </w:p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tblBorders>
    </w:tblPr>
    <w:tblStylePr w:type="firstRow">
      <w:rPr>
        <w:b/>
        <w:bCs/>
        <w:color w:val="FFFFFF" w:themeColor="background1"/>
      </w:rPr>
      <w:tblPr/>
      <w:tcPr>
        <w:tcBorders>
          <w:top w:val="single" w:sz="4" w:space="0" w:color="C7C8CA" w:themeColor="accent1"/>
          <w:left w:val="single" w:sz="4" w:space="0" w:color="C7C8CA" w:themeColor="accent1"/>
          <w:bottom w:val="single" w:sz="4" w:space="0" w:color="C7C8CA" w:themeColor="accent1"/>
          <w:right w:val="single" w:sz="4" w:space="0" w:color="C7C8CA" w:themeColor="accent1"/>
          <w:insideH w:val="nil"/>
        </w:tcBorders>
        <w:shd w:val="clear" w:color="auto" w:fill="C7C8CA" w:themeFill="accent1"/>
      </w:tcPr>
    </w:tblStylePr>
    <w:tblStylePr w:type="lastRow">
      <w:rPr>
        <w:b/>
        <w:bCs/>
      </w:rPr>
      <w:tblPr/>
      <w:tcPr>
        <w:tcBorders>
          <w:top w:val="double" w:sz="4" w:space="0" w:color="DDDDDF" w:themeColor="accent1" w:themeTint="99"/>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styleId="ListTable4-Accent2">
    <w:name w:val="List Table 4 Accent 2"/>
    <w:basedOn w:val="TableNormal"/>
    <w:uiPriority w:val="49"/>
    <w:rsid w:val="00F527CC"/>
    <w:pPr>
      <w:spacing w:after="0" w:line="240" w:lineRule="auto"/>
    </w:p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tblBorders>
    </w:tblPr>
    <w:tblStylePr w:type="firstRow">
      <w:rPr>
        <w:b/>
        <w:bCs/>
        <w:color w:val="FFFFFF" w:themeColor="background1"/>
      </w:rPr>
      <w:tblPr/>
      <w:tcPr>
        <w:tcBorders>
          <w:top w:val="single" w:sz="4" w:space="0" w:color="939598" w:themeColor="accent2"/>
          <w:left w:val="single" w:sz="4" w:space="0" w:color="939598" w:themeColor="accent2"/>
          <w:bottom w:val="single" w:sz="4" w:space="0" w:color="939598" w:themeColor="accent2"/>
          <w:right w:val="single" w:sz="4" w:space="0" w:color="939598" w:themeColor="accent2"/>
          <w:insideH w:val="nil"/>
        </w:tcBorders>
        <w:shd w:val="clear" w:color="auto" w:fill="939598" w:themeFill="accent2"/>
      </w:tcPr>
    </w:tblStylePr>
    <w:tblStylePr w:type="lastRow">
      <w:rPr>
        <w:b/>
        <w:bCs/>
      </w:rPr>
      <w:tblPr/>
      <w:tcPr>
        <w:tcBorders>
          <w:top w:val="double" w:sz="4" w:space="0" w:color="BEBFC1" w:themeColor="accent2" w:themeTint="99"/>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styleId="ListTable4-Accent3">
    <w:name w:val="List Table 4 Accent 3"/>
    <w:basedOn w:val="TableNormal"/>
    <w:uiPriority w:val="49"/>
    <w:rsid w:val="00F527CC"/>
    <w:pPr>
      <w:spacing w:after="0" w:line="240" w:lineRule="auto"/>
    </w:p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tblBorders>
    </w:tblPr>
    <w:tblStylePr w:type="firstRow">
      <w:rPr>
        <w:b/>
        <w:bCs/>
        <w:color w:val="FFFFFF" w:themeColor="background1"/>
      </w:rPr>
      <w:tblPr/>
      <w:tcPr>
        <w:tcBorders>
          <w:top w:val="single" w:sz="4" w:space="0" w:color="636466" w:themeColor="accent3"/>
          <w:left w:val="single" w:sz="4" w:space="0" w:color="636466" w:themeColor="accent3"/>
          <w:bottom w:val="single" w:sz="4" w:space="0" w:color="636466" w:themeColor="accent3"/>
          <w:right w:val="single" w:sz="4" w:space="0" w:color="636466" w:themeColor="accent3"/>
          <w:insideH w:val="nil"/>
        </w:tcBorders>
        <w:shd w:val="clear" w:color="auto" w:fill="636466" w:themeFill="accent3"/>
      </w:tcPr>
    </w:tblStylePr>
    <w:tblStylePr w:type="lastRow">
      <w:rPr>
        <w:b/>
        <w:bCs/>
      </w:rPr>
      <w:tblPr/>
      <w:tcPr>
        <w:tcBorders>
          <w:top w:val="double" w:sz="4" w:space="0" w:color="A0A1A3" w:themeColor="accent3" w:themeTint="99"/>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styleId="ListTable4-Accent4">
    <w:name w:val="List Table 4 Accent 4"/>
    <w:basedOn w:val="TableNormal"/>
    <w:uiPriority w:val="49"/>
    <w:rsid w:val="00F527CC"/>
    <w:pPr>
      <w:spacing w:after="0" w:line="240" w:lineRule="auto"/>
    </w:p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tblBorders>
    </w:tblPr>
    <w:tblStylePr w:type="firstRow">
      <w:rPr>
        <w:b/>
        <w:bCs/>
        <w:color w:val="FFFFFF" w:themeColor="background1"/>
      </w:rPr>
      <w:tblPr/>
      <w:tcPr>
        <w:tcBorders>
          <w:top w:val="single" w:sz="4" w:space="0" w:color="CD202C" w:themeColor="accent4"/>
          <w:left w:val="single" w:sz="4" w:space="0" w:color="CD202C" w:themeColor="accent4"/>
          <w:bottom w:val="single" w:sz="4" w:space="0" w:color="CD202C" w:themeColor="accent4"/>
          <w:right w:val="single" w:sz="4" w:space="0" w:color="CD202C" w:themeColor="accent4"/>
          <w:insideH w:val="nil"/>
        </w:tcBorders>
        <w:shd w:val="clear" w:color="auto" w:fill="CD202C" w:themeFill="accent4"/>
      </w:tcPr>
    </w:tblStylePr>
    <w:tblStylePr w:type="lastRow">
      <w:rPr>
        <w:b/>
        <w:bCs/>
      </w:rPr>
      <w:tblPr/>
      <w:tcPr>
        <w:tcBorders>
          <w:top w:val="double" w:sz="4" w:space="0" w:color="E87179" w:themeColor="accent4" w:themeTint="99"/>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styleId="ListTable4-Accent5">
    <w:name w:val="List Table 4 Accent 5"/>
    <w:basedOn w:val="TableNormal"/>
    <w:uiPriority w:val="49"/>
    <w:rsid w:val="00F527CC"/>
    <w:pPr>
      <w:spacing w:after="0" w:line="240" w:lineRule="auto"/>
    </w:p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tblBorders>
    </w:tblPr>
    <w:tblStylePr w:type="firstRow">
      <w:rPr>
        <w:b/>
        <w:bCs/>
        <w:color w:val="FFFFFF" w:themeColor="background1"/>
      </w:rPr>
      <w:tblPr/>
      <w:tcPr>
        <w:tcBorders>
          <w:top w:val="single" w:sz="4" w:space="0" w:color="0055AA" w:themeColor="accent5"/>
          <w:left w:val="single" w:sz="4" w:space="0" w:color="0055AA" w:themeColor="accent5"/>
          <w:bottom w:val="single" w:sz="4" w:space="0" w:color="0055AA" w:themeColor="accent5"/>
          <w:right w:val="single" w:sz="4" w:space="0" w:color="0055AA" w:themeColor="accent5"/>
          <w:insideH w:val="nil"/>
        </w:tcBorders>
        <w:shd w:val="clear" w:color="auto" w:fill="0055AA" w:themeFill="accent5"/>
      </w:tcPr>
    </w:tblStylePr>
    <w:tblStylePr w:type="lastRow">
      <w:rPr>
        <w:b/>
        <w:bCs/>
      </w:rPr>
      <w:tblPr/>
      <w:tcPr>
        <w:tcBorders>
          <w:top w:val="double" w:sz="4" w:space="0" w:color="3398FF" w:themeColor="accent5" w:themeTint="99"/>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styleId="ListTable4-Accent6">
    <w:name w:val="List Table 4 Accent 6"/>
    <w:basedOn w:val="TableNormal"/>
    <w:uiPriority w:val="49"/>
    <w:rsid w:val="00F527CC"/>
    <w:pPr>
      <w:spacing w:after="0" w:line="240" w:lineRule="auto"/>
    </w:p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tblBorders>
    </w:tblPr>
    <w:tblStylePr w:type="firstRow">
      <w:rPr>
        <w:b/>
        <w:bCs/>
        <w:color w:val="FFFFFF" w:themeColor="background1"/>
      </w:rPr>
      <w:tblPr/>
      <w:tcPr>
        <w:tcBorders>
          <w:top w:val="single" w:sz="4" w:space="0" w:color="FFAA22" w:themeColor="accent6"/>
          <w:left w:val="single" w:sz="4" w:space="0" w:color="FFAA22" w:themeColor="accent6"/>
          <w:bottom w:val="single" w:sz="4" w:space="0" w:color="FFAA22" w:themeColor="accent6"/>
          <w:right w:val="single" w:sz="4" w:space="0" w:color="FFAA22" w:themeColor="accent6"/>
          <w:insideH w:val="nil"/>
        </w:tcBorders>
        <w:shd w:val="clear" w:color="auto" w:fill="FFAA22" w:themeFill="accent6"/>
      </w:tcPr>
    </w:tblStylePr>
    <w:tblStylePr w:type="lastRow">
      <w:rPr>
        <w:b/>
        <w:bCs/>
      </w:rPr>
      <w:tblPr/>
      <w:tcPr>
        <w:tcBorders>
          <w:top w:val="double" w:sz="4" w:space="0" w:color="FFCB7A" w:themeColor="accent6" w:themeTint="99"/>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styleId="ListTable5Dark">
    <w:name w:val="List Table 5 Dark"/>
    <w:basedOn w:val="TableNormal"/>
    <w:uiPriority w:val="50"/>
    <w:rsid w:val="00F527CC"/>
    <w:pPr>
      <w:spacing w:after="0" w:line="240" w:lineRule="auto"/>
    </w:pPr>
    <w:rPr>
      <w:color w:val="FFFFFF" w:themeColor="background1"/>
    </w:rPr>
    <w:tblPr>
      <w:tblStyleRowBandSize w:val="1"/>
      <w:tblStyleColBandSize w:val="1"/>
      <w:tblBorders>
        <w:top w:val="single" w:sz="24" w:space="0" w:color="404040" w:themeColor="text1"/>
        <w:left w:val="single" w:sz="24" w:space="0" w:color="404040" w:themeColor="text1"/>
        <w:bottom w:val="single" w:sz="24" w:space="0" w:color="404040" w:themeColor="text1"/>
        <w:right w:val="single" w:sz="24" w:space="0" w:color="404040" w:themeColor="text1"/>
      </w:tblBorders>
    </w:tblPr>
    <w:tcPr>
      <w:shd w:val="clear" w:color="auto" w:fill="40404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527CC"/>
    <w:pPr>
      <w:spacing w:after="0" w:line="240" w:lineRule="auto"/>
    </w:pPr>
    <w:rPr>
      <w:color w:val="FFFFFF" w:themeColor="background1"/>
    </w:rPr>
    <w:tblPr>
      <w:tblStyleRowBandSize w:val="1"/>
      <w:tblStyleColBandSize w:val="1"/>
      <w:tblBorders>
        <w:top w:val="single" w:sz="24" w:space="0" w:color="C7C8CA" w:themeColor="accent1"/>
        <w:left w:val="single" w:sz="24" w:space="0" w:color="C7C8CA" w:themeColor="accent1"/>
        <w:bottom w:val="single" w:sz="24" w:space="0" w:color="C7C8CA" w:themeColor="accent1"/>
        <w:right w:val="single" w:sz="24" w:space="0" w:color="C7C8CA" w:themeColor="accent1"/>
      </w:tblBorders>
    </w:tblPr>
    <w:tcPr>
      <w:shd w:val="clear" w:color="auto" w:fill="C7C8C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527CC"/>
    <w:pPr>
      <w:spacing w:after="0" w:line="240" w:lineRule="auto"/>
    </w:pPr>
    <w:rPr>
      <w:color w:val="FFFFFF" w:themeColor="background1"/>
    </w:rPr>
    <w:tblPr>
      <w:tblStyleRowBandSize w:val="1"/>
      <w:tblStyleColBandSize w:val="1"/>
      <w:tblBorders>
        <w:top w:val="single" w:sz="24" w:space="0" w:color="939598" w:themeColor="accent2"/>
        <w:left w:val="single" w:sz="24" w:space="0" w:color="939598" w:themeColor="accent2"/>
        <w:bottom w:val="single" w:sz="24" w:space="0" w:color="939598" w:themeColor="accent2"/>
        <w:right w:val="single" w:sz="24" w:space="0" w:color="939598" w:themeColor="accent2"/>
      </w:tblBorders>
    </w:tblPr>
    <w:tcPr>
      <w:shd w:val="clear" w:color="auto" w:fill="93959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527CC"/>
    <w:pPr>
      <w:spacing w:after="0" w:line="240" w:lineRule="auto"/>
    </w:pPr>
    <w:rPr>
      <w:color w:val="FFFFFF" w:themeColor="background1"/>
    </w:rPr>
    <w:tblPr>
      <w:tblStyleRowBandSize w:val="1"/>
      <w:tblStyleColBandSize w:val="1"/>
      <w:tblBorders>
        <w:top w:val="single" w:sz="24" w:space="0" w:color="636466" w:themeColor="accent3"/>
        <w:left w:val="single" w:sz="24" w:space="0" w:color="636466" w:themeColor="accent3"/>
        <w:bottom w:val="single" w:sz="24" w:space="0" w:color="636466" w:themeColor="accent3"/>
        <w:right w:val="single" w:sz="24" w:space="0" w:color="636466" w:themeColor="accent3"/>
      </w:tblBorders>
    </w:tblPr>
    <w:tcPr>
      <w:shd w:val="clear" w:color="auto" w:fill="63646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527CC"/>
    <w:pPr>
      <w:spacing w:after="0" w:line="240" w:lineRule="auto"/>
    </w:pPr>
    <w:rPr>
      <w:color w:val="FFFFFF" w:themeColor="background1"/>
    </w:rPr>
    <w:tblPr>
      <w:tblStyleRowBandSize w:val="1"/>
      <w:tblStyleColBandSize w:val="1"/>
      <w:tblBorders>
        <w:top w:val="single" w:sz="24" w:space="0" w:color="CD202C" w:themeColor="accent4"/>
        <w:left w:val="single" w:sz="24" w:space="0" w:color="CD202C" w:themeColor="accent4"/>
        <w:bottom w:val="single" w:sz="24" w:space="0" w:color="CD202C" w:themeColor="accent4"/>
        <w:right w:val="single" w:sz="24" w:space="0" w:color="CD202C" w:themeColor="accent4"/>
      </w:tblBorders>
    </w:tblPr>
    <w:tcPr>
      <w:shd w:val="clear" w:color="auto" w:fill="CD202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527CC"/>
    <w:pPr>
      <w:spacing w:after="0" w:line="240" w:lineRule="auto"/>
    </w:pPr>
    <w:rPr>
      <w:color w:val="FFFFFF" w:themeColor="background1"/>
    </w:rPr>
    <w:tblPr>
      <w:tblStyleRowBandSize w:val="1"/>
      <w:tblStyleColBandSize w:val="1"/>
      <w:tblBorders>
        <w:top w:val="single" w:sz="24" w:space="0" w:color="0055AA" w:themeColor="accent5"/>
        <w:left w:val="single" w:sz="24" w:space="0" w:color="0055AA" w:themeColor="accent5"/>
        <w:bottom w:val="single" w:sz="24" w:space="0" w:color="0055AA" w:themeColor="accent5"/>
        <w:right w:val="single" w:sz="24" w:space="0" w:color="0055AA" w:themeColor="accent5"/>
      </w:tblBorders>
    </w:tblPr>
    <w:tcPr>
      <w:shd w:val="clear" w:color="auto" w:fill="0055A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527CC"/>
    <w:pPr>
      <w:spacing w:after="0" w:line="240" w:lineRule="auto"/>
    </w:pPr>
    <w:rPr>
      <w:color w:val="FFFFFF" w:themeColor="background1"/>
    </w:rPr>
    <w:tblPr>
      <w:tblStyleRowBandSize w:val="1"/>
      <w:tblStyleColBandSize w:val="1"/>
      <w:tblBorders>
        <w:top w:val="single" w:sz="24" w:space="0" w:color="FFAA22" w:themeColor="accent6"/>
        <w:left w:val="single" w:sz="24" w:space="0" w:color="FFAA22" w:themeColor="accent6"/>
        <w:bottom w:val="single" w:sz="24" w:space="0" w:color="FFAA22" w:themeColor="accent6"/>
        <w:right w:val="single" w:sz="24" w:space="0" w:color="FFAA22" w:themeColor="accent6"/>
      </w:tblBorders>
    </w:tblPr>
    <w:tcPr>
      <w:shd w:val="clear" w:color="auto" w:fill="FFAA2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F527CC"/>
    <w:pPr>
      <w:spacing w:after="0" w:line="240" w:lineRule="auto"/>
    </w:pPr>
    <w:rPr>
      <w:color w:val="404040" w:themeColor="text1"/>
    </w:rPr>
    <w:tblPr>
      <w:tblStyleRowBandSize w:val="1"/>
      <w:tblStyleColBandSize w:val="1"/>
      <w:tblBorders>
        <w:top w:val="single" w:sz="4" w:space="0" w:color="404040" w:themeColor="text1"/>
        <w:bottom w:val="single" w:sz="4" w:space="0" w:color="404040" w:themeColor="text1"/>
      </w:tblBorders>
    </w:tblPr>
    <w:tblStylePr w:type="firstRow">
      <w:rPr>
        <w:b/>
        <w:bCs/>
      </w:rPr>
      <w:tblPr/>
      <w:tcPr>
        <w:tcBorders>
          <w:bottom w:val="single" w:sz="4" w:space="0" w:color="404040" w:themeColor="text1"/>
        </w:tcBorders>
      </w:tcPr>
    </w:tblStylePr>
    <w:tblStylePr w:type="lastRow">
      <w:rPr>
        <w:b/>
        <w:bCs/>
      </w:rPr>
      <w:tblPr/>
      <w:tcPr>
        <w:tcBorders>
          <w:top w:val="double" w:sz="4" w:space="0" w:color="404040" w:themeColor="text1"/>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styleId="ListTable6Colorful-Accent1">
    <w:name w:val="List Table 6 Colorful Accent 1"/>
    <w:basedOn w:val="TableNormal"/>
    <w:uiPriority w:val="51"/>
    <w:rsid w:val="00F527CC"/>
    <w:pPr>
      <w:spacing w:after="0" w:line="240" w:lineRule="auto"/>
    </w:pPr>
    <w:rPr>
      <w:color w:val="939599" w:themeColor="accent1" w:themeShade="BF"/>
    </w:rPr>
    <w:tblPr>
      <w:tblStyleRowBandSize w:val="1"/>
      <w:tblStyleColBandSize w:val="1"/>
      <w:tblBorders>
        <w:top w:val="single" w:sz="4" w:space="0" w:color="C7C8CA" w:themeColor="accent1"/>
        <w:bottom w:val="single" w:sz="4" w:space="0" w:color="C7C8CA" w:themeColor="accent1"/>
      </w:tblBorders>
    </w:tblPr>
    <w:tblStylePr w:type="firstRow">
      <w:rPr>
        <w:b/>
        <w:bCs/>
      </w:rPr>
      <w:tblPr/>
      <w:tcPr>
        <w:tcBorders>
          <w:bottom w:val="single" w:sz="4" w:space="0" w:color="C7C8CA" w:themeColor="accent1"/>
        </w:tcBorders>
      </w:tcPr>
    </w:tblStylePr>
    <w:tblStylePr w:type="lastRow">
      <w:rPr>
        <w:b/>
        <w:bCs/>
      </w:rPr>
      <w:tblPr/>
      <w:tcPr>
        <w:tcBorders>
          <w:top w:val="double" w:sz="4" w:space="0" w:color="C7C8CA" w:themeColor="accent1"/>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styleId="ListTable6Colorful-Accent2">
    <w:name w:val="List Table 6 Colorful Accent 2"/>
    <w:basedOn w:val="TableNormal"/>
    <w:uiPriority w:val="51"/>
    <w:rsid w:val="00F527CC"/>
    <w:pPr>
      <w:spacing w:after="0" w:line="240" w:lineRule="auto"/>
    </w:pPr>
    <w:rPr>
      <w:color w:val="6D6F72" w:themeColor="accent2" w:themeShade="BF"/>
    </w:rPr>
    <w:tblPr>
      <w:tblStyleRowBandSize w:val="1"/>
      <w:tblStyleColBandSize w:val="1"/>
      <w:tblBorders>
        <w:top w:val="single" w:sz="4" w:space="0" w:color="939598" w:themeColor="accent2"/>
        <w:bottom w:val="single" w:sz="4" w:space="0" w:color="939598" w:themeColor="accent2"/>
      </w:tblBorders>
    </w:tblPr>
    <w:tblStylePr w:type="firstRow">
      <w:rPr>
        <w:b/>
        <w:bCs/>
      </w:rPr>
      <w:tblPr/>
      <w:tcPr>
        <w:tcBorders>
          <w:bottom w:val="single" w:sz="4" w:space="0" w:color="939598" w:themeColor="accent2"/>
        </w:tcBorders>
      </w:tcPr>
    </w:tblStylePr>
    <w:tblStylePr w:type="lastRow">
      <w:rPr>
        <w:b/>
        <w:bCs/>
      </w:rPr>
      <w:tblPr/>
      <w:tcPr>
        <w:tcBorders>
          <w:top w:val="double" w:sz="4" w:space="0" w:color="939598" w:themeColor="accent2"/>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styleId="ListTable6Colorful-Accent3">
    <w:name w:val="List Table 6 Colorful Accent 3"/>
    <w:basedOn w:val="TableNormal"/>
    <w:uiPriority w:val="51"/>
    <w:rsid w:val="00F527CC"/>
    <w:pPr>
      <w:spacing w:after="0" w:line="240" w:lineRule="auto"/>
    </w:pPr>
    <w:rPr>
      <w:color w:val="4A4A4C" w:themeColor="accent3" w:themeShade="BF"/>
    </w:rPr>
    <w:tblPr>
      <w:tblStyleRowBandSize w:val="1"/>
      <w:tblStyleColBandSize w:val="1"/>
      <w:tblBorders>
        <w:top w:val="single" w:sz="4" w:space="0" w:color="636466" w:themeColor="accent3"/>
        <w:bottom w:val="single" w:sz="4" w:space="0" w:color="636466" w:themeColor="accent3"/>
      </w:tblBorders>
    </w:tblPr>
    <w:tblStylePr w:type="firstRow">
      <w:rPr>
        <w:b/>
        <w:bCs/>
      </w:rPr>
      <w:tblPr/>
      <w:tcPr>
        <w:tcBorders>
          <w:bottom w:val="single" w:sz="4" w:space="0" w:color="636466" w:themeColor="accent3"/>
        </w:tcBorders>
      </w:tcPr>
    </w:tblStylePr>
    <w:tblStylePr w:type="lastRow">
      <w:rPr>
        <w:b/>
        <w:bCs/>
      </w:rPr>
      <w:tblPr/>
      <w:tcPr>
        <w:tcBorders>
          <w:top w:val="double" w:sz="4" w:space="0" w:color="636466" w:themeColor="accent3"/>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styleId="ListTable6Colorful-Accent4">
    <w:name w:val="List Table 6 Colorful Accent 4"/>
    <w:basedOn w:val="TableNormal"/>
    <w:uiPriority w:val="51"/>
    <w:rsid w:val="00F527CC"/>
    <w:pPr>
      <w:spacing w:after="0" w:line="240" w:lineRule="auto"/>
    </w:pPr>
    <w:rPr>
      <w:color w:val="991820" w:themeColor="accent4" w:themeShade="BF"/>
    </w:rPr>
    <w:tblPr>
      <w:tblStyleRowBandSize w:val="1"/>
      <w:tblStyleColBandSize w:val="1"/>
      <w:tblBorders>
        <w:top w:val="single" w:sz="4" w:space="0" w:color="CD202C" w:themeColor="accent4"/>
        <w:bottom w:val="single" w:sz="4" w:space="0" w:color="CD202C" w:themeColor="accent4"/>
      </w:tblBorders>
    </w:tblPr>
    <w:tblStylePr w:type="firstRow">
      <w:rPr>
        <w:b/>
        <w:bCs/>
      </w:rPr>
      <w:tblPr/>
      <w:tcPr>
        <w:tcBorders>
          <w:bottom w:val="single" w:sz="4" w:space="0" w:color="CD202C" w:themeColor="accent4"/>
        </w:tcBorders>
      </w:tcPr>
    </w:tblStylePr>
    <w:tblStylePr w:type="lastRow">
      <w:rPr>
        <w:b/>
        <w:bCs/>
      </w:rPr>
      <w:tblPr/>
      <w:tcPr>
        <w:tcBorders>
          <w:top w:val="double" w:sz="4" w:space="0" w:color="CD202C" w:themeColor="accent4"/>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styleId="ListTable6Colorful-Accent5">
    <w:name w:val="List Table 6 Colorful Accent 5"/>
    <w:basedOn w:val="TableNormal"/>
    <w:uiPriority w:val="51"/>
    <w:rsid w:val="00F527CC"/>
    <w:pPr>
      <w:spacing w:after="0" w:line="240" w:lineRule="auto"/>
    </w:pPr>
    <w:rPr>
      <w:color w:val="003F7F" w:themeColor="accent5" w:themeShade="BF"/>
    </w:rPr>
    <w:tblPr>
      <w:tblStyleRowBandSize w:val="1"/>
      <w:tblStyleColBandSize w:val="1"/>
      <w:tblBorders>
        <w:top w:val="single" w:sz="4" w:space="0" w:color="0055AA" w:themeColor="accent5"/>
        <w:bottom w:val="single" w:sz="4" w:space="0" w:color="0055AA" w:themeColor="accent5"/>
      </w:tblBorders>
    </w:tblPr>
    <w:tblStylePr w:type="firstRow">
      <w:rPr>
        <w:b/>
        <w:bCs/>
      </w:rPr>
      <w:tblPr/>
      <w:tcPr>
        <w:tcBorders>
          <w:bottom w:val="single" w:sz="4" w:space="0" w:color="0055AA" w:themeColor="accent5"/>
        </w:tcBorders>
      </w:tcPr>
    </w:tblStylePr>
    <w:tblStylePr w:type="lastRow">
      <w:rPr>
        <w:b/>
        <w:bCs/>
      </w:rPr>
      <w:tblPr/>
      <w:tcPr>
        <w:tcBorders>
          <w:top w:val="double" w:sz="4" w:space="0" w:color="0055AA" w:themeColor="accent5"/>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styleId="ListTable6Colorful-Accent6">
    <w:name w:val="List Table 6 Colorful Accent 6"/>
    <w:basedOn w:val="TableNormal"/>
    <w:uiPriority w:val="51"/>
    <w:rsid w:val="00F527CC"/>
    <w:pPr>
      <w:spacing w:after="0" w:line="240" w:lineRule="auto"/>
    </w:pPr>
    <w:rPr>
      <w:color w:val="D88400" w:themeColor="accent6" w:themeShade="BF"/>
    </w:rPr>
    <w:tblPr>
      <w:tblStyleRowBandSize w:val="1"/>
      <w:tblStyleColBandSize w:val="1"/>
      <w:tblBorders>
        <w:top w:val="single" w:sz="4" w:space="0" w:color="FFAA22" w:themeColor="accent6"/>
        <w:bottom w:val="single" w:sz="4" w:space="0" w:color="FFAA22" w:themeColor="accent6"/>
      </w:tblBorders>
    </w:tblPr>
    <w:tblStylePr w:type="firstRow">
      <w:rPr>
        <w:b/>
        <w:bCs/>
      </w:rPr>
      <w:tblPr/>
      <w:tcPr>
        <w:tcBorders>
          <w:bottom w:val="single" w:sz="4" w:space="0" w:color="FFAA22" w:themeColor="accent6"/>
        </w:tcBorders>
      </w:tcPr>
    </w:tblStylePr>
    <w:tblStylePr w:type="lastRow">
      <w:rPr>
        <w:b/>
        <w:bCs/>
      </w:rPr>
      <w:tblPr/>
      <w:tcPr>
        <w:tcBorders>
          <w:top w:val="double" w:sz="4" w:space="0" w:color="FFAA22" w:themeColor="accent6"/>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styleId="ListTable7Colorful">
    <w:name w:val="List Table 7 Colorful"/>
    <w:basedOn w:val="TableNormal"/>
    <w:uiPriority w:val="52"/>
    <w:rsid w:val="00F527CC"/>
    <w:pPr>
      <w:spacing w:after="0" w:line="240" w:lineRule="auto"/>
    </w:pPr>
    <w:rPr>
      <w:color w:val="40404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4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4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4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40" w:themeColor="text1"/>
        </w:tcBorders>
        <w:shd w:val="clear" w:color="auto" w:fill="FFFFFF" w:themeFill="background1"/>
      </w:tcPr>
    </w:tblStylePr>
    <w:tblStylePr w:type="band1Vert">
      <w:tblPr/>
      <w:tcPr>
        <w:shd w:val="clear" w:color="auto" w:fill="D8D8D8" w:themeFill="text1" w:themeFillTint="33"/>
      </w:tcPr>
    </w:tblStylePr>
    <w:tblStylePr w:type="band1Horz">
      <w:tblPr/>
      <w:tcPr>
        <w:shd w:val="clear" w:color="auto" w:fill="D8D8D8"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527CC"/>
    <w:pPr>
      <w:spacing w:after="0" w:line="240" w:lineRule="auto"/>
    </w:pPr>
    <w:rPr>
      <w:color w:val="93959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7C8C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7C8C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7C8C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7C8CA" w:themeColor="accent1"/>
        </w:tcBorders>
        <w:shd w:val="clear" w:color="auto" w:fill="FFFFFF" w:themeFill="background1"/>
      </w:tcPr>
    </w:tblStylePr>
    <w:tblStylePr w:type="band1Vert">
      <w:tblPr/>
      <w:tcPr>
        <w:shd w:val="clear" w:color="auto" w:fill="F3F3F4" w:themeFill="accent1" w:themeFillTint="33"/>
      </w:tcPr>
    </w:tblStylePr>
    <w:tblStylePr w:type="band1Horz">
      <w:tblPr/>
      <w:tcPr>
        <w:shd w:val="clear" w:color="auto" w:fill="F3F3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F527CC"/>
    <w:pPr>
      <w:spacing w:after="0" w:line="240" w:lineRule="auto"/>
    </w:pPr>
    <w:rPr>
      <w:color w:val="6D6F7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959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959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959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9598" w:themeColor="accent2"/>
        </w:tcBorders>
        <w:shd w:val="clear" w:color="auto" w:fill="FFFFFF" w:themeFill="background1"/>
      </w:tcPr>
    </w:tblStylePr>
    <w:tblStylePr w:type="band1Vert">
      <w:tblPr/>
      <w:tcPr>
        <w:shd w:val="clear" w:color="auto" w:fill="E9E9EA" w:themeFill="accent2" w:themeFillTint="33"/>
      </w:tcPr>
    </w:tblStylePr>
    <w:tblStylePr w:type="band1Horz">
      <w:tblPr/>
      <w:tcPr>
        <w:shd w:val="clear" w:color="auto" w:fill="E9E9E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527CC"/>
    <w:pPr>
      <w:spacing w:after="0" w:line="240" w:lineRule="auto"/>
    </w:pPr>
    <w:rPr>
      <w:color w:val="4A4A4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646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646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646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6466" w:themeColor="accent3"/>
        </w:tcBorders>
        <w:shd w:val="clear" w:color="auto" w:fill="FFFFFF" w:themeFill="background1"/>
      </w:tcPr>
    </w:tblStylePr>
    <w:tblStylePr w:type="band1Vert">
      <w:tblPr/>
      <w:tcPr>
        <w:shd w:val="clear" w:color="auto" w:fill="DFDFE0" w:themeFill="accent3" w:themeFillTint="33"/>
      </w:tcPr>
    </w:tblStylePr>
    <w:tblStylePr w:type="band1Horz">
      <w:tblPr/>
      <w:tcPr>
        <w:shd w:val="clear" w:color="auto" w:fill="DFDF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527CC"/>
    <w:pPr>
      <w:spacing w:after="0" w:line="240" w:lineRule="auto"/>
    </w:pPr>
    <w:rPr>
      <w:color w:val="99182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202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202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202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202C" w:themeColor="accent4"/>
        </w:tcBorders>
        <w:shd w:val="clear" w:color="auto" w:fill="FFFFFF" w:themeFill="background1"/>
      </w:tcPr>
    </w:tblStylePr>
    <w:tblStylePr w:type="band1Vert">
      <w:tblPr/>
      <w:tcPr>
        <w:shd w:val="clear" w:color="auto" w:fill="F7CFD2" w:themeFill="accent4" w:themeFillTint="33"/>
      </w:tcPr>
    </w:tblStylePr>
    <w:tblStylePr w:type="band1Horz">
      <w:tblPr/>
      <w:tcPr>
        <w:shd w:val="clear" w:color="auto" w:fill="F7CF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527CC"/>
    <w:pPr>
      <w:spacing w:after="0" w:line="240" w:lineRule="auto"/>
    </w:pPr>
    <w:rPr>
      <w:color w:val="003F7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5A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5A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5A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5AA" w:themeColor="accent5"/>
        </w:tcBorders>
        <w:shd w:val="clear" w:color="auto" w:fill="FFFFFF" w:themeFill="background1"/>
      </w:tcPr>
    </w:tblStylePr>
    <w:tblStylePr w:type="band1Vert">
      <w:tblPr/>
      <w:tcPr>
        <w:shd w:val="clear" w:color="auto" w:fill="BBDCFF" w:themeFill="accent5" w:themeFillTint="33"/>
      </w:tcPr>
    </w:tblStylePr>
    <w:tblStylePr w:type="band1Horz">
      <w:tblPr/>
      <w:tcPr>
        <w:shd w:val="clear" w:color="auto" w:fill="BBDC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F527CC"/>
    <w:pPr>
      <w:spacing w:after="0" w:line="240" w:lineRule="auto"/>
    </w:pPr>
    <w:rPr>
      <w:color w:val="D884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A2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A2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A2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A22" w:themeColor="accent6"/>
        </w:tcBorders>
        <w:shd w:val="clear" w:color="auto" w:fill="FFFFFF" w:themeFill="background1"/>
      </w:tcPr>
    </w:tblStylePr>
    <w:tblStylePr w:type="band1Vert">
      <w:tblPr/>
      <w:tcPr>
        <w:shd w:val="clear" w:color="auto" w:fill="FFEDD2" w:themeFill="accent6" w:themeFillTint="33"/>
      </w:tcPr>
    </w:tblStylePr>
    <w:tblStylePr w:type="band1Horz">
      <w:tblPr/>
      <w:tcPr>
        <w:shd w:val="clear" w:color="auto" w:fill="FFED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527CC"/>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sz w:val="20"/>
      <w:szCs w:val="20"/>
      <w:lang w:val="en-US"/>
    </w:rPr>
  </w:style>
  <w:style w:type="character" w:customStyle="1" w:styleId="MacroTextChar">
    <w:name w:val="Macro Text Char"/>
    <w:basedOn w:val="DefaultParagraphFont"/>
    <w:link w:val="MacroText"/>
    <w:uiPriority w:val="99"/>
    <w:semiHidden/>
    <w:rsid w:val="00F527CC"/>
    <w:rPr>
      <w:rFonts w:ascii="Consolas" w:hAnsi="Consolas"/>
      <w:sz w:val="20"/>
      <w:szCs w:val="20"/>
      <w:lang w:val="en-US"/>
    </w:rPr>
  </w:style>
  <w:style w:type="table" w:styleId="MediumGrid1">
    <w:name w:val="Medium Grid 1"/>
    <w:basedOn w:val="TableNormal"/>
    <w:uiPriority w:val="67"/>
    <w:semiHidden/>
    <w:unhideWhenUsed/>
    <w:rsid w:val="00F527CC"/>
    <w:pPr>
      <w:spacing w:after="0" w:line="240" w:lineRule="auto"/>
    </w:pPr>
    <w:tblPr>
      <w:tblStyleRowBandSize w:val="1"/>
      <w:tblStyleColBandSize w:val="1"/>
      <w:tblBorders>
        <w:top w:val="single" w:sz="8" w:space="0" w:color="6F6F6F" w:themeColor="text1" w:themeTint="BF"/>
        <w:left w:val="single" w:sz="8" w:space="0" w:color="6F6F6F" w:themeColor="text1" w:themeTint="BF"/>
        <w:bottom w:val="single" w:sz="8" w:space="0" w:color="6F6F6F" w:themeColor="text1" w:themeTint="BF"/>
        <w:right w:val="single" w:sz="8" w:space="0" w:color="6F6F6F" w:themeColor="text1" w:themeTint="BF"/>
        <w:insideH w:val="single" w:sz="8" w:space="0" w:color="6F6F6F" w:themeColor="text1" w:themeTint="BF"/>
        <w:insideV w:val="single" w:sz="8" w:space="0" w:color="6F6F6F" w:themeColor="text1" w:themeTint="BF"/>
      </w:tblBorders>
    </w:tblPr>
    <w:tcPr>
      <w:shd w:val="clear" w:color="auto" w:fill="CFCFCF" w:themeFill="text1" w:themeFillTint="3F"/>
    </w:tcPr>
    <w:tblStylePr w:type="firstRow">
      <w:rPr>
        <w:b/>
        <w:bCs/>
      </w:rPr>
    </w:tblStylePr>
    <w:tblStylePr w:type="lastRow">
      <w:rPr>
        <w:b/>
        <w:bCs/>
      </w:rPr>
      <w:tblPr/>
      <w:tcPr>
        <w:tcBorders>
          <w:top w:val="single" w:sz="18" w:space="0" w:color="6F6F6F" w:themeColor="text1" w:themeTint="BF"/>
        </w:tcBorders>
      </w:tcPr>
    </w:tblStylePr>
    <w:tblStylePr w:type="firstCol">
      <w:rPr>
        <w:b/>
        <w:bCs/>
      </w:rPr>
    </w:tblStylePr>
    <w:tblStylePr w:type="lastCol">
      <w:rPr>
        <w:b/>
        <w:bCs/>
      </w:rPr>
    </w:tblStylePr>
    <w:tblStylePr w:type="band1Vert">
      <w:tblPr/>
      <w:tcPr>
        <w:shd w:val="clear" w:color="auto" w:fill="9F9F9F" w:themeFill="text1" w:themeFillTint="7F"/>
      </w:tcPr>
    </w:tblStylePr>
    <w:tblStylePr w:type="band1Horz">
      <w:tblPr/>
      <w:tcPr>
        <w:shd w:val="clear" w:color="auto" w:fill="9F9F9F" w:themeFill="text1" w:themeFillTint="7F"/>
      </w:tcPr>
    </w:tblStylePr>
  </w:style>
  <w:style w:type="table" w:styleId="MediumGrid1-Accent1">
    <w:name w:val="Medium Grid 1 Accent 1"/>
    <w:basedOn w:val="TableNormal"/>
    <w:uiPriority w:val="67"/>
    <w:semiHidden/>
    <w:unhideWhenUsed/>
    <w:rsid w:val="00F527CC"/>
    <w:pPr>
      <w:spacing w:after="0" w:line="240" w:lineRule="auto"/>
    </w:pPr>
    <w:tblPr>
      <w:tblStyleRowBandSize w:val="1"/>
      <w:tblStyleColBandSize w:val="1"/>
      <w:tblBorders>
        <w:top w:val="single" w:sz="8" w:space="0" w:color="D5D5D7" w:themeColor="accent1" w:themeTint="BF"/>
        <w:left w:val="single" w:sz="8" w:space="0" w:color="D5D5D7" w:themeColor="accent1" w:themeTint="BF"/>
        <w:bottom w:val="single" w:sz="8" w:space="0" w:color="D5D5D7" w:themeColor="accent1" w:themeTint="BF"/>
        <w:right w:val="single" w:sz="8" w:space="0" w:color="D5D5D7" w:themeColor="accent1" w:themeTint="BF"/>
        <w:insideH w:val="single" w:sz="8" w:space="0" w:color="D5D5D7" w:themeColor="accent1" w:themeTint="BF"/>
        <w:insideV w:val="single" w:sz="8" w:space="0" w:color="D5D5D7" w:themeColor="accent1" w:themeTint="BF"/>
      </w:tblBorders>
    </w:tblPr>
    <w:tcPr>
      <w:shd w:val="clear" w:color="auto" w:fill="F1F1F2" w:themeFill="accent1" w:themeFillTint="3F"/>
    </w:tcPr>
    <w:tblStylePr w:type="firstRow">
      <w:rPr>
        <w:b/>
        <w:bCs/>
      </w:rPr>
    </w:tblStylePr>
    <w:tblStylePr w:type="lastRow">
      <w:rPr>
        <w:b/>
        <w:bCs/>
      </w:rPr>
      <w:tblPr/>
      <w:tcPr>
        <w:tcBorders>
          <w:top w:val="single" w:sz="18" w:space="0" w:color="D5D5D7" w:themeColor="accent1" w:themeTint="BF"/>
        </w:tcBorders>
      </w:tcPr>
    </w:tblStylePr>
    <w:tblStylePr w:type="firstCol">
      <w:rPr>
        <w:b/>
        <w:bCs/>
      </w:rPr>
    </w:tblStylePr>
    <w:tblStylePr w:type="lastCol">
      <w:rPr>
        <w:b/>
        <w:bCs/>
      </w:rPr>
    </w:tblStylePr>
    <w:tblStylePr w:type="band1Vert">
      <w:tblPr/>
      <w:tcPr>
        <w:shd w:val="clear" w:color="auto" w:fill="E3E3E4" w:themeFill="accent1" w:themeFillTint="7F"/>
      </w:tcPr>
    </w:tblStylePr>
    <w:tblStylePr w:type="band1Horz">
      <w:tblPr/>
      <w:tcPr>
        <w:shd w:val="clear" w:color="auto" w:fill="E3E3E4" w:themeFill="accent1" w:themeFillTint="7F"/>
      </w:tcPr>
    </w:tblStylePr>
  </w:style>
  <w:style w:type="table" w:styleId="MediumGrid1-Accent2">
    <w:name w:val="Medium Grid 1 Accent 2"/>
    <w:basedOn w:val="TableNormal"/>
    <w:uiPriority w:val="67"/>
    <w:semiHidden/>
    <w:unhideWhenUsed/>
    <w:rsid w:val="00F527CC"/>
    <w:pPr>
      <w:spacing w:after="0" w:line="240" w:lineRule="auto"/>
    </w:pPr>
    <w:tblPr>
      <w:tblStyleRowBandSize w:val="1"/>
      <w:tblStyleColBandSize w:val="1"/>
      <w:tblBorders>
        <w:top w:val="single" w:sz="8" w:space="0" w:color="ADAFB1" w:themeColor="accent2" w:themeTint="BF"/>
        <w:left w:val="single" w:sz="8" w:space="0" w:color="ADAFB1" w:themeColor="accent2" w:themeTint="BF"/>
        <w:bottom w:val="single" w:sz="8" w:space="0" w:color="ADAFB1" w:themeColor="accent2" w:themeTint="BF"/>
        <w:right w:val="single" w:sz="8" w:space="0" w:color="ADAFB1" w:themeColor="accent2" w:themeTint="BF"/>
        <w:insideH w:val="single" w:sz="8" w:space="0" w:color="ADAFB1" w:themeColor="accent2" w:themeTint="BF"/>
        <w:insideV w:val="single" w:sz="8" w:space="0" w:color="ADAFB1" w:themeColor="accent2" w:themeTint="BF"/>
      </w:tblBorders>
    </w:tblPr>
    <w:tcPr>
      <w:shd w:val="clear" w:color="auto" w:fill="E4E4E5" w:themeFill="accent2" w:themeFillTint="3F"/>
    </w:tcPr>
    <w:tblStylePr w:type="firstRow">
      <w:rPr>
        <w:b/>
        <w:bCs/>
      </w:rPr>
    </w:tblStylePr>
    <w:tblStylePr w:type="lastRow">
      <w:rPr>
        <w:b/>
        <w:bCs/>
      </w:rPr>
      <w:tblPr/>
      <w:tcPr>
        <w:tcBorders>
          <w:top w:val="single" w:sz="18" w:space="0" w:color="ADAFB1" w:themeColor="accent2" w:themeTint="BF"/>
        </w:tcBorders>
      </w:tcPr>
    </w:tblStylePr>
    <w:tblStylePr w:type="firstCol">
      <w:rPr>
        <w:b/>
        <w:bCs/>
      </w:rPr>
    </w:tblStylePr>
    <w:tblStylePr w:type="lastCol">
      <w:rPr>
        <w:b/>
        <w:bCs/>
      </w:rPr>
    </w:tblStylePr>
    <w:tblStylePr w:type="band1Vert">
      <w:tblPr/>
      <w:tcPr>
        <w:shd w:val="clear" w:color="auto" w:fill="C9CACB" w:themeFill="accent2" w:themeFillTint="7F"/>
      </w:tcPr>
    </w:tblStylePr>
    <w:tblStylePr w:type="band1Horz">
      <w:tblPr/>
      <w:tcPr>
        <w:shd w:val="clear" w:color="auto" w:fill="C9CACB" w:themeFill="accent2" w:themeFillTint="7F"/>
      </w:tcPr>
    </w:tblStylePr>
  </w:style>
  <w:style w:type="table" w:styleId="MediumGrid1-Accent3">
    <w:name w:val="Medium Grid 1 Accent 3"/>
    <w:basedOn w:val="TableNormal"/>
    <w:uiPriority w:val="67"/>
    <w:semiHidden/>
    <w:unhideWhenUsed/>
    <w:rsid w:val="00F527CC"/>
    <w:pPr>
      <w:spacing w:after="0" w:line="240" w:lineRule="auto"/>
    </w:pPr>
    <w:tblPr>
      <w:tblStyleRowBandSize w:val="1"/>
      <w:tblStyleColBandSize w:val="1"/>
      <w:tblBorders>
        <w:top w:val="single" w:sz="8" w:space="0" w:color="898A8C" w:themeColor="accent3" w:themeTint="BF"/>
        <w:left w:val="single" w:sz="8" w:space="0" w:color="898A8C" w:themeColor="accent3" w:themeTint="BF"/>
        <w:bottom w:val="single" w:sz="8" w:space="0" w:color="898A8C" w:themeColor="accent3" w:themeTint="BF"/>
        <w:right w:val="single" w:sz="8" w:space="0" w:color="898A8C" w:themeColor="accent3" w:themeTint="BF"/>
        <w:insideH w:val="single" w:sz="8" w:space="0" w:color="898A8C" w:themeColor="accent3" w:themeTint="BF"/>
        <w:insideV w:val="single" w:sz="8" w:space="0" w:color="898A8C" w:themeColor="accent3" w:themeTint="BF"/>
      </w:tblBorders>
    </w:tblPr>
    <w:tcPr>
      <w:shd w:val="clear" w:color="auto" w:fill="D8D8D9" w:themeFill="accent3" w:themeFillTint="3F"/>
    </w:tcPr>
    <w:tblStylePr w:type="firstRow">
      <w:rPr>
        <w:b/>
        <w:bCs/>
      </w:rPr>
    </w:tblStylePr>
    <w:tblStylePr w:type="lastRow">
      <w:rPr>
        <w:b/>
        <w:bCs/>
      </w:rPr>
      <w:tblPr/>
      <w:tcPr>
        <w:tcBorders>
          <w:top w:val="single" w:sz="18" w:space="0" w:color="898A8C" w:themeColor="accent3" w:themeTint="BF"/>
        </w:tcBorders>
      </w:tcPr>
    </w:tblStylePr>
    <w:tblStylePr w:type="firstCol">
      <w:rPr>
        <w:b/>
        <w:bCs/>
      </w:rPr>
    </w:tblStylePr>
    <w:tblStylePr w:type="lastCol">
      <w:rPr>
        <w:b/>
        <w:bCs/>
      </w:rPr>
    </w:tblStylePr>
    <w:tblStylePr w:type="band1Vert">
      <w:tblPr/>
      <w:tcPr>
        <w:shd w:val="clear" w:color="auto" w:fill="B0B1B3" w:themeFill="accent3" w:themeFillTint="7F"/>
      </w:tcPr>
    </w:tblStylePr>
    <w:tblStylePr w:type="band1Horz">
      <w:tblPr/>
      <w:tcPr>
        <w:shd w:val="clear" w:color="auto" w:fill="B0B1B3" w:themeFill="accent3" w:themeFillTint="7F"/>
      </w:tcPr>
    </w:tblStylePr>
  </w:style>
  <w:style w:type="table" w:styleId="MediumGrid1-Accent4">
    <w:name w:val="Medium Grid 1 Accent 4"/>
    <w:basedOn w:val="TableNormal"/>
    <w:uiPriority w:val="67"/>
    <w:semiHidden/>
    <w:unhideWhenUsed/>
    <w:rsid w:val="00F527CC"/>
    <w:pPr>
      <w:spacing w:after="0" w:line="240" w:lineRule="auto"/>
    </w:pPr>
    <w:tblPr>
      <w:tblStyleRowBandSize w:val="1"/>
      <w:tblStyleColBandSize w:val="1"/>
      <w:tblBorders>
        <w:top w:val="single" w:sz="8" w:space="0" w:color="E34E57" w:themeColor="accent4" w:themeTint="BF"/>
        <w:left w:val="single" w:sz="8" w:space="0" w:color="E34E57" w:themeColor="accent4" w:themeTint="BF"/>
        <w:bottom w:val="single" w:sz="8" w:space="0" w:color="E34E57" w:themeColor="accent4" w:themeTint="BF"/>
        <w:right w:val="single" w:sz="8" w:space="0" w:color="E34E57" w:themeColor="accent4" w:themeTint="BF"/>
        <w:insideH w:val="single" w:sz="8" w:space="0" w:color="E34E57" w:themeColor="accent4" w:themeTint="BF"/>
        <w:insideV w:val="single" w:sz="8" w:space="0" w:color="E34E57" w:themeColor="accent4" w:themeTint="BF"/>
      </w:tblBorders>
    </w:tblPr>
    <w:tcPr>
      <w:shd w:val="clear" w:color="auto" w:fill="F6C4C7" w:themeFill="accent4" w:themeFillTint="3F"/>
    </w:tcPr>
    <w:tblStylePr w:type="firstRow">
      <w:rPr>
        <w:b/>
        <w:bCs/>
      </w:rPr>
    </w:tblStylePr>
    <w:tblStylePr w:type="lastRow">
      <w:rPr>
        <w:b/>
        <w:bCs/>
      </w:rPr>
      <w:tblPr/>
      <w:tcPr>
        <w:tcBorders>
          <w:top w:val="single" w:sz="18" w:space="0" w:color="E34E57" w:themeColor="accent4" w:themeTint="BF"/>
        </w:tcBorders>
      </w:tcPr>
    </w:tblStylePr>
    <w:tblStylePr w:type="firstCol">
      <w:rPr>
        <w:b/>
        <w:bCs/>
      </w:rPr>
    </w:tblStylePr>
    <w:tblStylePr w:type="lastCol">
      <w:rPr>
        <w:b/>
        <w:bCs/>
      </w:rPr>
    </w:tblStylePr>
    <w:tblStylePr w:type="band1Vert">
      <w:tblPr/>
      <w:tcPr>
        <w:shd w:val="clear" w:color="auto" w:fill="EC898F" w:themeFill="accent4" w:themeFillTint="7F"/>
      </w:tcPr>
    </w:tblStylePr>
    <w:tblStylePr w:type="band1Horz">
      <w:tblPr/>
      <w:tcPr>
        <w:shd w:val="clear" w:color="auto" w:fill="EC898F" w:themeFill="accent4" w:themeFillTint="7F"/>
      </w:tcPr>
    </w:tblStylePr>
  </w:style>
  <w:style w:type="table" w:styleId="MediumGrid1-Accent5">
    <w:name w:val="Medium Grid 1 Accent 5"/>
    <w:basedOn w:val="TableNormal"/>
    <w:uiPriority w:val="67"/>
    <w:semiHidden/>
    <w:unhideWhenUsed/>
    <w:rsid w:val="00F527CC"/>
    <w:pPr>
      <w:spacing w:after="0" w:line="240" w:lineRule="auto"/>
    </w:pPr>
    <w:tblPr>
      <w:tblStyleRowBandSize w:val="1"/>
      <w:tblStyleColBandSize w:val="1"/>
      <w:tblBorders>
        <w:top w:val="single" w:sz="8" w:space="0" w:color="007FFF" w:themeColor="accent5" w:themeTint="BF"/>
        <w:left w:val="single" w:sz="8" w:space="0" w:color="007FFF" w:themeColor="accent5" w:themeTint="BF"/>
        <w:bottom w:val="single" w:sz="8" w:space="0" w:color="007FFF" w:themeColor="accent5" w:themeTint="BF"/>
        <w:right w:val="single" w:sz="8" w:space="0" w:color="007FFF" w:themeColor="accent5" w:themeTint="BF"/>
        <w:insideH w:val="single" w:sz="8" w:space="0" w:color="007FFF" w:themeColor="accent5" w:themeTint="BF"/>
        <w:insideV w:val="single" w:sz="8" w:space="0" w:color="007FFF" w:themeColor="accent5" w:themeTint="BF"/>
      </w:tblBorders>
    </w:tblPr>
    <w:tcPr>
      <w:shd w:val="clear" w:color="auto" w:fill="ABD4FF" w:themeFill="accent5" w:themeFillTint="3F"/>
    </w:tcPr>
    <w:tblStylePr w:type="firstRow">
      <w:rPr>
        <w:b/>
        <w:bCs/>
      </w:rPr>
    </w:tblStylePr>
    <w:tblStylePr w:type="lastRow">
      <w:rPr>
        <w:b/>
        <w:bCs/>
      </w:rPr>
      <w:tblPr/>
      <w:tcPr>
        <w:tcBorders>
          <w:top w:val="single" w:sz="18" w:space="0" w:color="007FFF" w:themeColor="accent5" w:themeTint="BF"/>
        </w:tcBorders>
      </w:tcPr>
    </w:tblStylePr>
    <w:tblStylePr w:type="firstCol">
      <w:rPr>
        <w:b/>
        <w:bCs/>
      </w:rPr>
    </w:tblStylePr>
    <w:tblStylePr w:type="lastCol">
      <w:rPr>
        <w:b/>
        <w:bCs/>
      </w:rPr>
    </w:tblStylePr>
    <w:tblStylePr w:type="band1Vert">
      <w:tblPr/>
      <w:tcPr>
        <w:shd w:val="clear" w:color="auto" w:fill="55AAFF" w:themeFill="accent5" w:themeFillTint="7F"/>
      </w:tcPr>
    </w:tblStylePr>
    <w:tblStylePr w:type="band1Horz">
      <w:tblPr/>
      <w:tcPr>
        <w:shd w:val="clear" w:color="auto" w:fill="55AAFF" w:themeFill="accent5" w:themeFillTint="7F"/>
      </w:tcPr>
    </w:tblStylePr>
  </w:style>
  <w:style w:type="table" w:styleId="MediumGrid1-Accent6">
    <w:name w:val="Medium Grid 1 Accent 6"/>
    <w:basedOn w:val="TableNormal"/>
    <w:uiPriority w:val="67"/>
    <w:semiHidden/>
    <w:unhideWhenUsed/>
    <w:rsid w:val="00F527CC"/>
    <w:pPr>
      <w:spacing w:after="0" w:line="240" w:lineRule="auto"/>
    </w:pPr>
    <w:tblPr>
      <w:tblStyleRowBandSize w:val="1"/>
      <w:tblStyleColBandSize w:val="1"/>
      <w:tblBorders>
        <w:top w:val="single" w:sz="8" w:space="0" w:color="FFBE59" w:themeColor="accent6" w:themeTint="BF"/>
        <w:left w:val="single" w:sz="8" w:space="0" w:color="FFBE59" w:themeColor="accent6" w:themeTint="BF"/>
        <w:bottom w:val="single" w:sz="8" w:space="0" w:color="FFBE59" w:themeColor="accent6" w:themeTint="BF"/>
        <w:right w:val="single" w:sz="8" w:space="0" w:color="FFBE59" w:themeColor="accent6" w:themeTint="BF"/>
        <w:insideH w:val="single" w:sz="8" w:space="0" w:color="FFBE59" w:themeColor="accent6" w:themeTint="BF"/>
        <w:insideV w:val="single" w:sz="8" w:space="0" w:color="FFBE59" w:themeColor="accent6" w:themeTint="BF"/>
      </w:tblBorders>
    </w:tblPr>
    <w:tcPr>
      <w:shd w:val="clear" w:color="auto" w:fill="FFE9C8" w:themeFill="accent6" w:themeFillTint="3F"/>
    </w:tcPr>
    <w:tblStylePr w:type="firstRow">
      <w:rPr>
        <w:b/>
        <w:bCs/>
      </w:rPr>
    </w:tblStylePr>
    <w:tblStylePr w:type="lastRow">
      <w:rPr>
        <w:b/>
        <w:bCs/>
      </w:rPr>
      <w:tblPr/>
      <w:tcPr>
        <w:tcBorders>
          <w:top w:val="single" w:sz="18" w:space="0" w:color="FFBE59" w:themeColor="accent6" w:themeTint="BF"/>
        </w:tcBorders>
      </w:tcPr>
    </w:tblStylePr>
    <w:tblStylePr w:type="firstCol">
      <w:rPr>
        <w:b/>
        <w:bCs/>
      </w:rPr>
    </w:tblStylePr>
    <w:tblStylePr w:type="lastCol">
      <w:rPr>
        <w:b/>
        <w:bCs/>
      </w:rPr>
    </w:tblStylePr>
    <w:tblStylePr w:type="band1Vert">
      <w:tblPr/>
      <w:tcPr>
        <w:shd w:val="clear" w:color="auto" w:fill="FFD490" w:themeFill="accent6" w:themeFillTint="7F"/>
      </w:tcPr>
    </w:tblStylePr>
    <w:tblStylePr w:type="band1Horz">
      <w:tblPr/>
      <w:tcPr>
        <w:shd w:val="clear" w:color="auto" w:fill="FFD490" w:themeFill="accent6" w:themeFillTint="7F"/>
      </w:tcPr>
    </w:tblStylePr>
  </w:style>
  <w:style w:type="table" w:styleId="MediumGrid2">
    <w:name w:val="Medium Grid 2"/>
    <w:basedOn w:val="TableNormal"/>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404040" w:themeColor="text1"/>
        <w:left w:val="single" w:sz="8" w:space="0" w:color="404040" w:themeColor="text1"/>
        <w:bottom w:val="single" w:sz="8" w:space="0" w:color="404040" w:themeColor="text1"/>
        <w:right w:val="single" w:sz="8" w:space="0" w:color="404040" w:themeColor="text1"/>
        <w:insideH w:val="single" w:sz="8" w:space="0" w:color="404040" w:themeColor="text1"/>
        <w:insideV w:val="single" w:sz="8" w:space="0" w:color="404040" w:themeColor="text1"/>
      </w:tblBorders>
    </w:tblPr>
    <w:tcPr>
      <w:shd w:val="clear" w:color="auto" w:fill="CFCFCF" w:themeFill="text1" w:themeFillTint="3F"/>
    </w:tcPr>
    <w:tblStylePr w:type="firstRow">
      <w:rPr>
        <w:b/>
        <w:bCs/>
        <w:color w:val="404040" w:themeColor="text1"/>
      </w:rPr>
      <w:tblPr/>
      <w:tcPr>
        <w:shd w:val="clear" w:color="auto" w:fill="ECECEC" w:themeFill="text1"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D8D8D8" w:themeFill="text1" w:themeFillTint="33"/>
      </w:tcPr>
    </w:tblStylePr>
    <w:tblStylePr w:type="band1Vert">
      <w:tblPr/>
      <w:tcPr>
        <w:shd w:val="clear" w:color="auto" w:fill="9F9F9F" w:themeFill="text1" w:themeFillTint="7F"/>
      </w:tcPr>
    </w:tblStylePr>
    <w:tblStylePr w:type="band1Horz">
      <w:tblPr/>
      <w:tcPr>
        <w:tcBorders>
          <w:insideH w:val="single" w:sz="6" w:space="0" w:color="404040" w:themeColor="text1"/>
          <w:insideV w:val="single" w:sz="6" w:space="0" w:color="404040" w:themeColor="text1"/>
        </w:tcBorders>
        <w:shd w:val="clear" w:color="auto" w:fill="9F9F9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C7C8CA" w:themeColor="accent1"/>
        <w:left w:val="single" w:sz="8" w:space="0" w:color="C7C8CA" w:themeColor="accent1"/>
        <w:bottom w:val="single" w:sz="8" w:space="0" w:color="C7C8CA" w:themeColor="accent1"/>
        <w:right w:val="single" w:sz="8" w:space="0" w:color="C7C8CA" w:themeColor="accent1"/>
        <w:insideH w:val="single" w:sz="8" w:space="0" w:color="C7C8CA" w:themeColor="accent1"/>
        <w:insideV w:val="single" w:sz="8" w:space="0" w:color="C7C8CA" w:themeColor="accent1"/>
      </w:tblBorders>
    </w:tblPr>
    <w:tcPr>
      <w:shd w:val="clear" w:color="auto" w:fill="F1F1F2" w:themeFill="accent1" w:themeFillTint="3F"/>
    </w:tcPr>
    <w:tblStylePr w:type="firstRow">
      <w:rPr>
        <w:b/>
        <w:bCs/>
        <w:color w:val="404040" w:themeColor="text1"/>
      </w:rPr>
      <w:tblPr/>
      <w:tcPr>
        <w:shd w:val="clear" w:color="auto" w:fill="F9F9F9" w:themeFill="accent1"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F3F3F4" w:themeFill="accent1" w:themeFillTint="33"/>
      </w:tcPr>
    </w:tblStylePr>
    <w:tblStylePr w:type="band1Vert">
      <w:tblPr/>
      <w:tcPr>
        <w:shd w:val="clear" w:color="auto" w:fill="E3E3E4" w:themeFill="accent1" w:themeFillTint="7F"/>
      </w:tcPr>
    </w:tblStylePr>
    <w:tblStylePr w:type="band1Horz">
      <w:tblPr/>
      <w:tcPr>
        <w:tcBorders>
          <w:insideH w:val="single" w:sz="6" w:space="0" w:color="C7C8CA" w:themeColor="accent1"/>
          <w:insideV w:val="single" w:sz="6" w:space="0" w:color="C7C8CA" w:themeColor="accent1"/>
        </w:tcBorders>
        <w:shd w:val="clear" w:color="auto" w:fill="E3E3E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939598" w:themeColor="accent2"/>
        <w:left w:val="single" w:sz="8" w:space="0" w:color="939598" w:themeColor="accent2"/>
        <w:bottom w:val="single" w:sz="8" w:space="0" w:color="939598" w:themeColor="accent2"/>
        <w:right w:val="single" w:sz="8" w:space="0" w:color="939598" w:themeColor="accent2"/>
        <w:insideH w:val="single" w:sz="8" w:space="0" w:color="939598" w:themeColor="accent2"/>
        <w:insideV w:val="single" w:sz="8" w:space="0" w:color="939598" w:themeColor="accent2"/>
      </w:tblBorders>
    </w:tblPr>
    <w:tcPr>
      <w:shd w:val="clear" w:color="auto" w:fill="E4E4E5" w:themeFill="accent2" w:themeFillTint="3F"/>
    </w:tcPr>
    <w:tblStylePr w:type="firstRow">
      <w:rPr>
        <w:b/>
        <w:bCs/>
        <w:color w:val="404040" w:themeColor="text1"/>
      </w:rPr>
      <w:tblPr/>
      <w:tcPr>
        <w:shd w:val="clear" w:color="auto" w:fill="F4F4F4" w:themeFill="accent2"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E9E9EA" w:themeFill="accent2" w:themeFillTint="33"/>
      </w:tcPr>
    </w:tblStylePr>
    <w:tblStylePr w:type="band1Vert">
      <w:tblPr/>
      <w:tcPr>
        <w:shd w:val="clear" w:color="auto" w:fill="C9CACB" w:themeFill="accent2" w:themeFillTint="7F"/>
      </w:tcPr>
    </w:tblStylePr>
    <w:tblStylePr w:type="band1Horz">
      <w:tblPr/>
      <w:tcPr>
        <w:tcBorders>
          <w:insideH w:val="single" w:sz="6" w:space="0" w:color="939598" w:themeColor="accent2"/>
          <w:insideV w:val="single" w:sz="6" w:space="0" w:color="939598" w:themeColor="accent2"/>
        </w:tcBorders>
        <w:shd w:val="clear" w:color="auto" w:fill="C9CAC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636466" w:themeColor="accent3"/>
        <w:left w:val="single" w:sz="8" w:space="0" w:color="636466" w:themeColor="accent3"/>
        <w:bottom w:val="single" w:sz="8" w:space="0" w:color="636466" w:themeColor="accent3"/>
        <w:right w:val="single" w:sz="8" w:space="0" w:color="636466" w:themeColor="accent3"/>
        <w:insideH w:val="single" w:sz="8" w:space="0" w:color="636466" w:themeColor="accent3"/>
        <w:insideV w:val="single" w:sz="8" w:space="0" w:color="636466" w:themeColor="accent3"/>
      </w:tblBorders>
    </w:tblPr>
    <w:tcPr>
      <w:shd w:val="clear" w:color="auto" w:fill="D8D8D9" w:themeFill="accent3" w:themeFillTint="3F"/>
    </w:tcPr>
    <w:tblStylePr w:type="firstRow">
      <w:rPr>
        <w:b/>
        <w:bCs/>
        <w:color w:val="404040" w:themeColor="text1"/>
      </w:rPr>
      <w:tblPr/>
      <w:tcPr>
        <w:shd w:val="clear" w:color="auto" w:fill="EFEFF0" w:themeFill="accent3"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DFDFE0" w:themeFill="accent3" w:themeFillTint="33"/>
      </w:tcPr>
    </w:tblStylePr>
    <w:tblStylePr w:type="band1Vert">
      <w:tblPr/>
      <w:tcPr>
        <w:shd w:val="clear" w:color="auto" w:fill="B0B1B3" w:themeFill="accent3" w:themeFillTint="7F"/>
      </w:tcPr>
    </w:tblStylePr>
    <w:tblStylePr w:type="band1Horz">
      <w:tblPr/>
      <w:tcPr>
        <w:tcBorders>
          <w:insideH w:val="single" w:sz="6" w:space="0" w:color="636466" w:themeColor="accent3"/>
          <w:insideV w:val="single" w:sz="6" w:space="0" w:color="636466" w:themeColor="accent3"/>
        </w:tcBorders>
        <w:shd w:val="clear" w:color="auto" w:fill="B0B1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CD202C" w:themeColor="accent4"/>
        <w:left w:val="single" w:sz="8" w:space="0" w:color="CD202C" w:themeColor="accent4"/>
        <w:bottom w:val="single" w:sz="8" w:space="0" w:color="CD202C" w:themeColor="accent4"/>
        <w:right w:val="single" w:sz="8" w:space="0" w:color="CD202C" w:themeColor="accent4"/>
        <w:insideH w:val="single" w:sz="8" w:space="0" w:color="CD202C" w:themeColor="accent4"/>
        <w:insideV w:val="single" w:sz="8" w:space="0" w:color="CD202C" w:themeColor="accent4"/>
      </w:tblBorders>
    </w:tblPr>
    <w:tcPr>
      <w:shd w:val="clear" w:color="auto" w:fill="F6C4C7" w:themeFill="accent4" w:themeFillTint="3F"/>
    </w:tcPr>
    <w:tblStylePr w:type="firstRow">
      <w:rPr>
        <w:b/>
        <w:bCs/>
        <w:color w:val="404040" w:themeColor="text1"/>
      </w:rPr>
      <w:tblPr/>
      <w:tcPr>
        <w:shd w:val="clear" w:color="auto" w:fill="FBE7E8" w:themeFill="accent4"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F7CFD2" w:themeFill="accent4" w:themeFillTint="33"/>
      </w:tcPr>
    </w:tblStylePr>
    <w:tblStylePr w:type="band1Vert">
      <w:tblPr/>
      <w:tcPr>
        <w:shd w:val="clear" w:color="auto" w:fill="EC898F" w:themeFill="accent4" w:themeFillTint="7F"/>
      </w:tcPr>
    </w:tblStylePr>
    <w:tblStylePr w:type="band1Horz">
      <w:tblPr/>
      <w:tcPr>
        <w:tcBorders>
          <w:insideH w:val="single" w:sz="6" w:space="0" w:color="CD202C" w:themeColor="accent4"/>
          <w:insideV w:val="single" w:sz="6" w:space="0" w:color="CD202C" w:themeColor="accent4"/>
        </w:tcBorders>
        <w:shd w:val="clear" w:color="auto" w:fill="EC898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0055AA" w:themeColor="accent5"/>
        <w:left w:val="single" w:sz="8" w:space="0" w:color="0055AA" w:themeColor="accent5"/>
        <w:bottom w:val="single" w:sz="8" w:space="0" w:color="0055AA" w:themeColor="accent5"/>
        <w:right w:val="single" w:sz="8" w:space="0" w:color="0055AA" w:themeColor="accent5"/>
        <w:insideH w:val="single" w:sz="8" w:space="0" w:color="0055AA" w:themeColor="accent5"/>
        <w:insideV w:val="single" w:sz="8" w:space="0" w:color="0055AA" w:themeColor="accent5"/>
      </w:tblBorders>
    </w:tblPr>
    <w:tcPr>
      <w:shd w:val="clear" w:color="auto" w:fill="ABD4FF" w:themeFill="accent5" w:themeFillTint="3F"/>
    </w:tcPr>
    <w:tblStylePr w:type="firstRow">
      <w:rPr>
        <w:b/>
        <w:bCs/>
        <w:color w:val="404040" w:themeColor="text1"/>
      </w:rPr>
      <w:tblPr/>
      <w:tcPr>
        <w:shd w:val="clear" w:color="auto" w:fill="DDEEFF" w:themeFill="accent5"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BBDCFF" w:themeFill="accent5" w:themeFillTint="33"/>
      </w:tcPr>
    </w:tblStylePr>
    <w:tblStylePr w:type="band1Vert">
      <w:tblPr/>
      <w:tcPr>
        <w:shd w:val="clear" w:color="auto" w:fill="55AAFF" w:themeFill="accent5" w:themeFillTint="7F"/>
      </w:tcPr>
    </w:tblStylePr>
    <w:tblStylePr w:type="band1Horz">
      <w:tblPr/>
      <w:tcPr>
        <w:tcBorders>
          <w:insideH w:val="single" w:sz="6" w:space="0" w:color="0055AA" w:themeColor="accent5"/>
          <w:insideV w:val="single" w:sz="6" w:space="0" w:color="0055AA" w:themeColor="accent5"/>
        </w:tcBorders>
        <w:shd w:val="clear" w:color="auto" w:fill="55A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FFAA22" w:themeColor="accent6"/>
        <w:left w:val="single" w:sz="8" w:space="0" w:color="FFAA22" w:themeColor="accent6"/>
        <w:bottom w:val="single" w:sz="8" w:space="0" w:color="FFAA22" w:themeColor="accent6"/>
        <w:right w:val="single" w:sz="8" w:space="0" w:color="FFAA22" w:themeColor="accent6"/>
        <w:insideH w:val="single" w:sz="8" w:space="0" w:color="FFAA22" w:themeColor="accent6"/>
        <w:insideV w:val="single" w:sz="8" w:space="0" w:color="FFAA22" w:themeColor="accent6"/>
      </w:tblBorders>
    </w:tblPr>
    <w:tcPr>
      <w:shd w:val="clear" w:color="auto" w:fill="FFE9C8" w:themeFill="accent6" w:themeFillTint="3F"/>
    </w:tcPr>
    <w:tblStylePr w:type="firstRow">
      <w:rPr>
        <w:b/>
        <w:bCs/>
        <w:color w:val="404040" w:themeColor="text1"/>
      </w:rPr>
      <w:tblPr/>
      <w:tcPr>
        <w:shd w:val="clear" w:color="auto" w:fill="FFF6E9" w:themeFill="accent6"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FFEDD2" w:themeFill="accent6" w:themeFillTint="33"/>
      </w:tcPr>
    </w:tblStylePr>
    <w:tblStylePr w:type="band1Vert">
      <w:tblPr/>
      <w:tcPr>
        <w:shd w:val="clear" w:color="auto" w:fill="FFD490" w:themeFill="accent6" w:themeFillTint="7F"/>
      </w:tcPr>
    </w:tblStylePr>
    <w:tblStylePr w:type="band1Horz">
      <w:tblPr/>
      <w:tcPr>
        <w:tcBorders>
          <w:insideH w:val="single" w:sz="6" w:space="0" w:color="FFAA22" w:themeColor="accent6"/>
          <w:insideV w:val="single" w:sz="6" w:space="0" w:color="FFAA22" w:themeColor="accent6"/>
        </w:tcBorders>
        <w:shd w:val="clear" w:color="auto" w:fill="FFD49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FC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4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4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4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4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9F9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9F9F" w:themeFill="text1" w:themeFillTint="7F"/>
      </w:tcPr>
    </w:tblStylePr>
  </w:style>
  <w:style w:type="table" w:styleId="MediumGrid3-Accent1">
    <w:name w:val="Medium Grid 3 Accent 1"/>
    <w:basedOn w:val="TableNormal"/>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7C8C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7C8C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7C8C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7C8C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4" w:themeFill="accent1" w:themeFillTint="7F"/>
      </w:tcPr>
    </w:tblStylePr>
  </w:style>
  <w:style w:type="table" w:styleId="MediumGrid3-Accent2">
    <w:name w:val="Medium Grid 3 Accent 2"/>
    <w:basedOn w:val="TableNormal"/>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4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959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959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959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959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CA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CACB" w:themeFill="accent2" w:themeFillTint="7F"/>
      </w:tcPr>
    </w:tblStylePr>
  </w:style>
  <w:style w:type="table" w:styleId="MediumGrid3-Accent3">
    <w:name w:val="Medium Grid 3 Accent 3"/>
    <w:basedOn w:val="TableNormal"/>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8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646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646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646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646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B1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B1B3" w:themeFill="accent3" w:themeFillTint="7F"/>
      </w:tcPr>
    </w:tblStylePr>
  </w:style>
  <w:style w:type="table" w:styleId="MediumGrid3-Accent4">
    <w:name w:val="Medium Grid 3 Accent 4"/>
    <w:basedOn w:val="TableNormal"/>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C4C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202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202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202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202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898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898F" w:themeFill="accent4" w:themeFillTint="7F"/>
      </w:tcPr>
    </w:tblStylePr>
  </w:style>
  <w:style w:type="table" w:styleId="MediumGrid3-Accent5">
    <w:name w:val="Medium Grid 3 Accent 5"/>
    <w:basedOn w:val="TableNormal"/>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D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5A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5A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5A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5A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A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AAFF" w:themeFill="accent5" w:themeFillTint="7F"/>
      </w:tcPr>
    </w:tblStylePr>
  </w:style>
  <w:style w:type="table" w:styleId="MediumGrid3-Accent6">
    <w:name w:val="Medium Grid 3 Accent 6"/>
    <w:basedOn w:val="TableNormal"/>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9C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A2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A2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A2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A2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49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490" w:themeFill="accent6" w:themeFillTint="7F"/>
      </w:tcPr>
    </w:tblStylePr>
  </w:style>
  <w:style w:type="table" w:styleId="MediumList1">
    <w:name w:val="Medium List 1"/>
    <w:basedOn w:val="TableNormal"/>
    <w:uiPriority w:val="65"/>
    <w:semiHidden/>
    <w:unhideWhenUsed/>
    <w:rsid w:val="00F527CC"/>
    <w:pPr>
      <w:spacing w:after="0" w:line="240" w:lineRule="auto"/>
    </w:pPr>
    <w:rPr>
      <w:color w:val="404040" w:themeColor="text1"/>
    </w:rPr>
    <w:tblPr>
      <w:tblStyleRowBandSize w:val="1"/>
      <w:tblStyleColBandSize w:val="1"/>
      <w:tblBorders>
        <w:top w:val="single" w:sz="8" w:space="0" w:color="404040" w:themeColor="text1"/>
        <w:bottom w:val="single" w:sz="8" w:space="0" w:color="404040" w:themeColor="text1"/>
      </w:tblBorders>
    </w:tblPr>
    <w:tblStylePr w:type="firstRow">
      <w:rPr>
        <w:rFonts w:asciiTheme="majorHAnsi" w:eastAsiaTheme="majorEastAsia" w:hAnsiTheme="majorHAnsi" w:cstheme="majorBidi"/>
      </w:rPr>
      <w:tblPr/>
      <w:tcPr>
        <w:tcBorders>
          <w:top w:val="nil"/>
          <w:bottom w:val="single" w:sz="8" w:space="0" w:color="404040" w:themeColor="text1"/>
        </w:tcBorders>
      </w:tcPr>
    </w:tblStylePr>
    <w:tblStylePr w:type="lastRow">
      <w:rPr>
        <w:b/>
        <w:bCs/>
        <w:color w:val="FFFFFF" w:themeColor="text2"/>
      </w:rPr>
      <w:tblPr/>
      <w:tcPr>
        <w:tcBorders>
          <w:top w:val="single" w:sz="8" w:space="0" w:color="404040" w:themeColor="text1"/>
          <w:bottom w:val="single" w:sz="8" w:space="0" w:color="404040" w:themeColor="text1"/>
        </w:tcBorders>
      </w:tcPr>
    </w:tblStylePr>
    <w:tblStylePr w:type="firstCol">
      <w:rPr>
        <w:b/>
        <w:bCs/>
      </w:rPr>
    </w:tblStylePr>
    <w:tblStylePr w:type="lastCol">
      <w:rPr>
        <w:b/>
        <w:bCs/>
      </w:rPr>
      <w:tblPr/>
      <w:tcPr>
        <w:tcBorders>
          <w:top w:val="single" w:sz="8" w:space="0" w:color="404040" w:themeColor="text1"/>
          <w:bottom w:val="single" w:sz="8" w:space="0" w:color="404040" w:themeColor="text1"/>
        </w:tcBorders>
      </w:tcPr>
    </w:tblStylePr>
    <w:tblStylePr w:type="band1Vert">
      <w:tblPr/>
      <w:tcPr>
        <w:shd w:val="clear" w:color="auto" w:fill="CFCFCF" w:themeFill="text1" w:themeFillTint="3F"/>
      </w:tcPr>
    </w:tblStylePr>
    <w:tblStylePr w:type="band1Horz">
      <w:tblPr/>
      <w:tcPr>
        <w:shd w:val="clear" w:color="auto" w:fill="CFCFCF" w:themeFill="text1" w:themeFillTint="3F"/>
      </w:tcPr>
    </w:tblStylePr>
  </w:style>
  <w:style w:type="table" w:styleId="MediumList1-Accent1">
    <w:name w:val="Medium List 1 Accent 1"/>
    <w:basedOn w:val="TableNormal"/>
    <w:uiPriority w:val="65"/>
    <w:semiHidden/>
    <w:unhideWhenUsed/>
    <w:rsid w:val="00F527CC"/>
    <w:pPr>
      <w:spacing w:after="0" w:line="240" w:lineRule="auto"/>
    </w:pPr>
    <w:rPr>
      <w:color w:val="404040" w:themeColor="text1"/>
    </w:rPr>
    <w:tblPr>
      <w:tblStyleRowBandSize w:val="1"/>
      <w:tblStyleColBandSize w:val="1"/>
      <w:tblBorders>
        <w:top w:val="single" w:sz="8" w:space="0" w:color="C7C8CA" w:themeColor="accent1"/>
        <w:bottom w:val="single" w:sz="8" w:space="0" w:color="C7C8CA" w:themeColor="accent1"/>
      </w:tblBorders>
    </w:tblPr>
    <w:tblStylePr w:type="firstRow">
      <w:rPr>
        <w:rFonts w:asciiTheme="majorHAnsi" w:eastAsiaTheme="majorEastAsia" w:hAnsiTheme="majorHAnsi" w:cstheme="majorBidi"/>
      </w:rPr>
      <w:tblPr/>
      <w:tcPr>
        <w:tcBorders>
          <w:top w:val="nil"/>
          <w:bottom w:val="single" w:sz="8" w:space="0" w:color="C7C8CA" w:themeColor="accent1"/>
        </w:tcBorders>
      </w:tcPr>
    </w:tblStylePr>
    <w:tblStylePr w:type="lastRow">
      <w:rPr>
        <w:b/>
        <w:bCs/>
        <w:color w:val="FFFFFF" w:themeColor="text2"/>
      </w:rPr>
      <w:tblPr/>
      <w:tcPr>
        <w:tcBorders>
          <w:top w:val="single" w:sz="8" w:space="0" w:color="C7C8CA" w:themeColor="accent1"/>
          <w:bottom w:val="single" w:sz="8" w:space="0" w:color="C7C8CA" w:themeColor="accent1"/>
        </w:tcBorders>
      </w:tcPr>
    </w:tblStylePr>
    <w:tblStylePr w:type="firstCol">
      <w:rPr>
        <w:b/>
        <w:bCs/>
      </w:rPr>
    </w:tblStylePr>
    <w:tblStylePr w:type="lastCol">
      <w:rPr>
        <w:b/>
        <w:bCs/>
      </w:rPr>
      <w:tblPr/>
      <w:tcPr>
        <w:tcBorders>
          <w:top w:val="single" w:sz="8" w:space="0" w:color="C7C8CA" w:themeColor="accent1"/>
          <w:bottom w:val="single" w:sz="8" w:space="0" w:color="C7C8CA" w:themeColor="accent1"/>
        </w:tcBorders>
      </w:tcPr>
    </w:tblStylePr>
    <w:tblStylePr w:type="band1Vert">
      <w:tblPr/>
      <w:tcPr>
        <w:shd w:val="clear" w:color="auto" w:fill="F1F1F2" w:themeFill="accent1" w:themeFillTint="3F"/>
      </w:tcPr>
    </w:tblStylePr>
    <w:tblStylePr w:type="band1Horz">
      <w:tblPr/>
      <w:tcPr>
        <w:shd w:val="clear" w:color="auto" w:fill="F1F1F2" w:themeFill="accent1" w:themeFillTint="3F"/>
      </w:tcPr>
    </w:tblStylePr>
  </w:style>
  <w:style w:type="table" w:styleId="MediumList1-Accent2">
    <w:name w:val="Medium List 1 Accent 2"/>
    <w:basedOn w:val="TableNormal"/>
    <w:uiPriority w:val="65"/>
    <w:semiHidden/>
    <w:unhideWhenUsed/>
    <w:rsid w:val="00F527CC"/>
    <w:pPr>
      <w:spacing w:after="0" w:line="240" w:lineRule="auto"/>
    </w:pPr>
    <w:rPr>
      <w:color w:val="404040" w:themeColor="text1"/>
    </w:rPr>
    <w:tblPr>
      <w:tblStyleRowBandSize w:val="1"/>
      <w:tblStyleColBandSize w:val="1"/>
      <w:tblBorders>
        <w:top w:val="single" w:sz="8" w:space="0" w:color="939598" w:themeColor="accent2"/>
        <w:bottom w:val="single" w:sz="8" w:space="0" w:color="939598" w:themeColor="accent2"/>
      </w:tblBorders>
    </w:tblPr>
    <w:tblStylePr w:type="firstRow">
      <w:rPr>
        <w:rFonts w:asciiTheme="majorHAnsi" w:eastAsiaTheme="majorEastAsia" w:hAnsiTheme="majorHAnsi" w:cstheme="majorBidi"/>
      </w:rPr>
      <w:tblPr/>
      <w:tcPr>
        <w:tcBorders>
          <w:top w:val="nil"/>
          <w:bottom w:val="single" w:sz="8" w:space="0" w:color="939598" w:themeColor="accent2"/>
        </w:tcBorders>
      </w:tcPr>
    </w:tblStylePr>
    <w:tblStylePr w:type="lastRow">
      <w:rPr>
        <w:b/>
        <w:bCs/>
        <w:color w:val="FFFFFF" w:themeColor="text2"/>
      </w:rPr>
      <w:tblPr/>
      <w:tcPr>
        <w:tcBorders>
          <w:top w:val="single" w:sz="8" w:space="0" w:color="939598" w:themeColor="accent2"/>
          <w:bottom w:val="single" w:sz="8" w:space="0" w:color="939598" w:themeColor="accent2"/>
        </w:tcBorders>
      </w:tcPr>
    </w:tblStylePr>
    <w:tblStylePr w:type="firstCol">
      <w:rPr>
        <w:b/>
        <w:bCs/>
      </w:rPr>
    </w:tblStylePr>
    <w:tblStylePr w:type="lastCol">
      <w:rPr>
        <w:b/>
        <w:bCs/>
      </w:rPr>
      <w:tblPr/>
      <w:tcPr>
        <w:tcBorders>
          <w:top w:val="single" w:sz="8" w:space="0" w:color="939598" w:themeColor="accent2"/>
          <w:bottom w:val="single" w:sz="8" w:space="0" w:color="939598" w:themeColor="accent2"/>
        </w:tcBorders>
      </w:tcPr>
    </w:tblStylePr>
    <w:tblStylePr w:type="band1Vert">
      <w:tblPr/>
      <w:tcPr>
        <w:shd w:val="clear" w:color="auto" w:fill="E4E4E5" w:themeFill="accent2" w:themeFillTint="3F"/>
      </w:tcPr>
    </w:tblStylePr>
    <w:tblStylePr w:type="band1Horz">
      <w:tblPr/>
      <w:tcPr>
        <w:shd w:val="clear" w:color="auto" w:fill="E4E4E5" w:themeFill="accent2" w:themeFillTint="3F"/>
      </w:tcPr>
    </w:tblStylePr>
  </w:style>
  <w:style w:type="table" w:styleId="MediumList1-Accent3">
    <w:name w:val="Medium List 1 Accent 3"/>
    <w:basedOn w:val="TableNormal"/>
    <w:uiPriority w:val="65"/>
    <w:semiHidden/>
    <w:unhideWhenUsed/>
    <w:rsid w:val="00F527CC"/>
    <w:pPr>
      <w:spacing w:after="0" w:line="240" w:lineRule="auto"/>
    </w:pPr>
    <w:rPr>
      <w:color w:val="404040" w:themeColor="text1"/>
    </w:rPr>
    <w:tblPr>
      <w:tblStyleRowBandSize w:val="1"/>
      <w:tblStyleColBandSize w:val="1"/>
      <w:tblBorders>
        <w:top w:val="single" w:sz="8" w:space="0" w:color="636466" w:themeColor="accent3"/>
        <w:bottom w:val="single" w:sz="8" w:space="0" w:color="636466" w:themeColor="accent3"/>
      </w:tblBorders>
    </w:tblPr>
    <w:tblStylePr w:type="firstRow">
      <w:rPr>
        <w:rFonts w:asciiTheme="majorHAnsi" w:eastAsiaTheme="majorEastAsia" w:hAnsiTheme="majorHAnsi" w:cstheme="majorBidi"/>
      </w:rPr>
      <w:tblPr/>
      <w:tcPr>
        <w:tcBorders>
          <w:top w:val="nil"/>
          <w:bottom w:val="single" w:sz="8" w:space="0" w:color="636466" w:themeColor="accent3"/>
        </w:tcBorders>
      </w:tcPr>
    </w:tblStylePr>
    <w:tblStylePr w:type="lastRow">
      <w:rPr>
        <w:b/>
        <w:bCs/>
        <w:color w:val="FFFFFF" w:themeColor="text2"/>
      </w:rPr>
      <w:tblPr/>
      <w:tcPr>
        <w:tcBorders>
          <w:top w:val="single" w:sz="8" w:space="0" w:color="636466" w:themeColor="accent3"/>
          <w:bottom w:val="single" w:sz="8" w:space="0" w:color="636466" w:themeColor="accent3"/>
        </w:tcBorders>
      </w:tcPr>
    </w:tblStylePr>
    <w:tblStylePr w:type="firstCol">
      <w:rPr>
        <w:b/>
        <w:bCs/>
      </w:rPr>
    </w:tblStylePr>
    <w:tblStylePr w:type="lastCol">
      <w:rPr>
        <w:b/>
        <w:bCs/>
      </w:rPr>
      <w:tblPr/>
      <w:tcPr>
        <w:tcBorders>
          <w:top w:val="single" w:sz="8" w:space="0" w:color="636466" w:themeColor="accent3"/>
          <w:bottom w:val="single" w:sz="8" w:space="0" w:color="636466" w:themeColor="accent3"/>
        </w:tcBorders>
      </w:tcPr>
    </w:tblStylePr>
    <w:tblStylePr w:type="band1Vert">
      <w:tblPr/>
      <w:tcPr>
        <w:shd w:val="clear" w:color="auto" w:fill="D8D8D9" w:themeFill="accent3" w:themeFillTint="3F"/>
      </w:tcPr>
    </w:tblStylePr>
    <w:tblStylePr w:type="band1Horz">
      <w:tblPr/>
      <w:tcPr>
        <w:shd w:val="clear" w:color="auto" w:fill="D8D8D9" w:themeFill="accent3" w:themeFillTint="3F"/>
      </w:tcPr>
    </w:tblStylePr>
  </w:style>
  <w:style w:type="table" w:styleId="MediumList1-Accent4">
    <w:name w:val="Medium List 1 Accent 4"/>
    <w:basedOn w:val="TableNormal"/>
    <w:uiPriority w:val="65"/>
    <w:semiHidden/>
    <w:unhideWhenUsed/>
    <w:rsid w:val="00F527CC"/>
    <w:pPr>
      <w:spacing w:after="0" w:line="240" w:lineRule="auto"/>
    </w:pPr>
    <w:rPr>
      <w:color w:val="404040" w:themeColor="text1"/>
    </w:rPr>
    <w:tblPr>
      <w:tblStyleRowBandSize w:val="1"/>
      <w:tblStyleColBandSize w:val="1"/>
      <w:tblBorders>
        <w:top w:val="single" w:sz="8" w:space="0" w:color="CD202C" w:themeColor="accent4"/>
        <w:bottom w:val="single" w:sz="8" w:space="0" w:color="CD202C" w:themeColor="accent4"/>
      </w:tblBorders>
    </w:tblPr>
    <w:tblStylePr w:type="firstRow">
      <w:rPr>
        <w:rFonts w:asciiTheme="majorHAnsi" w:eastAsiaTheme="majorEastAsia" w:hAnsiTheme="majorHAnsi" w:cstheme="majorBidi"/>
      </w:rPr>
      <w:tblPr/>
      <w:tcPr>
        <w:tcBorders>
          <w:top w:val="nil"/>
          <w:bottom w:val="single" w:sz="8" w:space="0" w:color="CD202C" w:themeColor="accent4"/>
        </w:tcBorders>
      </w:tcPr>
    </w:tblStylePr>
    <w:tblStylePr w:type="lastRow">
      <w:rPr>
        <w:b/>
        <w:bCs/>
        <w:color w:val="FFFFFF" w:themeColor="text2"/>
      </w:rPr>
      <w:tblPr/>
      <w:tcPr>
        <w:tcBorders>
          <w:top w:val="single" w:sz="8" w:space="0" w:color="CD202C" w:themeColor="accent4"/>
          <w:bottom w:val="single" w:sz="8" w:space="0" w:color="CD202C" w:themeColor="accent4"/>
        </w:tcBorders>
      </w:tcPr>
    </w:tblStylePr>
    <w:tblStylePr w:type="firstCol">
      <w:rPr>
        <w:b/>
        <w:bCs/>
      </w:rPr>
    </w:tblStylePr>
    <w:tblStylePr w:type="lastCol">
      <w:rPr>
        <w:b/>
        <w:bCs/>
      </w:rPr>
      <w:tblPr/>
      <w:tcPr>
        <w:tcBorders>
          <w:top w:val="single" w:sz="8" w:space="0" w:color="CD202C" w:themeColor="accent4"/>
          <w:bottom w:val="single" w:sz="8" w:space="0" w:color="CD202C" w:themeColor="accent4"/>
        </w:tcBorders>
      </w:tcPr>
    </w:tblStylePr>
    <w:tblStylePr w:type="band1Vert">
      <w:tblPr/>
      <w:tcPr>
        <w:shd w:val="clear" w:color="auto" w:fill="F6C4C7" w:themeFill="accent4" w:themeFillTint="3F"/>
      </w:tcPr>
    </w:tblStylePr>
    <w:tblStylePr w:type="band1Horz">
      <w:tblPr/>
      <w:tcPr>
        <w:shd w:val="clear" w:color="auto" w:fill="F6C4C7" w:themeFill="accent4" w:themeFillTint="3F"/>
      </w:tcPr>
    </w:tblStylePr>
  </w:style>
  <w:style w:type="table" w:styleId="MediumList1-Accent5">
    <w:name w:val="Medium List 1 Accent 5"/>
    <w:basedOn w:val="TableNormal"/>
    <w:uiPriority w:val="65"/>
    <w:semiHidden/>
    <w:unhideWhenUsed/>
    <w:rsid w:val="00F527CC"/>
    <w:pPr>
      <w:spacing w:after="0" w:line="240" w:lineRule="auto"/>
    </w:pPr>
    <w:rPr>
      <w:color w:val="404040" w:themeColor="text1"/>
    </w:rPr>
    <w:tblPr>
      <w:tblStyleRowBandSize w:val="1"/>
      <w:tblStyleColBandSize w:val="1"/>
      <w:tblBorders>
        <w:top w:val="single" w:sz="8" w:space="0" w:color="0055AA" w:themeColor="accent5"/>
        <w:bottom w:val="single" w:sz="8" w:space="0" w:color="0055AA" w:themeColor="accent5"/>
      </w:tblBorders>
    </w:tblPr>
    <w:tblStylePr w:type="firstRow">
      <w:rPr>
        <w:rFonts w:asciiTheme="majorHAnsi" w:eastAsiaTheme="majorEastAsia" w:hAnsiTheme="majorHAnsi" w:cstheme="majorBidi"/>
      </w:rPr>
      <w:tblPr/>
      <w:tcPr>
        <w:tcBorders>
          <w:top w:val="nil"/>
          <w:bottom w:val="single" w:sz="8" w:space="0" w:color="0055AA" w:themeColor="accent5"/>
        </w:tcBorders>
      </w:tcPr>
    </w:tblStylePr>
    <w:tblStylePr w:type="lastRow">
      <w:rPr>
        <w:b/>
        <w:bCs/>
        <w:color w:val="FFFFFF" w:themeColor="text2"/>
      </w:rPr>
      <w:tblPr/>
      <w:tcPr>
        <w:tcBorders>
          <w:top w:val="single" w:sz="8" w:space="0" w:color="0055AA" w:themeColor="accent5"/>
          <w:bottom w:val="single" w:sz="8" w:space="0" w:color="0055AA" w:themeColor="accent5"/>
        </w:tcBorders>
      </w:tcPr>
    </w:tblStylePr>
    <w:tblStylePr w:type="firstCol">
      <w:rPr>
        <w:b/>
        <w:bCs/>
      </w:rPr>
    </w:tblStylePr>
    <w:tblStylePr w:type="lastCol">
      <w:rPr>
        <w:b/>
        <w:bCs/>
      </w:rPr>
      <w:tblPr/>
      <w:tcPr>
        <w:tcBorders>
          <w:top w:val="single" w:sz="8" w:space="0" w:color="0055AA" w:themeColor="accent5"/>
          <w:bottom w:val="single" w:sz="8" w:space="0" w:color="0055AA" w:themeColor="accent5"/>
        </w:tcBorders>
      </w:tcPr>
    </w:tblStylePr>
    <w:tblStylePr w:type="band1Vert">
      <w:tblPr/>
      <w:tcPr>
        <w:shd w:val="clear" w:color="auto" w:fill="ABD4FF" w:themeFill="accent5" w:themeFillTint="3F"/>
      </w:tcPr>
    </w:tblStylePr>
    <w:tblStylePr w:type="band1Horz">
      <w:tblPr/>
      <w:tcPr>
        <w:shd w:val="clear" w:color="auto" w:fill="ABD4FF" w:themeFill="accent5" w:themeFillTint="3F"/>
      </w:tcPr>
    </w:tblStylePr>
  </w:style>
  <w:style w:type="table" w:styleId="MediumList1-Accent6">
    <w:name w:val="Medium List 1 Accent 6"/>
    <w:basedOn w:val="TableNormal"/>
    <w:uiPriority w:val="65"/>
    <w:semiHidden/>
    <w:unhideWhenUsed/>
    <w:rsid w:val="00F527CC"/>
    <w:pPr>
      <w:spacing w:after="0" w:line="240" w:lineRule="auto"/>
    </w:pPr>
    <w:rPr>
      <w:color w:val="404040" w:themeColor="text1"/>
    </w:rPr>
    <w:tblPr>
      <w:tblStyleRowBandSize w:val="1"/>
      <w:tblStyleColBandSize w:val="1"/>
      <w:tblBorders>
        <w:top w:val="single" w:sz="8" w:space="0" w:color="FFAA22" w:themeColor="accent6"/>
        <w:bottom w:val="single" w:sz="8" w:space="0" w:color="FFAA22" w:themeColor="accent6"/>
      </w:tblBorders>
    </w:tblPr>
    <w:tblStylePr w:type="firstRow">
      <w:rPr>
        <w:rFonts w:asciiTheme="majorHAnsi" w:eastAsiaTheme="majorEastAsia" w:hAnsiTheme="majorHAnsi" w:cstheme="majorBidi"/>
      </w:rPr>
      <w:tblPr/>
      <w:tcPr>
        <w:tcBorders>
          <w:top w:val="nil"/>
          <w:bottom w:val="single" w:sz="8" w:space="0" w:color="FFAA22" w:themeColor="accent6"/>
        </w:tcBorders>
      </w:tcPr>
    </w:tblStylePr>
    <w:tblStylePr w:type="lastRow">
      <w:rPr>
        <w:b/>
        <w:bCs/>
        <w:color w:val="FFFFFF" w:themeColor="text2"/>
      </w:rPr>
      <w:tblPr/>
      <w:tcPr>
        <w:tcBorders>
          <w:top w:val="single" w:sz="8" w:space="0" w:color="FFAA22" w:themeColor="accent6"/>
          <w:bottom w:val="single" w:sz="8" w:space="0" w:color="FFAA22" w:themeColor="accent6"/>
        </w:tcBorders>
      </w:tcPr>
    </w:tblStylePr>
    <w:tblStylePr w:type="firstCol">
      <w:rPr>
        <w:b/>
        <w:bCs/>
      </w:rPr>
    </w:tblStylePr>
    <w:tblStylePr w:type="lastCol">
      <w:rPr>
        <w:b/>
        <w:bCs/>
      </w:rPr>
      <w:tblPr/>
      <w:tcPr>
        <w:tcBorders>
          <w:top w:val="single" w:sz="8" w:space="0" w:color="FFAA22" w:themeColor="accent6"/>
          <w:bottom w:val="single" w:sz="8" w:space="0" w:color="FFAA22" w:themeColor="accent6"/>
        </w:tcBorders>
      </w:tcPr>
    </w:tblStylePr>
    <w:tblStylePr w:type="band1Vert">
      <w:tblPr/>
      <w:tcPr>
        <w:shd w:val="clear" w:color="auto" w:fill="FFE9C8" w:themeFill="accent6" w:themeFillTint="3F"/>
      </w:tcPr>
    </w:tblStylePr>
    <w:tblStylePr w:type="band1Horz">
      <w:tblPr/>
      <w:tcPr>
        <w:shd w:val="clear" w:color="auto" w:fill="FFE9C8" w:themeFill="accent6" w:themeFillTint="3F"/>
      </w:tcPr>
    </w:tblStylePr>
  </w:style>
  <w:style w:type="table" w:styleId="MediumList2">
    <w:name w:val="Medium List 2"/>
    <w:basedOn w:val="TableNormal"/>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404040" w:themeColor="text1"/>
        <w:left w:val="single" w:sz="8" w:space="0" w:color="404040" w:themeColor="text1"/>
        <w:bottom w:val="single" w:sz="8" w:space="0" w:color="404040" w:themeColor="text1"/>
        <w:right w:val="single" w:sz="8" w:space="0" w:color="404040" w:themeColor="text1"/>
      </w:tblBorders>
    </w:tblPr>
    <w:tblStylePr w:type="firstRow">
      <w:rPr>
        <w:sz w:val="24"/>
        <w:szCs w:val="24"/>
      </w:rPr>
      <w:tblPr/>
      <w:tcPr>
        <w:tcBorders>
          <w:top w:val="nil"/>
          <w:left w:val="nil"/>
          <w:bottom w:val="single" w:sz="24" w:space="0" w:color="40404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40" w:themeColor="text1"/>
          <w:insideH w:val="nil"/>
          <w:insideV w:val="nil"/>
        </w:tcBorders>
        <w:shd w:val="clear" w:color="auto" w:fill="FFFFFF" w:themeFill="background1"/>
      </w:tcPr>
    </w:tblStylePr>
    <w:tblStylePr w:type="lastCol">
      <w:tblPr/>
      <w:tcPr>
        <w:tcBorders>
          <w:top w:val="nil"/>
          <w:left w:val="single" w:sz="8" w:space="0" w:color="40404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FCF" w:themeFill="text1" w:themeFillTint="3F"/>
      </w:tcPr>
    </w:tblStylePr>
    <w:tblStylePr w:type="band1Horz">
      <w:tblPr/>
      <w:tcPr>
        <w:tcBorders>
          <w:top w:val="nil"/>
          <w:bottom w:val="nil"/>
          <w:insideH w:val="nil"/>
          <w:insideV w:val="nil"/>
        </w:tcBorders>
        <w:shd w:val="clear" w:color="auto" w:fill="CFCFC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C7C8CA" w:themeColor="accent1"/>
        <w:left w:val="single" w:sz="8" w:space="0" w:color="C7C8CA" w:themeColor="accent1"/>
        <w:bottom w:val="single" w:sz="8" w:space="0" w:color="C7C8CA" w:themeColor="accent1"/>
        <w:right w:val="single" w:sz="8" w:space="0" w:color="C7C8CA" w:themeColor="accent1"/>
      </w:tblBorders>
    </w:tblPr>
    <w:tblStylePr w:type="firstRow">
      <w:rPr>
        <w:sz w:val="24"/>
        <w:szCs w:val="24"/>
      </w:rPr>
      <w:tblPr/>
      <w:tcPr>
        <w:tcBorders>
          <w:top w:val="nil"/>
          <w:left w:val="nil"/>
          <w:bottom w:val="single" w:sz="24" w:space="0" w:color="C7C8C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8CA" w:themeColor="accent1"/>
          <w:insideH w:val="nil"/>
          <w:insideV w:val="nil"/>
        </w:tcBorders>
        <w:shd w:val="clear" w:color="auto" w:fill="FFFFFF" w:themeFill="background1"/>
      </w:tcPr>
    </w:tblStylePr>
    <w:tblStylePr w:type="lastCol">
      <w:tblPr/>
      <w:tcPr>
        <w:tcBorders>
          <w:top w:val="nil"/>
          <w:left w:val="single" w:sz="8" w:space="0" w:color="C7C8C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2" w:themeFill="accent1" w:themeFillTint="3F"/>
      </w:tcPr>
    </w:tblStylePr>
    <w:tblStylePr w:type="band1Horz">
      <w:tblPr/>
      <w:tcPr>
        <w:tcBorders>
          <w:top w:val="nil"/>
          <w:bottom w:val="nil"/>
          <w:insideH w:val="nil"/>
          <w:insideV w:val="nil"/>
        </w:tcBorders>
        <w:shd w:val="clear" w:color="auto" w:fill="F1F1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939598" w:themeColor="accent2"/>
        <w:left w:val="single" w:sz="8" w:space="0" w:color="939598" w:themeColor="accent2"/>
        <w:bottom w:val="single" w:sz="8" w:space="0" w:color="939598" w:themeColor="accent2"/>
        <w:right w:val="single" w:sz="8" w:space="0" w:color="939598" w:themeColor="accent2"/>
      </w:tblBorders>
    </w:tblPr>
    <w:tblStylePr w:type="firstRow">
      <w:rPr>
        <w:sz w:val="24"/>
        <w:szCs w:val="24"/>
      </w:rPr>
      <w:tblPr/>
      <w:tcPr>
        <w:tcBorders>
          <w:top w:val="nil"/>
          <w:left w:val="nil"/>
          <w:bottom w:val="single" w:sz="24" w:space="0" w:color="93959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9598" w:themeColor="accent2"/>
          <w:insideH w:val="nil"/>
          <w:insideV w:val="nil"/>
        </w:tcBorders>
        <w:shd w:val="clear" w:color="auto" w:fill="FFFFFF" w:themeFill="background1"/>
      </w:tcPr>
    </w:tblStylePr>
    <w:tblStylePr w:type="lastCol">
      <w:tblPr/>
      <w:tcPr>
        <w:tcBorders>
          <w:top w:val="nil"/>
          <w:left w:val="single" w:sz="8" w:space="0" w:color="93959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4E5" w:themeFill="accent2" w:themeFillTint="3F"/>
      </w:tcPr>
    </w:tblStylePr>
    <w:tblStylePr w:type="band1Horz">
      <w:tblPr/>
      <w:tcPr>
        <w:tcBorders>
          <w:top w:val="nil"/>
          <w:bottom w:val="nil"/>
          <w:insideH w:val="nil"/>
          <w:insideV w:val="nil"/>
        </w:tcBorders>
        <w:shd w:val="clear" w:color="auto" w:fill="E4E4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636466" w:themeColor="accent3"/>
        <w:left w:val="single" w:sz="8" w:space="0" w:color="636466" w:themeColor="accent3"/>
        <w:bottom w:val="single" w:sz="8" w:space="0" w:color="636466" w:themeColor="accent3"/>
        <w:right w:val="single" w:sz="8" w:space="0" w:color="636466" w:themeColor="accent3"/>
      </w:tblBorders>
    </w:tblPr>
    <w:tblStylePr w:type="firstRow">
      <w:rPr>
        <w:sz w:val="24"/>
        <w:szCs w:val="24"/>
      </w:rPr>
      <w:tblPr/>
      <w:tcPr>
        <w:tcBorders>
          <w:top w:val="nil"/>
          <w:left w:val="nil"/>
          <w:bottom w:val="single" w:sz="24" w:space="0" w:color="63646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6466" w:themeColor="accent3"/>
          <w:insideH w:val="nil"/>
          <w:insideV w:val="nil"/>
        </w:tcBorders>
        <w:shd w:val="clear" w:color="auto" w:fill="FFFFFF" w:themeFill="background1"/>
      </w:tcPr>
    </w:tblStylePr>
    <w:tblStylePr w:type="lastCol">
      <w:tblPr/>
      <w:tcPr>
        <w:tcBorders>
          <w:top w:val="nil"/>
          <w:left w:val="single" w:sz="8" w:space="0" w:color="63646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8D9" w:themeFill="accent3" w:themeFillTint="3F"/>
      </w:tcPr>
    </w:tblStylePr>
    <w:tblStylePr w:type="band1Horz">
      <w:tblPr/>
      <w:tcPr>
        <w:tcBorders>
          <w:top w:val="nil"/>
          <w:bottom w:val="nil"/>
          <w:insideH w:val="nil"/>
          <w:insideV w:val="nil"/>
        </w:tcBorders>
        <w:shd w:val="clear" w:color="auto" w:fill="D8D8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CD202C" w:themeColor="accent4"/>
        <w:left w:val="single" w:sz="8" w:space="0" w:color="CD202C" w:themeColor="accent4"/>
        <w:bottom w:val="single" w:sz="8" w:space="0" w:color="CD202C" w:themeColor="accent4"/>
        <w:right w:val="single" w:sz="8" w:space="0" w:color="CD202C" w:themeColor="accent4"/>
      </w:tblBorders>
    </w:tblPr>
    <w:tblStylePr w:type="firstRow">
      <w:rPr>
        <w:sz w:val="24"/>
        <w:szCs w:val="24"/>
      </w:rPr>
      <w:tblPr/>
      <w:tcPr>
        <w:tcBorders>
          <w:top w:val="nil"/>
          <w:left w:val="nil"/>
          <w:bottom w:val="single" w:sz="24" w:space="0" w:color="CD202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202C" w:themeColor="accent4"/>
          <w:insideH w:val="nil"/>
          <w:insideV w:val="nil"/>
        </w:tcBorders>
        <w:shd w:val="clear" w:color="auto" w:fill="FFFFFF" w:themeFill="background1"/>
      </w:tcPr>
    </w:tblStylePr>
    <w:tblStylePr w:type="lastCol">
      <w:tblPr/>
      <w:tcPr>
        <w:tcBorders>
          <w:top w:val="nil"/>
          <w:left w:val="single" w:sz="8" w:space="0" w:color="CD202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C4C7" w:themeFill="accent4" w:themeFillTint="3F"/>
      </w:tcPr>
    </w:tblStylePr>
    <w:tblStylePr w:type="band1Horz">
      <w:tblPr/>
      <w:tcPr>
        <w:tcBorders>
          <w:top w:val="nil"/>
          <w:bottom w:val="nil"/>
          <w:insideH w:val="nil"/>
          <w:insideV w:val="nil"/>
        </w:tcBorders>
        <w:shd w:val="clear" w:color="auto" w:fill="F6C4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0055AA" w:themeColor="accent5"/>
        <w:left w:val="single" w:sz="8" w:space="0" w:color="0055AA" w:themeColor="accent5"/>
        <w:bottom w:val="single" w:sz="8" w:space="0" w:color="0055AA" w:themeColor="accent5"/>
        <w:right w:val="single" w:sz="8" w:space="0" w:color="0055AA" w:themeColor="accent5"/>
      </w:tblBorders>
    </w:tblPr>
    <w:tblStylePr w:type="firstRow">
      <w:rPr>
        <w:sz w:val="24"/>
        <w:szCs w:val="24"/>
      </w:rPr>
      <w:tblPr/>
      <w:tcPr>
        <w:tcBorders>
          <w:top w:val="nil"/>
          <w:left w:val="nil"/>
          <w:bottom w:val="single" w:sz="24" w:space="0" w:color="0055A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5AA" w:themeColor="accent5"/>
          <w:insideH w:val="nil"/>
          <w:insideV w:val="nil"/>
        </w:tcBorders>
        <w:shd w:val="clear" w:color="auto" w:fill="FFFFFF" w:themeFill="background1"/>
      </w:tcPr>
    </w:tblStylePr>
    <w:tblStylePr w:type="lastCol">
      <w:tblPr/>
      <w:tcPr>
        <w:tcBorders>
          <w:top w:val="nil"/>
          <w:left w:val="single" w:sz="8" w:space="0" w:color="0055A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D4FF" w:themeFill="accent5" w:themeFillTint="3F"/>
      </w:tcPr>
    </w:tblStylePr>
    <w:tblStylePr w:type="band1Horz">
      <w:tblPr/>
      <w:tcPr>
        <w:tcBorders>
          <w:top w:val="nil"/>
          <w:bottom w:val="nil"/>
          <w:insideH w:val="nil"/>
          <w:insideV w:val="nil"/>
        </w:tcBorders>
        <w:shd w:val="clear" w:color="auto" w:fill="ABD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FFAA22" w:themeColor="accent6"/>
        <w:left w:val="single" w:sz="8" w:space="0" w:color="FFAA22" w:themeColor="accent6"/>
        <w:bottom w:val="single" w:sz="8" w:space="0" w:color="FFAA22" w:themeColor="accent6"/>
        <w:right w:val="single" w:sz="8" w:space="0" w:color="FFAA22" w:themeColor="accent6"/>
      </w:tblBorders>
    </w:tblPr>
    <w:tblStylePr w:type="firstRow">
      <w:rPr>
        <w:sz w:val="24"/>
        <w:szCs w:val="24"/>
      </w:rPr>
      <w:tblPr/>
      <w:tcPr>
        <w:tcBorders>
          <w:top w:val="nil"/>
          <w:left w:val="nil"/>
          <w:bottom w:val="single" w:sz="24" w:space="0" w:color="FFAA2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A22" w:themeColor="accent6"/>
          <w:insideH w:val="nil"/>
          <w:insideV w:val="nil"/>
        </w:tcBorders>
        <w:shd w:val="clear" w:color="auto" w:fill="FFFFFF" w:themeFill="background1"/>
      </w:tcPr>
    </w:tblStylePr>
    <w:tblStylePr w:type="lastCol">
      <w:tblPr/>
      <w:tcPr>
        <w:tcBorders>
          <w:top w:val="nil"/>
          <w:left w:val="single" w:sz="8" w:space="0" w:color="FFAA2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9C8" w:themeFill="accent6" w:themeFillTint="3F"/>
      </w:tcPr>
    </w:tblStylePr>
    <w:tblStylePr w:type="band1Horz">
      <w:tblPr/>
      <w:tcPr>
        <w:tcBorders>
          <w:top w:val="nil"/>
          <w:bottom w:val="nil"/>
          <w:insideH w:val="nil"/>
          <w:insideV w:val="nil"/>
        </w:tcBorders>
        <w:shd w:val="clear" w:color="auto" w:fill="FFE9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527CC"/>
    <w:pPr>
      <w:spacing w:after="0" w:line="240" w:lineRule="auto"/>
    </w:pPr>
    <w:tblPr>
      <w:tblStyleRowBandSize w:val="1"/>
      <w:tblStyleColBandSize w:val="1"/>
      <w:tblBorders>
        <w:top w:val="single" w:sz="8" w:space="0" w:color="6F6F6F" w:themeColor="text1" w:themeTint="BF"/>
        <w:left w:val="single" w:sz="8" w:space="0" w:color="6F6F6F" w:themeColor="text1" w:themeTint="BF"/>
        <w:bottom w:val="single" w:sz="8" w:space="0" w:color="6F6F6F" w:themeColor="text1" w:themeTint="BF"/>
        <w:right w:val="single" w:sz="8" w:space="0" w:color="6F6F6F" w:themeColor="text1" w:themeTint="BF"/>
        <w:insideH w:val="single" w:sz="8" w:space="0" w:color="6F6F6F" w:themeColor="text1" w:themeTint="BF"/>
      </w:tblBorders>
    </w:tblPr>
    <w:tblStylePr w:type="firstRow">
      <w:pPr>
        <w:spacing w:before="0" w:after="0" w:line="240" w:lineRule="auto"/>
      </w:pPr>
      <w:rPr>
        <w:b/>
        <w:bCs/>
        <w:color w:val="FFFFFF" w:themeColor="background1"/>
      </w:rPr>
      <w:tblPr/>
      <w:tcPr>
        <w:tcBorders>
          <w:top w:val="single" w:sz="8" w:space="0" w:color="6F6F6F" w:themeColor="text1" w:themeTint="BF"/>
          <w:left w:val="single" w:sz="8" w:space="0" w:color="6F6F6F" w:themeColor="text1" w:themeTint="BF"/>
          <w:bottom w:val="single" w:sz="8" w:space="0" w:color="6F6F6F" w:themeColor="text1" w:themeTint="BF"/>
          <w:right w:val="single" w:sz="8" w:space="0" w:color="6F6F6F" w:themeColor="text1" w:themeTint="BF"/>
          <w:insideH w:val="nil"/>
          <w:insideV w:val="nil"/>
        </w:tcBorders>
        <w:shd w:val="clear" w:color="auto" w:fill="404040" w:themeFill="text1"/>
      </w:tcPr>
    </w:tblStylePr>
    <w:tblStylePr w:type="lastRow">
      <w:pPr>
        <w:spacing w:before="0" w:after="0" w:line="240" w:lineRule="auto"/>
      </w:pPr>
      <w:rPr>
        <w:b/>
        <w:bCs/>
      </w:rPr>
      <w:tblPr/>
      <w:tcPr>
        <w:tcBorders>
          <w:top w:val="double" w:sz="6" w:space="0" w:color="6F6F6F" w:themeColor="text1" w:themeTint="BF"/>
          <w:left w:val="single" w:sz="8" w:space="0" w:color="6F6F6F" w:themeColor="text1" w:themeTint="BF"/>
          <w:bottom w:val="single" w:sz="8" w:space="0" w:color="6F6F6F" w:themeColor="text1" w:themeTint="BF"/>
          <w:right w:val="single" w:sz="8" w:space="0" w:color="6F6F6F" w:themeColor="text1" w:themeTint="BF"/>
          <w:insideH w:val="nil"/>
          <w:insideV w:val="nil"/>
        </w:tcBorders>
      </w:tcPr>
    </w:tblStylePr>
    <w:tblStylePr w:type="firstCol">
      <w:rPr>
        <w:b/>
        <w:bCs/>
      </w:rPr>
    </w:tblStylePr>
    <w:tblStylePr w:type="lastCol">
      <w:rPr>
        <w:b/>
        <w:bCs/>
      </w:rPr>
    </w:tblStylePr>
    <w:tblStylePr w:type="band1Vert">
      <w:tblPr/>
      <w:tcPr>
        <w:shd w:val="clear" w:color="auto" w:fill="CFCFCF" w:themeFill="text1" w:themeFillTint="3F"/>
      </w:tcPr>
    </w:tblStylePr>
    <w:tblStylePr w:type="band1Horz">
      <w:tblPr/>
      <w:tcPr>
        <w:tcBorders>
          <w:insideH w:val="nil"/>
          <w:insideV w:val="nil"/>
        </w:tcBorders>
        <w:shd w:val="clear" w:color="auto" w:fill="CFCFCF"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527CC"/>
    <w:pPr>
      <w:spacing w:after="0" w:line="240" w:lineRule="auto"/>
    </w:pPr>
    <w:tblPr>
      <w:tblStyleRowBandSize w:val="1"/>
      <w:tblStyleColBandSize w:val="1"/>
      <w:tblBorders>
        <w:top w:val="single" w:sz="8" w:space="0" w:color="D5D5D7" w:themeColor="accent1" w:themeTint="BF"/>
        <w:left w:val="single" w:sz="8" w:space="0" w:color="D5D5D7" w:themeColor="accent1" w:themeTint="BF"/>
        <w:bottom w:val="single" w:sz="8" w:space="0" w:color="D5D5D7" w:themeColor="accent1" w:themeTint="BF"/>
        <w:right w:val="single" w:sz="8" w:space="0" w:color="D5D5D7" w:themeColor="accent1" w:themeTint="BF"/>
        <w:insideH w:val="single" w:sz="8" w:space="0" w:color="D5D5D7" w:themeColor="accent1" w:themeTint="BF"/>
      </w:tblBorders>
    </w:tblPr>
    <w:tblStylePr w:type="firstRow">
      <w:pPr>
        <w:spacing w:before="0" w:after="0" w:line="240" w:lineRule="auto"/>
      </w:pPr>
      <w:rPr>
        <w:b/>
        <w:bCs/>
        <w:color w:val="FFFFFF" w:themeColor="background1"/>
      </w:rPr>
      <w:tblPr/>
      <w:tcPr>
        <w:tcBorders>
          <w:top w:val="single" w:sz="8" w:space="0" w:color="D5D5D7" w:themeColor="accent1" w:themeTint="BF"/>
          <w:left w:val="single" w:sz="8" w:space="0" w:color="D5D5D7" w:themeColor="accent1" w:themeTint="BF"/>
          <w:bottom w:val="single" w:sz="8" w:space="0" w:color="D5D5D7" w:themeColor="accent1" w:themeTint="BF"/>
          <w:right w:val="single" w:sz="8" w:space="0" w:color="D5D5D7" w:themeColor="accent1" w:themeTint="BF"/>
          <w:insideH w:val="nil"/>
          <w:insideV w:val="nil"/>
        </w:tcBorders>
        <w:shd w:val="clear" w:color="auto" w:fill="C7C8CA" w:themeFill="accent1"/>
      </w:tcPr>
    </w:tblStylePr>
    <w:tblStylePr w:type="lastRow">
      <w:pPr>
        <w:spacing w:before="0" w:after="0" w:line="240" w:lineRule="auto"/>
      </w:pPr>
      <w:rPr>
        <w:b/>
        <w:bCs/>
      </w:rPr>
      <w:tblPr/>
      <w:tcPr>
        <w:tcBorders>
          <w:top w:val="double" w:sz="6" w:space="0" w:color="D5D5D7" w:themeColor="accent1" w:themeTint="BF"/>
          <w:left w:val="single" w:sz="8" w:space="0" w:color="D5D5D7" w:themeColor="accent1" w:themeTint="BF"/>
          <w:bottom w:val="single" w:sz="8" w:space="0" w:color="D5D5D7" w:themeColor="accent1" w:themeTint="BF"/>
          <w:right w:val="single" w:sz="8" w:space="0" w:color="D5D5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F1F2" w:themeFill="accent1" w:themeFillTint="3F"/>
      </w:tcPr>
    </w:tblStylePr>
    <w:tblStylePr w:type="band1Horz">
      <w:tblPr/>
      <w:tcPr>
        <w:tcBorders>
          <w:insideH w:val="nil"/>
          <w:insideV w:val="nil"/>
        </w:tcBorders>
        <w:shd w:val="clear" w:color="auto" w:fill="F1F1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527CC"/>
    <w:pPr>
      <w:spacing w:after="0" w:line="240" w:lineRule="auto"/>
    </w:pPr>
    <w:tblPr>
      <w:tblStyleRowBandSize w:val="1"/>
      <w:tblStyleColBandSize w:val="1"/>
      <w:tblBorders>
        <w:top w:val="single" w:sz="8" w:space="0" w:color="ADAFB1" w:themeColor="accent2" w:themeTint="BF"/>
        <w:left w:val="single" w:sz="8" w:space="0" w:color="ADAFB1" w:themeColor="accent2" w:themeTint="BF"/>
        <w:bottom w:val="single" w:sz="8" w:space="0" w:color="ADAFB1" w:themeColor="accent2" w:themeTint="BF"/>
        <w:right w:val="single" w:sz="8" w:space="0" w:color="ADAFB1" w:themeColor="accent2" w:themeTint="BF"/>
        <w:insideH w:val="single" w:sz="8" w:space="0" w:color="ADAFB1" w:themeColor="accent2" w:themeTint="BF"/>
      </w:tblBorders>
    </w:tblPr>
    <w:tblStylePr w:type="firstRow">
      <w:pPr>
        <w:spacing w:before="0" w:after="0" w:line="240" w:lineRule="auto"/>
      </w:pPr>
      <w:rPr>
        <w:b/>
        <w:bCs/>
        <w:color w:val="FFFFFF" w:themeColor="background1"/>
      </w:rPr>
      <w:tblPr/>
      <w:tcPr>
        <w:tcBorders>
          <w:top w:val="single" w:sz="8" w:space="0" w:color="ADAFB1" w:themeColor="accent2" w:themeTint="BF"/>
          <w:left w:val="single" w:sz="8" w:space="0" w:color="ADAFB1" w:themeColor="accent2" w:themeTint="BF"/>
          <w:bottom w:val="single" w:sz="8" w:space="0" w:color="ADAFB1" w:themeColor="accent2" w:themeTint="BF"/>
          <w:right w:val="single" w:sz="8" w:space="0" w:color="ADAFB1" w:themeColor="accent2" w:themeTint="BF"/>
          <w:insideH w:val="nil"/>
          <w:insideV w:val="nil"/>
        </w:tcBorders>
        <w:shd w:val="clear" w:color="auto" w:fill="939598" w:themeFill="accent2"/>
      </w:tcPr>
    </w:tblStylePr>
    <w:tblStylePr w:type="lastRow">
      <w:pPr>
        <w:spacing w:before="0" w:after="0" w:line="240" w:lineRule="auto"/>
      </w:pPr>
      <w:rPr>
        <w:b/>
        <w:bCs/>
      </w:rPr>
      <w:tblPr/>
      <w:tcPr>
        <w:tcBorders>
          <w:top w:val="double" w:sz="6" w:space="0" w:color="ADAFB1" w:themeColor="accent2" w:themeTint="BF"/>
          <w:left w:val="single" w:sz="8" w:space="0" w:color="ADAFB1" w:themeColor="accent2" w:themeTint="BF"/>
          <w:bottom w:val="single" w:sz="8" w:space="0" w:color="ADAFB1" w:themeColor="accent2" w:themeTint="BF"/>
          <w:right w:val="single" w:sz="8" w:space="0" w:color="ADAFB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4E4E5" w:themeFill="accent2" w:themeFillTint="3F"/>
      </w:tcPr>
    </w:tblStylePr>
    <w:tblStylePr w:type="band1Horz">
      <w:tblPr/>
      <w:tcPr>
        <w:tcBorders>
          <w:insideH w:val="nil"/>
          <w:insideV w:val="nil"/>
        </w:tcBorders>
        <w:shd w:val="clear" w:color="auto" w:fill="E4E4E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527CC"/>
    <w:pPr>
      <w:spacing w:after="0" w:line="240" w:lineRule="auto"/>
    </w:pPr>
    <w:tblPr>
      <w:tblStyleRowBandSize w:val="1"/>
      <w:tblStyleColBandSize w:val="1"/>
      <w:tblBorders>
        <w:top w:val="single" w:sz="8" w:space="0" w:color="898A8C" w:themeColor="accent3" w:themeTint="BF"/>
        <w:left w:val="single" w:sz="8" w:space="0" w:color="898A8C" w:themeColor="accent3" w:themeTint="BF"/>
        <w:bottom w:val="single" w:sz="8" w:space="0" w:color="898A8C" w:themeColor="accent3" w:themeTint="BF"/>
        <w:right w:val="single" w:sz="8" w:space="0" w:color="898A8C" w:themeColor="accent3" w:themeTint="BF"/>
        <w:insideH w:val="single" w:sz="8" w:space="0" w:color="898A8C" w:themeColor="accent3" w:themeTint="BF"/>
      </w:tblBorders>
    </w:tblPr>
    <w:tblStylePr w:type="firstRow">
      <w:pPr>
        <w:spacing w:before="0" w:after="0" w:line="240" w:lineRule="auto"/>
      </w:pPr>
      <w:rPr>
        <w:b/>
        <w:bCs/>
        <w:color w:val="FFFFFF" w:themeColor="background1"/>
      </w:rPr>
      <w:tblPr/>
      <w:tcPr>
        <w:tcBorders>
          <w:top w:val="single" w:sz="8" w:space="0" w:color="898A8C" w:themeColor="accent3" w:themeTint="BF"/>
          <w:left w:val="single" w:sz="8" w:space="0" w:color="898A8C" w:themeColor="accent3" w:themeTint="BF"/>
          <w:bottom w:val="single" w:sz="8" w:space="0" w:color="898A8C" w:themeColor="accent3" w:themeTint="BF"/>
          <w:right w:val="single" w:sz="8" w:space="0" w:color="898A8C" w:themeColor="accent3" w:themeTint="BF"/>
          <w:insideH w:val="nil"/>
          <w:insideV w:val="nil"/>
        </w:tcBorders>
        <w:shd w:val="clear" w:color="auto" w:fill="636466" w:themeFill="accent3"/>
      </w:tcPr>
    </w:tblStylePr>
    <w:tblStylePr w:type="lastRow">
      <w:pPr>
        <w:spacing w:before="0" w:after="0" w:line="240" w:lineRule="auto"/>
      </w:pPr>
      <w:rPr>
        <w:b/>
        <w:bCs/>
      </w:rPr>
      <w:tblPr/>
      <w:tcPr>
        <w:tcBorders>
          <w:top w:val="double" w:sz="6" w:space="0" w:color="898A8C" w:themeColor="accent3" w:themeTint="BF"/>
          <w:left w:val="single" w:sz="8" w:space="0" w:color="898A8C" w:themeColor="accent3" w:themeTint="BF"/>
          <w:bottom w:val="single" w:sz="8" w:space="0" w:color="898A8C" w:themeColor="accent3" w:themeTint="BF"/>
          <w:right w:val="single" w:sz="8" w:space="0" w:color="898A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D8D9" w:themeFill="accent3" w:themeFillTint="3F"/>
      </w:tcPr>
    </w:tblStylePr>
    <w:tblStylePr w:type="band1Horz">
      <w:tblPr/>
      <w:tcPr>
        <w:tcBorders>
          <w:insideH w:val="nil"/>
          <w:insideV w:val="nil"/>
        </w:tcBorders>
        <w:shd w:val="clear" w:color="auto" w:fill="D8D8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527CC"/>
    <w:pPr>
      <w:spacing w:after="0" w:line="240" w:lineRule="auto"/>
    </w:pPr>
    <w:tblPr>
      <w:tblStyleRowBandSize w:val="1"/>
      <w:tblStyleColBandSize w:val="1"/>
      <w:tblBorders>
        <w:top w:val="single" w:sz="8" w:space="0" w:color="E34E57" w:themeColor="accent4" w:themeTint="BF"/>
        <w:left w:val="single" w:sz="8" w:space="0" w:color="E34E57" w:themeColor="accent4" w:themeTint="BF"/>
        <w:bottom w:val="single" w:sz="8" w:space="0" w:color="E34E57" w:themeColor="accent4" w:themeTint="BF"/>
        <w:right w:val="single" w:sz="8" w:space="0" w:color="E34E57" w:themeColor="accent4" w:themeTint="BF"/>
        <w:insideH w:val="single" w:sz="8" w:space="0" w:color="E34E57" w:themeColor="accent4" w:themeTint="BF"/>
      </w:tblBorders>
    </w:tblPr>
    <w:tblStylePr w:type="firstRow">
      <w:pPr>
        <w:spacing w:before="0" w:after="0" w:line="240" w:lineRule="auto"/>
      </w:pPr>
      <w:rPr>
        <w:b/>
        <w:bCs/>
        <w:color w:val="FFFFFF" w:themeColor="background1"/>
      </w:rPr>
      <w:tblPr/>
      <w:tcPr>
        <w:tcBorders>
          <w:top w:val="single" w:sz="8" w:space="0" w:color="E34E57" w:themeColor="accent4" w:themeTint="BF"/>
          <w:left w:val="single" w:sz="8" w:space="0" w:color="E34E57" w:themeColor="accent4" w:themeTint="BF"/>
          <w:bottom w:val="single" w:sz="8" w:space="0" w:color="E34E57" w:themeColor="accent4" w:themeTint="BF"/>
          <w:right w:val="single" w:sz="8" w:space="0" w:color="E34E57" w:themeColor="accent4" w:themeTint="BF"/>
          <w:insideH w:val="nil"/>
          <w:insideV w:val="nil"/>
        </w:tcBorders>
        <w:shd w:val="clear" w:color="auto" w:fill="CD202C" w:themeFill="accent4"/>
      </w:tcPr>
    </w:tblStylePr>
    <w:tblStylePr w:type="lastRow">
      <w:pPr>
        <w:spacing w:before="0" w:after="0" w:line="240" w:lineRule="auto"/>
      </w:pPr>
      <w:rPr>
        <w:b/>
        <w:bCs/>
      </w:rPr>
      <w:tblPr/>
      <w:tcPr>
        <w:tcBorders>
          <w:top w:val="double" w:sz="6" w:space="0" w:color="E34E57" w:themeColor="accent4" w:themeTint="BF"/>
          <w:left w:val="single" w:sz="8" w:space="0" w:color="E34E57" w:themeColor="accent4" w:themeTint="BF"/>
          <w:bottom w:val="single" w:sz="8" w:space="0" w:color="E34E57" w:themeColor="accent4" w:themeTint="BF"/>
          <w:right w:val="single" w:sz="8" w:space="0" w:color="E34E5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6C4C7" w:themeFill="accent4" w:themeFillTint="3F"/>
      </w:tcPr>
    </w:tblStylePr>
    <w:tblStylePr w:type="band1Horz">
      <w:tblPr/>
      <w:tcPr>
        <w:tcBorders>
          <w:insideH w:val="nil"/>
          <w:insideV w:val="nil"/>
        </w:tcBorders>
        <w:shd w:val="clear" w:color="auto" w:fill="F6C4C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527CC"/>
    <w:pPr>
      <w:spacing w:after="0" w:line="240" w:lineRule="auto"/>
    </w:pPr>
    <w:tblPr>
      <w:tblStyleRowBandSize w:val="1"/>
      <w:tblStyleColBandSize w:val="1"/>
      <w:tblBorders>
        <w:top w:val="single" w:sz="8" w:space="0" w:color="007FFF" w:themeColor="accent5" w:themeTint="BF"/>
        <w:left w:val="single" w:sz="8" w:space="0" w:color="007FFF" w:themeColor="accent5" w:themeTint="BF"/>
        <w:bottom w:val="single" w:sz="8" w:space="0" w:color="007FFF" w:themeColor="accent5" w:themeTint="BF"/>
        <w:right w:val="single" w:sz="8" w:space="0" w:color="007FFF" w:themeColor="accent5" w:themeTint="BF"/>
        <w:insideH w:val="single" w:sz="8" w:space="0" w:color="007FFF" w:themeColor="accent5" w:themeTint="BF"/>
      </w:tblBorders>
    </w:tblPr>
    <w:tblStylePr w:type="firstRow">
      <w:pPr>
        <w:spacing w:before="0" w:after="0" w:line="240" w:lineRule="auto"/>
      </w:pPr>
      <w:rPr>
        <w:b/>
        <w:bCs/>
        <w:color w:val="FFFFFF" w:themeColor="background1"/>
      </w:rPr>
      <w:tblPr/>
      <w:tcPr>
        <w:tcBorders>
          <w:top w:val="single" w:sz="8" w:space="0" w:color="007FFF" w:themeColor="accent5" w:themeTint="BF"/>
          <w:left w:val="single" w:sz="8" w:space="0" w:color="007FFF" w:themeColor="accent5" w:themeTint="BF"/>
          <w:bottom w:val="single" w:sz="8" w:space="0" w:color="007FFF" w:themeColor="accent5" w:themeTint="BF"/>
          <w:right w:val="single" w:sz="8" w:space="0" w:color="007FFF" w:themeColor="accent5" w:themeTint="BF"/>
          <w:insideH w:val="nil"/>
          <w:insideV w:val="nil"/>
        </w:tcBorders>
        <w:shd w:val="clear" w:color="auto" w:fill="0055AA" w:themeFill="accent5"/>
      </w:tcPr>
    </w:tblStylePr>
    <w:tblStylePr w:type="lastRow">
      <w:pPr>
        <w:spacing w:before="0" w:after="0" w:line="240" w:lineRule="auto"/>
      </w:pPr>
      <w:rPr>
        <w:b/>
        <w:bCs/>
      </w:rPr>
      <w:tblPr/>
      <w:tcPr>
        <w:tcBorders>
          <w:top w:val="double" w:sz="6" w:space="0" w:color="007FFF" w:themeColor="accent5" w:themeTint="BF"/>
          <w:left w:val="single" w:sz="8" w:space="0" w:color="007FFF" w:themeColor="accent5" w:themeTint="BF"/>
          <w:bottom w:val="single" w:sz="8" w:space="0" w:color="007FFF" w:themeColor="accent5" w:themeTint="BF"/>
          <w:right w:val="single" w:sz="8" w:space="0" w:color="007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ABD4FF" w:themeFill="accent5" w:themeFillTint="3F"/>
      </w:tcPr>
    </w:tblStylePr>
    <w:tblStylePr w:type="band1Horz">
      <w:tblPr/>
      <w:tcPr>
        <w:tcBorders>
          <w:insideH w:val="nil"/>
          <w:insideV w:val="nil"/>
        </w:tcBorders>
        <w:shd w:val="clear" w:color="auto" w:fill="ABD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527CC"/>
    <w:pPr>
      <w:spacing w:after="0" w:line="240" w:lineRule="auto"/>
    </w:pPr>
    <w:tblPr>
      <w:tblStyleRowBandSize w:val="1"/>
      <w:tblStyleColBandSize w:val="1"/>
      <w:tblBorders>
        <w:top w:val="single" w:sz="8" w:space="0" w:color="FFBE59" w:themeColor="accent6" w:themeTint="BF"/>
        <w:left w:val="single" w:sz="8" w:space="0" w:color="FFBE59" w:themeColor="accent6" w:themeTint="BF"/>
        <w:bottom w:val="single" w:sz="8" w:space="0" w:color="FFBE59" w:themeColor="accent6" w:themeTint="BF"/>
        <w:right w:val="single" w:sz="8" w:space="0" w:color="FFBE59" w:themeColor="accent6" w:themeTint="BF"/>
        <w:insideH w:val="single" w:sz="8" w:space="0" w:color="FFBE59" w:themeColor="accent6" w:themeTint="BF"/>
      </w:tblBorders>
    </w:tblPr>
    <w:tblStylePr w:type="firstRow">
      <w:pPr>
        <w:spacing w:before="0" w:after="0" w:line="240" w:lineRule="auto"/>
      </w:pPr>
      <w:rPr>
        <w:b/>
        <w:bCs/>
        <w:color w:val="FFFFFF" w:themeColor="background1"/>
      </w:rPr>
      <w:tblPr/>
      <w:tcPr>
        <w:tcBorders>
          <w:top w:val="single" w:sz="8" w:space="0" w:color="FFBE59" w:themeColor="accent6" w:themeTint="BF"/>
          <w:left w:val="single" w:sz="8" w:space="0" w:color="FFBE59" w:themeColor="accent6" w:themeTint="BF"/>
          <w:bottom w:val="single" w:sz="8" w:space="0" w:color="FFBE59" w:themeColor="accent6" w:themeTint="BF"/>
          <w:right w:val="single" w:sz="8" w:space="0" w:color="FFBE59" w:themeColor="accent6" w:themeTint="BF"/>
          <w:insideH w:val="nil"/>
          <w:insideV w:val="nil"/>
        </w:tcBorders>
        <w:shd w:val="clear" w:color="auto" w:fill="FFAA22" w:themeFill="accent6"/>
      </w:tcPr>
    </w:tblStylePr>
    <w:tblStylePr w:type="lastRow">
      <w:pPr>
        <w:spacing w:before="0" w:after="0" w:line="240" w:lineRule="auto"/>
      </w:pPr>
      <w:rPr>
        <w:b/>
        <w:bCs/>
      </w:rPr>
      <w:tblPr/>
      <w:tcPr>
        <w:tcBorders>
          <w:top w:val="double" w:sz="6" w:space="0" w:color="FFBE59" w:themeColor="accent6" w:themeTint="BF"/>
          <w:left w:val="single" w:sz="8" w:space="0" w:color="FFBE59" w:themeColor="accent6" w:themeTint="BF"/>
          <w:bottom w:val="single" w:sz="8" w:space="0" w:color="FFBE59" w:themeColor="accent6" w:themeTint="BF"/>
          <w:right w:val="single" w:sz="8" w:space="0" w:color="FFBE5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9C8" w:themeFill="accent6" w:themeFillTint="3F"/>
      </w:tcPr>
    </w:tblStylePr>
    <w:tblStylePr w:type="band1Horz">
      <w:tblPr/>
      <w:tcPr>
        <w:tcBorders>
          <w:insideH w:val="nil"/>
          <w:insideV w:val="nil"/>
        </w:tcBorders>
        <w:shd w:val="clear" w:color="auto" w:fill="FFE9C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4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04040" w:themeFill="text1"/>
      </w:tcPr>
    </w:tblStylePr>
    <w:tblStylePr w:type="lastCol">
      <w:rPr>
        <w:b/>
        <w:bCs/>
        <w:color w:val="FFFFFF" w:themeColor="background1"/>
      </w:rPr>
      <w:tblPr/>
      <w:tcPr>
        <w:tcBorders>
          <w:left w:val="nil"/>
          <w:right w:val="nil"/>
          <w:insideH w:val="nil"/>
          <w:insideV w:val="nil"/>
        </w:tcBorders>
        <w:shd w:val="clear" w:color="auto" w:fill="40404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7C8C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7C8CA" w:themeFill="accent1"/>
      </w:tcPr>
    </w:tblStylePr>
    <w:tblStylePr w:type="lastCol">
      <w:rPr>
        <w:b/>
        <w:bCs/>
        <w:color w:val="FFFFFF" w:themeColor="background1"/>
      </w:rPr>
      <w:tblPr/>
      <w:tcPr>
        <w:tcBorders>
          <w:left w:val="nil"/>
          <w:right w:val="nil"/>
          <w:insideH w:val="nil"/>
          <w:insideV w:val="nil"/>
        </w:tcBorders>
        <w:shd w:val="clear" w:color="auto" w:fill="C7C8C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959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9598" w:themeFill="accent2"/>
      </w:tcPr>
    </w:tblStylePr>
    <w:tblStylePr w:type="lastCol">
      <w:rPr>
        <w:b/>
        <w:bCs/>
        <w:color w:val="FFFFFF" w:themeColor="background1"/>
      </w:rPr>
      <w:tblPr/>
      <w:tcPr>
        <w:tcBorders>
          <w:left w:val="nil"/>
          <w:right w:val="nil"/>
          <w:insideH w:val="nil"/>
          <w:insideV w:val="nil"/>
        </w:tcBorders>
        <w:shd w:val="clear" w:color="auto" w:fill="93959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646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6466" w:themeFill="accent3"/>
      </w:tcPr>
    </w:tblStylePr>
    <w:tblStylePr w:type="lastCol">
      <w:rPr>
        <w:b/>
        <w:bCs/>
        <w:color w:val="FFFFFF" w:themeColor="background1"/>
      </w:rPr>
      <w:tblPr/>
      <w:tcPr>
        <w:tcBorders>
          <w:left w:val="nil"/>
          <w:right w:val="nil"/>
          <w:insideH w:val="nil"/>
          <w:insideV w:val="nil"/>
        </w:tcBorders>
        <w:shd w:val="clear" w:color="auto" w:fill="63646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20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D202C" w:themeFill="accent4"/>
      </w:tcPr>
    </w:tblStylePr>
    <w:tblStylePr w:type="lastCol">
      <w:rPr>
        <w:b/>
        <w:bCs/>
        <w:color w:val="FFFFFF" w:themeColor="background1"/>
      </w:rPr>
      <w:tblPr/>
      <w:tcPr>
        <w:tcBorders>
          <w:left w:val="nil"/>
          <w:right w:val="nil"/>
          <w:insideH w:val="nil"/>
          <w:insideV w:val="nil"/>
        </w:tcBorders>
        <w:shd w:val="clear" w:color="auto" w:fill="CD20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5A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5AA" w:themeFill="accent5"/>
      </w:tcPr>
    </w:tblStylePr>
    <w:tblStylePr w:type="lastCol">
      <w:rPr>
        <w:b/>
        <w:bCs/>
        <w:color w:val="FFFFFF" w:themeColor="background1"/>
      </w:rPr>
      <w:tblPr/>
      <w:tcPr>
        <w:tcBorders>
          <w:left w:val="nil"/>
          <w:right w:val="nil"/>
          <w:insideH w:val="nil"/>
          <w:insideV w:val="nil"/>
        </w:tcBorders>
        <w:shd w:val="clear" w:color="auto" w:fill="0055A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A2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AA22" w:themeFill="accent6"/>
      </w:tcPr>
    </w:tblStylePr>
    <w:tblStylePr w:type="lastCol">
      <w:rPr>
        <w:b/>
        <w:bCs/>
        <w:color w:val="FFFFFF" w:themeColor="background1"/>
      </w:rPr>
      <w:tblPr/>
      <w:tcPr>
        <w:tcBorders>
          <w:left w:val="nil"/>
          <w:right w:val="nil"/>
          <w:insideH w:val="nil"/>
          <w:insideV w:val="nil"/>
        </w:tcBorders>
        <w:shd w:val="clear" w:color="auto" w:fill="FFAA2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F527C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Arial"/>
      <w:sz w:val="24"/>
      <w:szCs w:val="24"/>
    </w:rPr>
  </w:style>
  <w:style w:type="character" w:customStyle="1" w:styleId="MessageHeaderChar">
    <w:name w:val="Message Header Char"/>
    <w:basedOn w:val="DefaultParagraphFont"/>
    <w:link w:val="MessageHeader"/>
    <w:uiPriority w:val="99"/>
    <w:semiHidden/>
    <w:rsid w:val="00F527CC"/>
    <w:rPr>
      <w:rFonts w:eastAsiaTheme="majorEastAsia" w:cs="Arial"/>
      <w:sz w:val="24"/>
      <w:szCs w:val="24"/>
      <w:shd w:val="pct20" w:color="auto" w:fill="auto"/>
      <w:lang w:val="en-US"/>
    </w:rPr>
  </w:style>
  <w:style w:type="paragraph" w:styleId="NormalWeb">
    <w:name w:val="Normal (Web)"/>
    <w:basedOn w:val="Normal"/>
    <w:uiPriority w:val="99"/>
    <w:unhideWhenUsed/>
    <w:rsid w:val="00F527CC"/>
    <w:rPr>
      <w:rFonts w:ascii="Times New Roman" w:hAnsi="Times New Roman" w:cs="Times New Roman"/>
      <w:sz w:val="24"/>
      <w:szCs w:val="24"/>
    </w:rPr>
  </w:style>
  <w:style w:type="paragraph" w:styleId="NormalIndent">
    <w:name w:val="Normal Indent"/>
    <w:basedOn w:val="Normal"/>
    <w:uiPriority w:val="99"/>
    <w:semiHidden/>
    <w:unhideWhenUsed/>
    <w:rsid w:val="00F527CC"/>
    <w:pPr>
      <w:ind w:left="720"/>
    </w:pPr>
  </w:style>
  <w:style w:type="paragraph" w:styleId="NoteHeading">
    <w:name w:val="Note Heading"/>
    <w:basedOn w:val="Normal"/>
    <w:next w:val="Normal"/>
    <w:link w:val="NoteHeadingChar"/>
    <w:uiPriority w:val="99"/>
    <w:semiHidden/>
    <w:unhideWhenUsed/>
    <w:rsid w:val="00F527CC"/>
    <w:pPr>
      <w:spacing w:after="0" w:line="240" w:lineRule="auto"/>
    </w:pPr>
  </w:style>
  <w:style w:type="character" w:customStyle="1" w:styleId="NoteHeadingChar">
    <w:name w:val="Note Heading Char"/>
    <w:basedOn w:val="DefaultParagraphFont"/>
    <w:link w:val="NoteHeading"/>
    <w:uiPriority w:val="99"/>
    <w:semiHidden/>
    <w:rsid w:val="00F527CC"/>
    <w:rPr>
      <w:lang w:val="en-US"/>
    </w:rPr>
  </w:style>
  <w:style w:type="character" w:styleId="PageNumber">
    <w:name w:val="page number"/>
    <w:basedOn w:val="DefaultParagraphFont"/>
    <w:uiPriority w:val="99"/>
    <w:semiHidden/>
    <w:unhideWhenUsed/>
    <w:rsid w:val="00F527CC"/>
    <w:rPr>
      <w:lang w:val="en-US"/>
    </w:rPr>
  </w:style>
  <w:style w:type="table" w:styleId="PlainTable1">
    <w:name w:val="Plain Table 1"/>
    <w:basedOn w:val="TableNormal"/>
    <w:uiPriority w:val="41"/>
    <w:rsid w:val="00F527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527CC"/>
    <w:pPr>
      <w:spacing w:after="0" w:line="240" w:lineRule="auto"/>
    </w:pPr>
    <w:tblPr>
      <w:tblStyleRowBandSize w:val="1"/>
      <w:tblStyleColBandSize w:val="1"/>
      <w:tblBorders>
        <w:top w:val="single" w:sz="4" w:space="0" w:color="9F9F9F" w:themeColor="text1" w:themeTint="80"/>
        <w:bottom w:val="single" w:sz="4" w:space="0" w:color="9F9F9F" w:themeColor="text1" w:themeTint="80"/>
      </w:tblBorders>
    </w:tblPr>
    <w:tblStylePr w:type="firstRow">
      <w:rPr>
        <w:b/>
        <w:bCs/>
      </w:rPr>
      <w:tblPr/>
      <w:tcPr>
        <w:tcBorders>
          <w:bottom w:val="single" w:sz="4" w:space="0" w:color="9F9F9F" w:themeColor="text1" w:themeTint="80"/>
        </w:tcBorders>
      </w:tcPr>
    </w:tblStylePr>
    <w:tblStylePr w:type="lastRow">
      <w:rPr>
        <w:b/>
        <w:bCs/>
      </w:rPr>
      <w:tblPr/>
      <w:tcPr>
        <w:tcBorders>
          <w:top w:val="single" w:sz="4" w:space="0" w:color="9F9F9F" w:themeColor="text1" w:themeTint="80"/>
        </w:tcBorders>
      </w:tcPr>
    </w:tblStylePr>
    <w:tblStylePr w:type="firstCol">
      <w:rPr>
        <w:b/>
        <w:bCs/>
      </w:rPr>
    </w:tblStylePr>
    <w:tblStylePr w:type="lastCol">
      <w:rPr>
        <w:b/>
        <w:bCs/>
      </w:rPr>
    </w:tblStylePr>
    <w:tblStylePr w:type="band1Vert">
      <w:tblPr/>
      <w:tcPr>
        <w:tcBorders>
          <w:left w:val="single" w:sz="4" w:space="0" w:color="9F9F9F" w:themeColor="text1" w:themeTint="80"/>
          <w:right w:val="single" w:sz="4" w:space="0" w:color="9F9F9F" w:themeColor="text1" w:themeTint="80"/>
        </w:tcBorders>
      </w:tcPr>
    </w:tblStylePr>
    <w:tblStylePr w:type="band2Vert">
      <w:tblPr/>
      <w:tcPr>
        <w:tcBorders>
          <w:left w:val="single" w:sz="4" w:space="0" w:color="9F9F9F" w:themeColor="text1" w:themeTint="80"/>
          <w:right w:val="single" w:sz="4" w:space="0" w:color="9F9F9F" w:themeColor="text1" w:themeTint="80"/>
        </w:tcBorders>
      </w:tcPr>
    </w:tblStylePr>
    <w:tblStylePr w:type="band1Horz">
      <w:tblPr/>
      <w:tcPr>
        <w:tcBorders>
          <w:top w:val="single" w:sz="4" w:space="0" w:color="9F9F9F" w:themeColor="text1" w:themeTint="80"/>
          <w:bottom w:val="single" w:sz="4" w:space="0" w:color="9F9F9F" w:themeColor="text1" w:themeTint="80"/>
        </w:tcBorders>
      </w:tcPr>
    </w:tblStylePr>
  </w:style>
  <w:style w:type="table" w:styleId="PlainTable3">
    <w:name w:val="Plain Table 3"/>
    <w:basedOn w:val="TableNormal"/>
    <w:uiPriority w:val="43"/>
    <w:rsid w:val="00F527CC"/>
    <w:pPr>
      <w:spacing w:after="0" w:line="240" w:lineRule="auto"/>
    </w:pPr>
    <w:tblPr>
      <w:tblStyleRowBandSize w:val="1"/>
      <w:tblStyleColBandSize w:val="1"/>
    </w:tblPr>
    <w:tblStylePr w:type="firstRow">
      <w:rPr>
        <w:b/>
        <w:bCs/>
        <w:caps/>
      </w:rPr>
      <w:tblPr/>
      <w:tcPr>
        <w:tcBorders>
          <w:bottom w:val="single" w:sz="4" w:space="0" w:color="9F9F9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F9F9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527C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527C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9F9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9F9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9F9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9F9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527C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527CC"/>
    <w:rPr>
      <w:rFonts w:ascii="Consolas" w:hAnsi="Consolas"/>
      <w:sz w:val="21"/>
      <w:szCs w:val="21"/>
      <w:lang w:val="en-US"/>
    </w:rPr>
  </w:style>
  <w:style w:type="paragraph" w:styleId="Salutation">
    <w:name w:val="Salutation"/>
    <w:basedOn w:val="Normal"/>
    <w:next w:val="Normal"/>
    <w:link w:val="SalutationChar"/>
    <w:uiPriority w:val="99"/>
    <w:semiHidden/>
    <w:unhideWhenUsed/>
    <w:rsid w:val="00F527CC"/>
  </w:style>
  <w:style w:type="character" w:customStyle="1" w:styleId="SalutationChar">
    <w:name w:val="Salutation Char"/>
    <w:basedOn w:val="DefaultParagraphFont"/>
    <w:link w:val="Salutation"/>
    <w:uiPriority w:val="99"/>
    <w:semiHidden/>
    <w:rsid w:val="00F527CC"/>
    <w:rPr>
      <w:lang w:val="en-US"/>
    </w:rPr>
  </w:style>
  <w:style w:type="paragraph" w:styleId="Signature">
    <w:name w:val="Signature"/>
    <w:basedOn w:val="Normal"/>
    <w:link w:val="SignatureChar"/>
    <w:uiPriority w:val="99"/>
    <w:semiHidden/>
    <w:unhideWhenUsed/>
    <w:rsid w:val="00F527CC"/>
    <w:pPr>
      <w:spacing w:after="0" w:line="240" w:lineRule="auto"/>
      <w:ind w:left="4252"/>
    </w:pPr>
  </w:style>
  <w:style w:type="character" w:customStyle="1" w:styleId="SignatureChar">
    <w:name w:val="Signature Char"/>
    <w:basedOn w:val="DefaultParagraphFont"/>
    <w:link w:val="Signature"/>
    <w:uiPriority w:val="99"/>
    <w:semiHidden/>
    <w:rsid w:val="00F527CC"/>
    <w:rPr>
      <w:lang w:val="en-US"/>
    </w:rPr>
  </w:style>
  <w:style w:type="character" w:styleId="Strong">
    <w:name w:val="Strong"/>
    <w:basedOn w:val="DefaultParagraphFont"/>
    <w:uiPriority w:val="22"/>
    <w:qFormat/>
    <w:rsid w:val="00F527CC"/>
    <w:rPr>
      <w:b/>
      <w:bCs/>
      <w:lang w:val="en-US"/>
    </w:rPr>
  </w:style>
  <w:style w:type="character" w:styleId="SubtleEmphasis">
    <w:name w:val="Subtle Emphasis"/>
    <w:basedOn w:val="DefaultParagraphFont"/>
    <w:uiPriority w:val="19"/>
    <w:qFormat/>
    <w:rsid w:val="00F527CC"/>
    <w:rPr>
      <w:i/>
      <w:iCs/>
      <w:color w:val="6F6F6F" w:themeColor="text1" w:themeTint="BF"/>
      <w:lang w:val="en-US"/>
    </w:rPr>
  </w:style>
  <w:style w:type="character" w:styleId="SubtleReference">
    <w:name w:val="Subtle Reference"/>
    <w:basedOn w:val="DefaultParagraphFont"/>
    <w:uiPriority w:val="31"/>
    <w:qFormat/>
    <w:rsid w:val="00F527CC"/>
    <w:rPr>
      <w:smallCaps/>
      <w:color w:val="838383" w:themeColor="text1" w:themeTint="A5"/>
      <w:lang w:val="en-US"/>
    </w:rPr>
  </w:style>
  <w:style w:type="table" w:styleId="Table3Deffects1">
    <w:name w:val="Table 3D effects 1"/>
    <w:basedOn w:val="TableNormal"/>
    <w:uiPriority w:val="99"/>
    <w:semiHidden/>
    <w:unhideWhenUsed/>
    <w:rsid w:val="00F527CC"/>
    <w:pPr>
      <w:spacing w:after="12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527CC"/>
    <w:pPr>
      <w:spacing w:after="12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527CC"/>
    <w:pPr>
      <w:spacing w:after="12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527CC"/>
    <w:pPr>
      <w:spacing w:after="12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527CC"/>
    <w:pPr>
      <w:spacing w:after="12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527CC"/>
    <w:pPr>
      <w:spacing w:after="12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527CC"/>
    <w:pPr>
      <w:spacing w:after="12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527CC"/>
    <w:pPr>
      <w:spacing w:after="12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527CC"/>
    <w:pPr>
      <w:spacing w:after="12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527CC"/>
    <w:pPr>
      <w:spacing w:after="12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527CC"/>
    <w:pPr>
      <w:spacing w:after="12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527CC"/>
    <w:pPr>
      <w:spacing w:after="12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527CC"/>
    <w:pPr>
      <w:spacing w:after="12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527CC"/>
    <w:pPr>
      <w:spacing w:after="12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527CC"/>
    <w:pPr>
      <w:spacing w:after="12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527CC"/>
    <w:pPr>
      <w:spacing w:after="12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527CC"/>
    <w:pPr>
      <w:spacing w:after="12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527CC"/>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527CC"/>
    <w:pPr>
      <w:spacing w:after="12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527CC"/>
    <w:pPr>
      <w:spacing w:after="12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527CC"/>
    <w:pPr>
      <w:spacing w:after="12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527CC"/>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527CC"/>
    <w:pPr>
      <w:spacing w:after="12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527CC"/>
    <w:pPr>
      <w:spacing w:after="12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527CC"/>
    <w:pPr>
      <w:spacing w:after="12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F527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527CC"/>
    <w:pPr>
      <w:spacing w:after="12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527CC"/>
    <w:pPr>
      <w:spacing w:after="12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527CC"/>
    <w:pPr>
      <w:spacing w:after="12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527CC"/>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527CC"/>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527CC"/>
    <w:pPr>
      <w:spacing w:after="12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527CC"/>
    <w:pPr>
      <w:spacing w:after="12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527CC"/>
    <w:pPr>
      <w:spacing w:after="12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527CC"/>
    <w:pPr>
      <w:spacing w:after="0"/>
      <w:ind w:left="220" w:hanging="220"/>
    </w:pPr>
  </w:style>
  <w:style w:type="paragraph" w:styleId="TableofFigures">
    <w:name w:val="table of figures"/>
    <w:basedOn w:val="Normal"/>
    <w:next w:val="Normal"/>
    <w:uiPriority w:val="99"/>
    <w:semiHidden/>
    <w:unhideWhenUsed/>
    <w:rsid w:val="00F527CC"/>
    <w:pPr>
      <w:spacing w:after="0"/>
    </w:pPr>
  </w:style>
  <w:style w:type="table" w:styleId="TableProfessional">
    <w:name w:val="Table Professional"/>
    <w:basedOn w:val="TableNormal"/>
    <w:uiPriority w:val="99"/>
    <w:semiHidden/>
    <w:unhideWhenUsed/>
    <w:rsid w:val="00F527CC"/>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527CC"/>
    <w:pPr>
      <w:spacing w:after="12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527CC"/>
    <w:pPr>
      <w:spacing w:after="12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527CC"/>
    <w:pPr>
      <w:spacing w:after="12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527CC"/>
    <w:pPr>
      <w:spacing w:after="12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527CC"/>
    <w:pPr>
      <w:spacing w:after="12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527CC"/>
    <w:pPr>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527CC"/>
    <w:pPr>
      <w:spacing w:after="12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527CC"/>
    <w:pPr>
      <w:spacing w:after="12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527CC"/>
    <w:pPr>
      <w:spacing w:after="12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527CC"/>
    <w:pPr>
      <w:spacing w:before="120"/>
    </w:pPr>
    <w:rPr>
      <w:rFonts w:eastAsiaTheme="majorEastAsia" w:cs="Arial"/>
      <w:b/>
      <w:bCs/>
      <w:sz w:val="24"/>
      <w:szCs w:val="24"/>
    </w:rPr>
  </w:style>
  <w:style w:type="paragraph" w:styleId="TOC5">
    <w:name w:val="toc 5"/>
    <w:basedOn w:val="Normal"/>
    <w:next w:val="Normal"/>
    <w:autoRedefine/>
    <w:uiPriority w:val="39"/>
    <w:semiHidden/>
    <w:unhideWhenUsed/>
    <w:rsid w:val="00F527CC"/>
    <w:pPr>
      <w:spacing w:after="100"/>
      <w:ind w:left="880"/>
    </w:pPr>
  </w:style>
  <w:style w:type="paragraph" w:styleId="TOC6">
    <w:name w:val="toc 6"/>
    <w:basedOn w:val="Normal"/>
    <w:next w:val="Normal"/>
    <w:autoRedefine/>
    <w:uiPriority w:val="39"/>
    <w:semiHidden/>
    <w:unhideWhenUsed/>
    <w:rsid w:val="00F527CC"/>
    <w:pPr>
      <w:spacing w:after="100"/>
      <w:ind w:left="1100"/>
    </w:pPr>
  </w:style>
  <w:style w:type="paragraph" w:styleId="TOC7">
    <w:name w:val="toc 7"/>
    <w:basedOn w:val="Normal"/>
    <w:next w:val="Normal"/>
    <w:autoRedefine/>
    <w:uiPriority w:val="39"/>
    <w:semiHidden/>
    <w:unhideWhenUsed/>
    <w:rsid w:val="00F527CC"/>
    <w:pPr>
      <w:spacing w:after="100"/>
      <w:ind w:left="1320"/>
    </w:pPr>
  </w:style>
  <w:style w:type="paragraph" w:styleId="TOC8">
    <w:name w:val="toc 8"/>
    <w:basedOn w:val="Normal"/>
    <w:next w:val="Normal"/>
    <w:autoRedefine/>
    <w:uiPriority w:val="39"/>
    <w:semiHidden/>
    <w:unhideWhenUsed/>
    <w:rsid w:val="00F527CC"/>
    <w:pPr>
      <w:spacing w:after="100"/>
      <w:ind w:left="1540"/>
    </w:pPr>
  </w:style>
  <w:style w:type="paragraph" w:styleId="TOC9">
    <w:name w:val="toc 9"/>
    <w:basedOn w:val="Normal"/>
    <w:next w:val="Normal"/>
    <w:autoRedefine/>
    <w:uiPriority w:val="39"/>
    <w:semiHidden/>
    <w:unhideWhenUsed/>
    <w:rsid w:val="00F527CC"/>
    <w:pPr>
      <w:spacing w:after="100"/>
      <w:ind w:left="1760"/>
    </w:pPr>
  </w:style>
  <w:style w:type="paragraph" w:styleId="TOCHeading">
    <w:name w:val="TOC Heading"/>
    <w:basedOn w:val="Heading1"/>
    <w:next w:val="Normal"/>
    <w:uiPriority w:val="39"/>
    <w:semiHidden/>
    <w:unhideWhenUsed/>
    <w:qFormat/>
    <w:rsid w:val="00F527CC"/>
    <w:pPr>
      <w:numPr>
        <w:numId w:val="0"/>
      </w:numPr>
      <w:spacing w:before="240" w:after="0" w:line="240" w:lineRule="atLeast"/>
      <w:outlineLvl w:val="9"/>
    </w:pPr>
    <w:rPr>
      <w:bCs w:val="0"/>
      <w:noProof w:val="0"/>
      <w:color w:val="939599" w:themeColor="accent1" w:themeShade="BF"/>
      <w:sz w:val="32"/>
      <w:szCs w:val="32"/>
    </w:rPr>
  </w:style>
  <w:style w:type="character" w:customStyle="1" w:styleId="Hashtag1">
    <w:name w:val="Hashtag1"/>
    <w:basedOn w:val="DefaultParagraphFont"/>
    <w:uiPriority w:val="99"/>
    <w:semiHidden/>
    <w:unhideWhenUsed/>
    <w:rsid w:val="009F52F1"/>
    <w:rPr>
      <w:color w:val="2B579A"/>
      <w:shd w:val="clear" w:color="auto" w:fill="E6E6E6"/>
    </w:rPr>
  </w:style>
  <w:style w:type="character" w:customStyle="1" w:styleId="Mention1">
    <w:name w:val="Mention1"/>
    <w:basedOn w:val="DefaultParagraphFont"/>
    <w:uiPriority w:val="99"/>
    <w:semiHidden/>
    <w:unhideWhenUsed/>
    <w:rsid w:val="009F52F1"/>
    <w:rPr>
      <w:color w:val="2B579A"/>
      <w:shd w:val="clear" w:color="auto" w:fill="E6E6E6"/>
    </w:rPr>
  </w:style>
  <w:style w:type="character" w:customStyle="1" w:styleId="SmartHyperlink1">
    <w:name w:val="Smart Hyperlink1"/>
    <w:basedOn w:val="DefaultParagraphFont"/>
    <w:uiPriority w:val="99"/>
    <w:semiHidden/>
    <w:unhideWhenUsed/>
    <w:rsid w:val="009F52F1"/>
    <w:rPr>
      <w:u w:val="dotted"/>
    </w:rPr>
  </w:style>
  <w:style w:type="character" w:customStyle="1" w:styleId="UnresolvedMention1">
    <w:name w:val="Unresolved Mention1"/>
    <w:basedOn w:val="DefaultParagraphFont"/>
    <w:uiPriority w:val="99"/>
    <w:semiHidden/>
    <w:unhideWhenUsed/>
    <w:rsid w:val="009F52F1"/>
    <w:rPr>
      <w:color w:val="808080"/>
      <w:shd w:val="clear" w:color="auto" w:fill="E6E6E6"/>
    </w:rPr>
  </w:style>
  <w:style w:type="table" w:customStyle="1" w:styleId="TableGrid20">
    <w:name w:val="Table Grid2"/>
    <w:basedOn w:val="TableNormal"/>
    <w:next w:val="TableGrid"/>
    <w:uiPriority w:val="59"/>
    <w:rsid w:val="009F52F1"/>
    <w:pPr>
      <w:spacing w:after="0" w:line="240" w:lineRule="auto"/>
    </w:pPr>
    <w:rPr>
      <w:rFonts w:ascii="Calibri" w:eastAsia="Calibri" w:hAnsi="Calibri"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 Char,Header 2 Char,Head1.1 Char,References Char,Paragraphe de liste1 Char,List Paragraph1 Char,Liste couleur - Accent 11 Char,Liste couleur - Accent 111 Char,Paragraphe de liste3 Char,List Paragraph2 Char,Bullets Char"/>
    <w:basedOn w:val="DefaultParagraphFont"/>
    <w:link w:val="ListParagraph"/>
    <w:uiPriority w:val="34"/>
    <w:qFormat/>
    <w:locked/>
    <w:rsid w:val="009A6DE4"/>
    <w:rPr>
      <w:lang w:val="en-US"/>
    </w:rPr>
  </w:style>
  <w:style w:type="table" w:customStyle="1" w:styleId="TableGrid30">
    <w:name w:val="Table Grid3"/>
    <w:basedOn w:val="TableNormal"/>
    <w:next w:val="TableGrid"/>
    <w:uiPriority w:val="39"/>
    <w:rsid w:val="00485066"/>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3F4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n Char2,Footnote ak Char2,fn Char Char2,footnote text Char Char1,Footnotes Char Char2,Footnote ak Char Char1,ft Char1,fn cafc Char1,Footnotes Char Char Char1,Footnote Text Char Char Char1,fn Char Char Char1,footnote text Char2"/>
    <w:basedOn w:val="DefaultParagraphFont"/>
    <w:uiPriority w:val="99"/>
    <w:semiHidden/>
    <w:locked/>
    <w:rsid w:val="004807FB"/>
    <w:rPr>
      <w:rFonts w:ascii="Arial" w:eastAsia="SimSun" w:hAnsi="Arial" w:cs="Times New Roman"/>
      <w:sz w:val="20"/>
      <w:szCs w:val="20"/>
      <w:lang w:val="en-US" w:eastAsia="zh-CN"/>
    </w:rPr>
  </w:style>
  <w:style w:type="paragraph" w:styleId="Revision">
    <w:name w:val="Revision"/>
    <w:hidden/>
    <w:uiPriority w:val="99"/>
    <w:semiHidden/>
    <w:rsid w:val="00F85686"/>
    <w:pPr>
      <w:spacing w:after="0" w:line="240" w:lineRule="auto"/>
    </w:pPr>
    <w:rPr>
      <w:lang w:val="en-US"/>
    </w:rPr>
  </w:style>
  <w:style w:type="paragraph" w:customStyle="1" w:styleId="paragraph">
    <w:name w:val="paragraph"/>
    <w:basedOn w:val="Normal"/>
    <w:rsid w:val="00854A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54A89"/>
  </w:style>
  <w:style w:type="character" w:customStyle="1" w:styleId="eop">
    <w:name w:val="eop"/>
    <w:basedOn w:val="DefaultParagraphFont"/>
    <w:rsid w:val="00854A89"/>
  </w:style>
  <w:style w:type="paragraph" w:customStyle="1" w:styleId="Default">
    <w:name w:val="Default"/>
    <w:rsid w:val="00172EDE"/>
    <w:pPr>
      <w:autoSpaceDE w:val="0"/>
      <w:autoSpaceDN w:val="0"/>
      <w:adjustRightInd w:val="0"/>
      <w:spacing w:after="0" w:line="240" w:lineRule="auto"/>
    </w:pPr>
    <w:rPr>
      <w:rFonts w:cs="Arial"/>
      <w:color w:val="000000"/>
      <w:sz w:val="24"/>
      <w:szCs w:val="24"/>
      <w:lang w:val="en-US"/>
    </w:rPr>
  </w:style>
  <w:style w:type="character" w:customStyle="1" w:styleId="cit">
    <w:name w:val="cit"/>
    <w:basedOn w:val="DefaultParagraphFont"/>
    <w:rsid w:val="0015208B"/>
  </w:style>
  <w:style w:type="character" w:customStyle="1" w:styleId="e24kjd">
    <w:name w:val="e24kjd"/>
    <w:basedOn w:val="DefaultParagraphFont"/>
    <w:rsid w:val="0071110F"/>
  </w:style>
  <w:style w:type="character" w:customStyle="1" w:styleId="A2">
    <w:name w:val="A2"/>
    <w:uiPriority w:val="99"/>
    <w:rsid w:val="0071110F"/>
    <w:rPr>
      <w:rFonts w:cs="Myriad Pro"/>
      <w:color w:val="221E1F"/>
      <w:sz w:val="20"/>
      <w:szCs w:val="20"/>
    </w:rPr>
  </w:style>
  <w:style w:type="paragraph" w:customStyle="1" w:styleId="rtejustify">
    <w:name w:val="rtejustify"/>
    <w:basedOn w:val="Normal"/>
    <w:rsid w:val="0071110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tyle1">
    <w:name w:val="Style1"/>
    <w:basedOn w:val="TableNormal"/>
    <w:uiPriority w:val="99"/>
    <w:rsid w:val="0071110F"/>
    <w:pPr>
      <w:spacing w:after="0" w:line="240" w:lineRule="auto"/>
    </w:pPr>
    <w:tblPr/>
    <w:tcPr>
      <w:shd w:val="clear" w:color="auto" w:fill="0070C0"/>
    </w:tcPr>
  </w:style>
  <w:style w:type="paragraph" w:customStyle="1" w:styleId="xmsonormal">
    <w:name w:val="x_msonormal"/>
    <w:basedOn w:val="Normal"/>
    <w:rsid w:val="002772A6"/>
    <w:pPr>
      <w:spacing w:after="0" w:line="240" w:lineRule="auto"/>
    </w:pPr>
    <w:rPr>
      <w:rFonts w:ascii="Times New Roman" w:hAnsi="Times New Roman" w:cs="Times New Roman"/>
      <w:sz w:val="24"/>
      <w:szCs w:val="24"/>
    </w:rPr>
  </w:style>
  <w:style w:type="paragraph" w:customStyle="1" w:styleId="xxydp8db1639amsonormalmrcssattr">
    <w:name w:val="x_xydp8db1639amsonormalmrcssattr"/>
    <w:basedOn w:val="Normal"/>
    <w:rsid w:val="002772A6"/>
    <w:pPr>
      <w:spacing w:after="0" w:line="240" w:lineRule="auto"/>
    </w:pPr>
    <w:rPr>
      <w:rFonts w:ascii="Times New Roman" w:hAnsi="Times New Roman" w:cs="Times New Roman"/>
      <w:sz w:val="24"/>
      <w:szCs w:val="24"/>
    </w:rPr>
  </w:style>
  <w:style w:type="character" w:customStyle="1" w:styleId="xxydp8db1639ae24kjdmrcssattr">
    <w:name w:val="x_xydp8db1639ae24kjdmrcssattr"/>
    <w:basedOn w:val="DefaultParagraphFont"/>
    <w:rsid w:val="002772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43441">
      <w:bodyDiv w:val="1"/>
      <w:marLeft w:val="0"/>
      <w:marRight w:val="0"/>
      <w:marTop w:val="0"/>
      <w:marBottom w:val="0"/>
      <w:divBdr>
        <w:top w:val="none" w:sz="0" w:space="0" w:color="auto"/>
        <w:left w:val="none" w:sz="0" w:space="0" w:color="auto"/>
        <w:bottom w:val="none" w:sz="0" w:space="0" w:color="auto"/>
        <w:right w:val="none" w:sz="0" w:space="0" w:color="auto"/>
      </w:divBdr>
    </w:div>
    <w:div w:id="28455482">
      <w:bodyDiv w:val="1"/>
      <w:marLeft w:val="0"/>
      <w:marRight w:val="0"/>
      <w:marTop w:val="0"/>
      <w:marBottom w:val="0"/>
      <w:divBdr>
        <w:top w:val="none" w:sz="0" w:space="0" w:color="auto"/>
        <w:left w:val="none" w:sz="0" w:space="0" w:color="auto"/>
        <w:bottom w:val="none" w:sz="0" w:space="0" w:color="auto"/>
        <w:right w:val="none" w:sz="0" w:space="0" w:color="auto"/>
      </w:divBdr>
    </w:div>
    <w:div w:id="51126795">
      <w:bodyDiv w:val="1"/>
      <w:marLeft w:val="0"/>
      <w:marRight w:val="0"/>
      <w:marTop w:val="0"/>
      <w:marBottom w:val="0"/>
      <w:divBdr>
        <w:top w:val="none" w:sz="0" w:space="0" w:color="auto"/>
        <w:left w:val="none" w:sz="0" w:space="0" w:color="auto"/>
        <w:bottom w:val="none" w:sz="0" w:space="0" w:color="auto"/>
        <w:right w:val="none" w:sz="0" w:space="0" w:color="auto"/>
      </w:divBdr>
    </w:div>
    <w:div w:id="109400683">
      <w:bodyDiv w:val="1"/>
      <w:marLeft w:val="0"/>
      <w:marRight w:val="0"/>
      <w:marTop w:val="0"/>
      <w:marBottom w:val="0"/>
      <w:divBdr>
        <w:top w:val="none" w:sz="0" w:space="0" w:color="auto"/>
        <w:left w:val="none" w:sz="0" w:space="0" w:color="auto"/>
        <w:bottom w:val="none" w:sz="0" w:space="0" w:color="auto"/>
        <w:right w:val="none" w:sz="0" w:space="0" w:color="auto"/>
      </w:divBdr>
    </w:div>
    <w:div w:id="169026059">
      <w:bodyDiv w:val="1"/>
      <w:marLeft w:val="0"/>
      <w:marRight w:val="0"/>
      <w:marTop w:val="0"/>
      <w:marBottom w:val="0"/>
      <w:divBdr>
        <w:top w:val="none" w:sz="0" w:space="0" w:color="auto"/>
        <w:left w:val="none" w:sz="0" w:space="0" w:color="auto"/>
        <w:bottom w:val="none" w:sz="0" w:space="0" w:color="auto"/>
        <w:right w:val="none" w:sz="0" w:space="0" w:color="auto"/>
      </w:divBdr>
    </w:div>
    <w:div w:id="341324781">
      <w:bodyDiv w:val="1"/>
      <w:marLeft w:val="0"/>
      <w:marRight w:val="0"/>
      <w:marTop w:val="0"/>
      <w:marBottom w:val="0"/>
      <w:divBdr>
        <w:top w:val="none" w:sz="0" w:space="0" w:color="auto"/>
        <w:left w:val="none" w:sz="0" w:space="0" w:color="auto"/>
        <w:bottom w:val="none" w:sz="0" w:space="0" w:color="auto"/>
        <w:right w:val="none" w:sz="0" w:space="0" w:color="auto"/>
      </w:divBdr>
    </w:div>
    <w:div w:id="370306324">
      <w:bodyDiv w:val="1"/>
      <w:marLeft w:val="0"/>
      <w:marRight w:val="0"/>
      <w:marTop w:val="0"/>
      <w:marBottom w:val="0"/>
      <w:divBdr>
        <w:top w:val="none" w:sz="0" w:space="0" w:color="auto"/>
        <w:left w:val="none" w:sz="0" w:space="0" w:color="auto"/>
        <w:bottom w:val="none" w:sz="0" w:space="0" w:color="auto"/>
        <w:right w:val="none" w:sz="0" w:space="0" w:color="auto"/>
      </w:divBdr>
    </w:div>
    <w:div w:id="393938370">
      <w:bodyDiv w:val="1"/>
      <w:marLeft w:val="0"/>
      <w:marRight w:val="0"/>
      <w:marTop w:val="0"/>
      <w:marBottom w:val="0"/>
      <w:divBdr>
        <w:top w:val="none" w:sz="0" w:space="0" w:color="auto"/>
        <w:left w:val="none" w:sz="0" w:space="0" w:color="auto"/>
        <w:bottom w:val="none" w:sz="0" w:space="0" w:color="auto"/>
        <w:right w:val="none" w:sz="0" w:space="0" w:color="auto"/>
      </w:divBdr>
    </w:div>
    <w:div w:id="540019601">
      <w:bodyDiv w:val="1"/>
      <w:marLeft w:val="0"/>
      <w:marRight w:val="0"/>
      <w:marTop w:val="0"/>
      <w:marBottom w:val="0"/>
      <w:divBdr>
        <w:top w:val="none" w:sz="0" w:space="0" w:color="auto"/>
        <w:left w:val="none" w:sz="0" w:space="0" w:color="auto"/>
        <w:bottom w:val="none" w:sz="0" w:space="0" w:color="auto"/>
        <w:right w:val="none" w:sz="0" w:space="0" w:color="auto"/>
      </w:divBdr>
    </w:div>
    <w:div w:id="556474119">
      <w:bodyDiv w:val="1"/>
      <w:marLeft w:val="0"/>
      <w:marRight w:val="0"/>
      <w:marTop w:val="0"/>
      <w:marBottom w:val="0"/>
      <w:divBdr>
        <w:top w:val="none" w:sz="0" w:space="0" w:color="auto"/>
        <w:left w:val="none" w:sz="0" w:space="0" w:color="auto"/>
        <w:bottom w:val="none" w:sz="0" w:space="0" w:color="auto"/>
        <w:right w:val="none" w:sz="0" w:space="0" w:color="auto"/>
      </w:divBdr>
    </w:div>
    <w:div w:id="596016782">
      <w:bodyDiv w:val="1"/>
      <w:marLeft w:val="0"/>
      <w:marRight w:val="0"/>
      <w:marTop w:val="0"/>
      <w:marBottom w:val="0"/>
      <w:divBdr>
        <w:top w:val="none" w:sz="0" w:space="0" w:color="auto"/>
        <w:left w:val="none" w:sz="0" w:space="0" w:color="auto"/>
        <w:bottom w:val="none" w:sz="0" w:space="0" w:color="auto"/>
        <w:right w:val="none" w:sz="0" w:space="0" w:color="auto"/>
      </w:divBdr>
    </w:div>
    <w:div w:id="644236646">
      <w:bodyDiv w:val="1"/>
      <w:marLeft w:val="0"/>
      <w:marRight w:val="0"/>
      <w:marTop w:val="0"/>
      <w:marBottom w:val="0"/>
      <w:divBdr>
        <w:top w:val="none" w:sz="0" w:space="0" w:color="auto"/>
        <w:left w:val="none" w:sz="0" w:space="0" w:color="auto"/>
        <w:bottom w:val="none" w:sz="0" w:space="0" w:color="auto"/>
        <w:right w:val="none" w:sz="0" w:space="0" w:color="auto"/>
      </w:divBdr>
    </w:div>
    <w:div w:id="678893020">
      <w:bodyDiv w:val="1"/>
      <w:marLeft w:val="0"/>
      <w:marRight w:val="0"/>
      <w:marTop w:val="0"/>
      <w:marBottom w:val="0"/>
      <w:divBdr>
        <w:top w:val="none" w:sz="0" w:space="0" w:color="auto"/>
        <w:left w:val="none" w:sz="0" w:space="0" w:color="auto"/>
        <w:bottom w:val="none" w:sz="0" w:space="0" w:color="auto"/>
        <w:right w:val="none" w:sz="0" w:space="0" w:color="auto"/>
      </w:divBdr>
    </w:div>
    <w:div w:id="703869547">
      <w:bodyDiv w:val="1"/>
      <w:marLeft w:val="0"/>
      <w:marRight w:val="0"/>
      <w:marTop w:val="0"/>
      <w:marBottom w:val="0"/>
      <w:divBdr>
        <w:top w:val="none" w:sz="0" w:space="0" w:color="auto"/>
        <w:left w:val="none" w:sz="0" w:space="0" w:color="auto"/>
        <w:bottom w:val="none" w:sz="0" w:space="0" w:color="auto"/>
        <w:right w:val="none" w:sz="0" w:space="0" w:color="auto"/>
      </w:divBdr>
    </w:div>
    <w:div w:id="744189078">
      <w:bodyDiv w:val="1"/>
      <w:marLeft w:val="0"/>
      <w:marRight w:val="0"/>
      <w:marTop w:val="0"/>
      <w:marBottom w:val="0"/>
      <w:divBdr>
        <w:top w:val="none" w:sz="0" w:space="0" w:color="auto"/>
        <w:left w:val="none" w:sz="0" w:space="0" w:color="auto"/>
        <w:bottom w:val="none" w:sz="0" w:space="0" w:color="auto"/>
        <w:right w:val="none" w:sz="0" w:space="0" w:color="auto"/>
      </w:divBdr>
    </w:div>
    <w:div w:id="770050259">
      <w:bodyDiv w:val="1"/>
      <w:marLeft w:val="0"/>
      <w:marRight w:val="0"/>
      <w:marTop w:val="0"/>
      <w:marBottom w:val="0"/>
      <w:divBdr>
        <w:top w:val="none" w:sz="0" w:space="0" w:color="auto"/>
        <w:left w:val="none" w:sz="0" w:space="0" w:color="auto"/>
        <w:bottom w:val="none" w:sz="0" w:space="0" w:color="auto"/>
        <w:right w:val="none" w:sz="0" w:space="0" w:color="auto"/>
      </w:divBdr>
      <w:divsChild>
        <w:div w:id="327294719">
          <w:marLeft w:val="0"/>
          <w:marRight w:val="0"/>
          <w:marTop w:val="0"/>
          <w:marBottom w:val="0"/>
          <w:divBdr>
            <w:top w:val="none" w:sz="0" w:space="0" w:color="auto"/>
            <w:left w:val="none" w:sz="0" w:space="0" w:color="auto"/>
            <w:bottom w:val="none" w:sz="0" w:space="0" w:color="auto"/>
            <w:right w:val="none" w:sz="0" w:space="0" w:color="auto"/>
          </w:divBdr>
        </w:div>
        <w:div w:id="615406717">
          <w:marLeft w:val="0"/>
          <w:marRight w:val="0"/>
          <w:marTop w:val="0"/>
          <w:marBottom w:val="0"/>
          <w:divBdr>
            <w:top w:val="none" w:sz="0" w:space="0" w:color="auto"/>
            <w:left w:val="none" w:sz="0" w:space="0" w:color="auto"/>
            <w:bottom w:val="none" w:sz="0" w:space="0" w:color="auto"/>
            <w:right w:val="none" w:sz="0" w:space="0" w:color="auto"/>
          </w:divBdr>
        </w:div>
        <w:div w:id="1336882401">
          <w:marLeft w:val="0"/>
          <w:marRight w:val="0"/>
          <w:marTop w:val="0"/>
          <w:marBottom w:val="0"/>
          <w:divBdr>
            <w:top w:val="none" w:sz="0" w:space="0" w:color="auto"/>
            <w:left w:val="none" w:sz="0" w:space="0" w:color="auto"/>
            <w:bottom w:val="none" w:sz="0" w:space="0" w:color="auto"/>
            <w:right w:val="none" w:sz="0" w:space="0" w:color="auto"/>
          </w:divBdr>
        </w:div>
        <w:div w:id="1401707039">
          <w:marLeft w:val="0"/>
          <w:marRight w:val="0"/>
          <w:marTop w:val="0"/>
          <w:marBottom w:val="0"/>
          <w:divBdr>
            <w:top w:val="none" w:sz="0" w:space="0" w:color="auto"/>
            <w:left w:val="none" w:sz="0" w:space="0" w:color="auto"/>
            <w:bottom w:val="none" w:sz="0" w:space="0" w:color="auto"/>
            <w:right w:val="none" w:sz="0" w:space="0" w:color="auto"/>
          </w:divBdr>
        </w:div>
      </w:divsChild>
    </w:div>
    <w:div w:id="820582401">
      <w:bodyDiv w:val="1"/>
      <w:marLeft w:val="0"/>
      <w:marRight w:val="0"/>
      <w:marTop w:val="0"/>
      <w:marBottom w:val="0"/>
      <w:divBdr>
        <w:top w:val="none" w:sz="0" w:space="0" w:color="auto"/>
        <w:left w:val="none" w:sz="0" w:space="0" w:color="auto"/>
        <w:bottom w:val="none" w:sz="0" w:space="0" w:color="auto"/>
        <w:right w:val="none" w:sz="0" w:space="0" w:color="auto"/>
      </w:divBdr>
    </w:div>
    <w:div w:id="834683376">
      <w:bodyDiv w:val="1"/>
      <w:marLeft w:val="0"/>
      <w:marRight w:val="0"/>
      <w:marTop w:val="0"/>
      <w:marBottom w:val="0"/>
      <w:divBdr>
        <w:top w:val="none" w:sz="0" w:space="0" w:color="auto"/>
        <w:left w:val="none" w:sz="0" w:space="0" w:color="auto"/>
        <w:bottom w:val="none" w:sz="0" w:space="0" w:color="auto"/>
        <w:right w:val="none" w:sz="0" w:space="0" w:color="auto"/>
      </w:divBdr>
    </w:div>
    <w:div w:id="846023167">
      <w:bodyDiv w:val="1"/>
      <w:marLeft w:val="0"/>
      <w:marRight w:val="0"/>
      <w:marTop w:val="0"/>
      <w:marBottom w:val="0"/>
      <w:divBdr>
        <w:top w:val="none" w:sz="0" w:space="0" w:color="auto"/>
        <w:left w:val="none" w:sz="0" w:space="0" w:color="auto"/>
        <w:bottom w:val="none" w:sz="0" w:space="0" w:color="auto"/>
        <w:right w:val="none" w:sz="0" w:space="0" w:color="auto"/>
      </w:divBdr>
    </w:div>
    <w:div w:id="866068883">
      <w:bodyDiv w:val="1"/>
      <w:marLeft w:val="0"/>
      <w:marRight w:val="0"/>
      <w:marTop w:val="0"/>
      <w:marBottom w:val="0"/>
      <w:divBdr>
        <w:top w:val="none" w:sz="0" w:space="0" w:color="auto"/>
        <w:left w:val="none" w:sz="0" w:space="0" w:color="auto"/>
        <w:bottom w:val="none" w:sz="0" w:space="0" w:color="auto"/>
        <w:right w:val="none" w:sz="0" w:space="0" w:color="auto"/>
      </w:divBdr>
    </w:div>
    <w:div w:id="869420657">
      <w:bodyDiv w:val="1"/>
      <w:marLeft w:val="0"/>
      <w:marRight w:val="0"/>
      <w:marTop w:val="0"/>
      <w:marBottom w:val="0"/>
      <w:divBdr>
        <w:top w:val="none" w:sz="0" w:space="0" w:color="auto"/>
        <w:left w:val="none" w:sz="0" w:space="0" w:color="auto"/>
        <w:bottom w:val="none" w:sz="0" w:space="0" w:color="auto"/>
        <w:right w:val="none" w:sz="0" w:space="0" w:color="auto"/>
      </w:divBdr>
    </w:div>
    <w:div w:id="886986906">
      <w:bodyDiv w:val="1"/>
      <w:marLeft w:val="0"/>
      <w:marRight w:val="0"/>
      <w:marTop w:val="0"/>
      <w:marBottom w:val="0"/>
      <w:divBdr>
        <w:top w:val="none" w:sz="0" w:space="0" w:color="auto"/>
        <w:left w:val="none" w:sz="0" w:space="0" w:color="auto"/>
        <w:bottom w:val="none" w:sz="0" w:space="0" w:color="auto"/>
        <w:right w:val="none" w:sz="0" w:space="0" w:color="auto"/>
      </w:divBdr>
    </w:div>
    <w:div w:id="924873310">
      <w:bodyDiv w:val="1"/>
      <w:marLeft w:val="0"/>
      <w:marRight w:val="0"/>
      <w:marTop w:val="0"/>
      <w:marBottom w:val="0"/>
      <w:divBdr>
        <w:top w:val="none" w:sz="0" w:space="0" w:color="auto"/>
        <w:left w:val="none" w:sz="0" w:space="0" w:color="auto"/>
        <w:bottom w:val="none" w:sz="0" w:space="0" w:color="auto"/>
        <w:right w:val="none" w:sz="0" w:space="0" w:color="auto"/>
      </w:divBdr>
    </w:div>
    <w:div w:id="1033845205">
      <w:bodyDiv w:val="1"/>
      <w:marLeft w:val="0"/>
      <w:marRight w:val="0"/>
      <w:marTop w:val="0"/>
      <w:marBottom w:val="0"/>
      <w:divBdr>
        <w:top w:val="none" w:sz="0" w:space="0" w:color="auto"/>
        <w:left w:val="none" w:sz="0" w:space="0" w:color="auto"/>
        <w:bottom w:val="none" w:sz="0" w:space="0" w:color="auto"/>
        <w:right w:val="none" w:sz="0" w:space="0" w:color="auto"/>
      </w:divBdr>
    </w:div>
    <w:div w:id="1092511446">
      <w:bodyDiv w:val="1"/>
      <w:marLeft w:val="0"/>
      <w:marRight w:val="0"/>
      <w:marTop w:val="0"/>
      <w:marBottom w:val="0"/>
      <w:divBdr>
        <w:top w:val="none" w:sz="0" w:space="0" w:color="auto"/>
        <w:left w:val="none" w:sz="0" w:space="0" w:color="auto"/>
        <w:bottom w:val="none" w:sz="0" w:space="0" w:color="auto"/>
        <w:right w:val="none" w:sz="0" w:space="0" w:color="auto"/>
      </w:divBdr>
    </w:div>
    <w:div w:id="1160806021">
      <w:bodyDiv w:val="1"/>
      <w:marLeft w:val="0"/>
      <w:marRight w:val="0"/>
      <w:marTop w:val="0"/>
      <w:marBottom w:val="0"/>
      <w:divBdr>
        <w:top w:val="none" w:sz="0" w:space="0" w:color="auto"/>
        <w:left w:val="none" w:sz="0" w:space="0" w:color="auto"/>
        <w:bottom w:val="none" w:sz="0" w:space="0" w:color="auto"/>
        <w:right w:val="none" w:sz="0" w:space="0" w:color="auto"/>
      </w:divBdr>
    </w:div>
    <w:div w:id="1162237993">
      <w:bodyDiv w:val="1"/>
      <w:marLeft w:val="0"/>
      <w:marRight w:val="0"/>
      <w:marTop w:val="0"/>
      <w:marBottom w:val="0"/>
      <w:divBdr>
        <w:top w:val="none" w:sz="0" w:space="0" w:color="auto"/>
        <w:left w:val="none" w:sz="0" w:space="0" w:color="auto"/>
        <w:bottom w:val="none" w:sz="0" w:space="0" w:color="auto"/>
        <w:right w:val="none" w:sz="0" w:space="0" w:color="auto"/>
      </w:divBdr>
    </w:div>
    <w:div w:id="1171530505">
      <w:bodyDiv w:val="1"/>
      <w:marLeft w:val="0"/>
      <w:marRight w:val="0"/>
      <w:marTop w:val="0"/>
      <w:marBottom w:val="0"/>
      <w:divBdr>
        <w:top w:val="none" w:sz="0" w:space="0" w:color="auto"/>
        <w:left w:val="none" w:sz="0" w:space="0" w:color="auto"/>
        <w:bottom w:val="none" w:sz="0" w:space="0" w:color="auto"/>
        <w:right w:val="none" w:sz="0" w:space="0" w:color="auto"/>
      </w:divBdr>
    </w:div>
    <w:div w:id="1290475410">
      <w:bodyDiv w:val="1"/>
      <w:marLeft w:val="0"/>
      <w:marRight w:val="0"/>
      <w:marTop w:val="0"/>
      <w:marBottom w:val="0"/>
      <w:divBdr>
        <w:top w:val="none" w:sz="0" w:space="0" w:color="auto"/>
        <w:left w:val="none" w:sz="0" w:space="0" w:color="auto"/>
        <w:bottom w:val="none" w:sz="0" w:space="0" w:color="auto"/>
        <w:right w:val="none" w:sz="0" w:space="0" w:color="auto"/>
      </w:divBdr>
    </w:div>
    <w:div w:id="1306349821">
      <w:bodyDiv w:val="1"/>
      <w:marLeft w:val="0"/>
      <w:marRight w:val="0"/>
      <w:marTop w:val="0"/>
      <w:marBottom w:val="0"/>
      <w:divBdr>
        <w:top w:val="none" w:sz="0" w:space="0" w:color="auto"/>
        <w:left w:val="none" w:sz="0" w:space="0" w:color="auto"/>
        <w:bottom w:val="none" w:sz="0" w:space="0" w:color="auto"/>
        <w:right w:val="none" w:sz="0" w:space="0" w:color="auto"/>
      </w:divBdr>
    </w:div>
    <w:div w:id="1310747393">
      <w:bodyDiv w:val="1"/>
      <w:marLeft w:val="0"/>
      <w:marRight w:val="0"/>
      <w:marTop w:val="0"/>
      <w:marBottom w:val="0"/>
      <w:divBdr>
        <w:top w:val="none" w:sz="0" w:space="0" w:color="auto"/>
        <w:left w:val="none" w:sz="0" w:space="0" w:color="auto"/>
        <w:bottom w:val="none" w:sz="0" w:space="0" w:color="auto"/>
        <w:right w:val="none" w:sz="0" w:space="0" w:color="auto"/>
      </w:divBdr>
    </w:div>
    <w:div w:id="1539852070">
      <w:bodyDiv w:val="1"/>
      <w:marLeft w:val="0"/>
      <w:marRight w:val="0"/>
      <w:marTop w:val="0"/>
      <w:marBottom w:val="0"/>
      <w:divBdr>
        <w:top w:val="none" w:sz="0" w:space="0" w:color="auto"/>
        <w:left w:val="none" w:sz="0" w:space="0" w:color="auto"/>
        <w:bottom w:val="none" w:sz="0" w:space="0" w:color="auto"/>
        <w:right w:val="none" w:sz="0" w:space="0" w:color="auto"/>
      </w:divBdr>
    </w:div>
    <w:div w:id="1546218926">
      <w:bodyDiv w:val="1"/>
      <w:marLeft w:val="0"/>
      <w:marRight w:val="0"/>
      <w:marTop w:val="0"/>
      <w:marBottom w:val="0"/>
      <w:divBdr>
        <w:top w:val="none" w:sz="0" w:space="0" w:color="auto"/>
        <w:left w:val="none" w:sz="0" w:space="0" w:color="auto"/>
        <w:bottom w:val="none" w:sz="0" w:space="0" w:color="auto"/>
        <w:right w:val="none" w:sz="0" w:space="0" w:color="auto"/>
      </w:divBdr>
      <w:divsChild>
        <w:div w:id="733312497">
          <w:marLeft w:val="0"/>
          <w:marRight w:val="0"/>
          <w:marTop w:val="0"/>
          <w:marBottom w:val="0"/>
          <w:divBdr>
            <w:top w:val="none" w:sz="0" w:space="0" w:color="auto"/>
            <w:left w:val="none" w:sz="0" w:space="0" w:color="auto"/>
            <w:bottom w:val="none" w:sz="0" w:space="0" w:color="auto"/>
            <w:right w:val="none" w:sz="0" w:space="0" w:color="auto"/>
          </w:divBdr>
        </w:div>
        <w:div w:id="1890413426">
          <w:marLeft w:val="0"/>
          <w:marRight w:val="0"/>
          <w:marTop w:val="0"/>
          <w:marBottom w:val="0"/>
          <w:divBdr>
            <w:top w:val="none" w:sz="0" w:space="0" w:color="auto"/>
            <w:left w:val="none" w:sz="0" w:space="0" w:color="auto"/>
            <w:bottom w:val="none" w:sz="0" w:space="0" w:color="auto"/>
            <w:right w:val="none" w:sz="0" w:space="0" w:color="auto"/>
          </w:divBdr>
        </w:div>
      </w:divsChild>
    </w:div>
    <w:div w:id="1579630165">
      <w:bodyDiv w:val="1"/>
      <w:marLeft w:val="0"/>
      <w:marRight w:val="0"/>
      <w:marTop w:val="0"/>
      <w:marBottom w:val="0"/>
      <w:divBdr>
        <w:top w:val="none" w:sz="0" w:space="0" w:color="auto"/>
        <w:left w:val="none" w:sz="0" w:space="0" w:color="auto"/>
        <w:bottom w:val="none" w:sz="0" w:space="0" w:color="auto"/>
        <w:right w:val="none" w:sz="0" w:space="0" w:color="auto"/>
      </w:divBdr>
    </w:div>
    <w:div w:id="1632781116">
      <w:bodyDiv w:val="1"/>
      <w:marLeft w:val="0"/>
      <w:marRight w:val="0"/>
      <w:marTop w:val="0"/>
      <w:marBottom w:val="0"/>
      <w:divBdr>
        <w:top w:val="none" w:sz="0" w:space="0" w:color="auto"/>
        <w:left w:val="none" w:sz="0" w:space="0" w:color="auto"/>
        <w:bottom w:val="none" w:sz="0" w:space="0" w:color="auto"/>
        <w:right w:val="none" w:sz="0" w:space="0" w:color="auto"/>
      </w:divBdr>
    </w:div>
    <w:div w:id="1677423148">
      <w:bodyDiv w:val="1"/>
      <w:marLeft w:val="0"/>
      <w:marRight w:val="0"/>
      <w:marTop w:val="0"/>
      <w:marBottom w:val="0"/>
      <w:divBdr>
        <w:top w:val="none" w:sz="0" w:space="0" w:color="auto"/>
        <w:left w:val="none" w:sz="0" w:space="0" w:color="auto"/>
        <w:bottom w:val="none" w:sz="0" w:space="0" w:color="auto"/>
        <w:right w:val="none" w:sz="0" w:space="0" w:color="auto"/>
      </w:divBdr>
    </w:div>
    <w:div w:id="1722820554">
      <w:bodyDiv w:val="1"/>
      <w:marLeft w:val="0"/>
      <w:marRight w:val="0"/>
      <w:marTop w:val="0"/>
      <w:marBottom w:val="0"/>
      <w:divBdr>
        <w:top w:val="none" w:sz="0" w:space="0" w:color="auto"/>
        <w:left w:val="none" w:sz="0" w:space="0" w:color="auto"/>
        <w:bottom w:val="none" w:sz="0" w:space="0" w:color="auto"/>
        <w:right w:val="none" w:sz="0" w:space="0" w:color="auto"/>
      </w:divBdr>
    </w:div>
    <w:div w:id="1732188809">
      <w:bodyDiv w:val="1"/>
      <w:marLeft w:val="0"/>
      <w:marRight w:val="0"/>
      <w:marTop w:val="0"/>
      <w:marBottom w:val="0"/>
      <w:divBdr>
        <w:top w:val="none" w:sz="0" w:space="0" w:color="auto"/>
        <w:left w:val="none" w:sz="0" w:space="0" w:color="auto"/>
        <w:bottom w:val="none" w:sz="0" w:space="0" w:color="auto"/>
        <w:right w:val="none" w:sz="0" w:space="0" w:color="auto"/>
      </w:divBdr>
    </w:div>
    <w:div w:id="1752045835">
      <w:bodyDiv w:val="1"/>
      <w:marLeft w:val="0"/>
      <w:marRight w:val="0"/>
      <w:marTop w:val="0"/>
      <w:marBottom w:val="0"/>
      <w:divBdr>
        <w:top w:val="none" w:sz="0" w:space="0" w:color="auto"/>
        <w:left w:val="none" w:sz="0" w:space="0" w:color="auto"/>
        <w:bottom w:val="none" w:sz="0" w:space="0" w:color="auto"/>
        <w:right w:val="none" w:sz="0" w:space="0" w:color="auto"/>
      </w:divBdr>
    </w:div>
    <w:div w:id="1819178207">
      <w:bodyDiv w:val="1"/>
      <w:marLeft w:val="0"/>
      <w:marRight w:val="0"/>
      <w:marTop w:val="0"/>
      <w:marBottom w:val="0"/>
      <w:divBdr>
        <w:top w:val="none" w:sz="0" w:space="0" w:color="auto"/>
        <w:left w:val="none" w:sz="0" w:space="0" w:color="auto"/>
        <w:bottom w:val="none" w:sz="0" w:space="0" w:color="auto"/>
        <w:right w:val="none" w:sz="0" w:space="0" w:color="auto"/>
      </w:divBdr>
    </w:div>
    <w:div w:id="1879931844">
      <w:bodyDiv w:val="1"/>
      <w:marLeft w:val="0"/>
      <w:marRight w:val="0"/>
      <w:marTop w:val="0"/>
      <w:marBottom w:val="0"/>
      <w:divBdr>
        <w:top w:val="none" w:sz="0" w:space="0" w:color="auto"/>
        <w:left w:val="none" w:sz="0" w:space="0" w:color="auto"/>
        <w:bottom w:val="none" w:sz="0" w:space="0" w:color="auto"/>
        <w:right w:val="none" w:sz="0" w:space="0" w:color="auto"/>
      </w:divBdr>
    </w:div>
    <w:div w:id="1954171715">
      <w:bodyDiv w:val="1"/>
      <w:marLeft w:val="0"/>
      <w:marRight w:val="0"/>
      <w:marTop w:val="0"/>
      <w:marBottom w:val="0"/>
      <w:divBdr>
        <w:top w:val="none" w:sz="0" w:space="0" w:color="auto"/>
        <w:left w:val="none" w:sz="0" w:space="0" w:color="auto"/>
        <w:bottom w:val="none" w:sz="0" w:space="0" w:color="auto"/>
        <w:right w:val="none" w:sz="0" w:space="0" w:color="auto"/>
      </w:divBdr>
    </w:div>
    <w:div w:id="1989626193">
      <w:bodyDiv w:val="1"/>
      <w:marLeft w:val="0"/>
      <w:marRight w:val="0"/>
      <w:marTop w:val="0"/>
      <w:marBottom w:val="0"/>
      <w:divBdr>
        <w:top w:val="none" w:sz="0" w:space="0" w:color="auto"/>
        <w:left w:val="none" w:sz="0" w:space="0" w:color="auto"/>
        <w:bottom w:val="none" w:sz="0" w:space="0" w:color="auto"/>
        <w:right w:val="none" w:sz="0" w:space="0" w:color="auto"/>
      </w:divBdr>
      <w:divsChild>
        <w:div w:id="28337869">
          <w:marLeft w:val="0"/>
          <w:marRight w:val="0"/>
          <w:marTop w:val="0"/>
          <w:marBottom w:val="0"/>
          <w:divBdr>
            <w:top w:val="none" w:sz="0" w:space="0" w:color="auto"/>
            <w:left w:val="none" w:sz="0" w:space="0" w:color="auto"/>
            <w:bottom w:val="none" w:sz="0" w:space="0" w:color="auto"/>
            <w:right w:val="none" w:sz="0" w:space="0" w:color="auto"/>
          </w:divBdr>
        </w:div>
        <w:div w:id="984166780">
          <w:marLeft w:val="0"/>
          <w:marRight w:val="0"/>
          <w:marTop w:val="0"/>
          <w:marBottom w:val="0"/>
          <w:divBdr>
            <w:top w:val="none" w:sz="0" w:space="0" w:color="auto"/>
            <w:left w:val="none" w:sz="0" w:space="0" w:color="auto"/>
            <w:bottom w:val="none" w:sz="0" w:space="0" w:color="auto"/>
            <w:right w:val="none" w:sz="0" w:space="0" w:color="auto"/>
          </w:divBdr>
        </w:div>
        <w:div w:id="1733889124">
          <w:marLeft w:val="0"/>
          <w:marRight w:val="0"/>
          <w:marTop w:val="0"/>
          <w:marBottom w:val="0"/>
          <w:divBdr>
            <w:top w:val="none" w:sz="0" w:space="0" w:color="auto"/>
            <w:left w:val="none" w:sz="0" w:space="0" w:color="auto"/>
            <w:bottom w:val="none" w:sz="0" w:space="0" w:color="auto"/>
            <w:right w:val="none" w:sz="0" w:space="0" w:color="auto"/>
          </w:divBdr>
        </w:div>
      </w:divsChild>
    </w:div>
    <w:div w:id="1998148634">
      <w:bodyDiv w:val="1"/>
      <w:marLeft w:val="0"/>
      <w:marRight w:val="0"/>
      <w:marTop w:val="0"/>
      <w:marBottom w:val="0"/>
      <w:divBdr>
        <w:top w:val="none" w:sz="0" w:space="0" w:color="auto"/>
        <w:left w:val="none" w:sz="0" w:space="0" w:color="auto"/>
        <w:bottom w:val="none" w:sz="0" w:space="0" w:color="auto"/>
        <w:right w:val="none" w:sz="0" w:space="0" w:color="auto"/>
      </w:divBdr>
    </w:div>
    <w:div w:id="2027977381">
      <w:bodyDiv w:val="1"/>
      <w:marLeft w:val="0"/>
      <w:marRight w:val="0"/>
      <w:marTop w:val="0"/>
      <w:marBottom w:val="0"/>
      <w:divBdr>
        <w:top w:val="none" w:sz="0" w:space="0" w:color="auto"/>
        <w:left w:val="none" w:sz="0" w:space="0" w:color="auto"/>
        <w:bottom w:val="none" w:sz="0" w:space="0" w:color="auto"/>
        <w:right w:val="none" w:sz="0" w:space="0" w:color="auto"/>
      </w:divBdr>
    </w:div>
    <w:div w:id="2044674356">
      <w:bodyDiv w:val="1"/>
      <w:marLeft w:val="0"/>
      <w:marRight w:val="0"/>
      <w:marTop w:val="0"/>
      <w:marBottom w:val="0"/>
      <w:divBdr>
        <w:top w:val="none" w:sz="0" w:space="0" w:color="auto"/>
        <w:left w:val="none" w:sz="0" w:space="0" w:color="auto"/>
        <w:bottom w:val="none" w:sz="0" w:space="0" w:color="auto"/>
        <w:right w:val="none" w:sz="0" w:space="0" w:color="auto"/>
      </w:divBdr>
    </w:div>
    <w:div w:id="2045713263">
      <w:bodyDiv w:val="1"/>
      <w:marLeft w:val="0"/>
      <w:marRight w:val="0"/>
      <w:marTop w:val="0"/>
      <w:marBottom w:val="0"/>
      <w:divBdr>
        <w:top w:val="none" w:sz="0" w:space="0" w:color="auto"/>
        <w:left w:val="none" w:sz="0" w:space="0" w:color="auto"/>
        <w:bottom w:val="none" w:sz="0" w:space="0" w:color="auto"/>
        <w:right w:val="none" w:sz="0" w:space="0" w:color="auto"/>
      </w:divBdr>
    </w:div>
    <w:div w:id="2098987400">
      <w:bodyDiv w:val="1"/>
      <w:marLeft w:val="0"/>
      <w:marRight w:val="0"/>
      <w:marTop w:val="0"/>
      <w:marBottom w:val="0"/>
      <w:divBdr>
        <w:top w:val="none" w:sz="0" w:space="0" w:color="auto"/>
        <w:left w:val="none" w:sz="0" w:space="0" w:color="auto"/>
        <w:bottom w:val="none" w:sz="0" w:space="0" w:color="auto"/>
        <w:right w:val="none" w:sz="0" w:space="0" w:color="auto"/>
      </w:divBdr>
    </w:div>
    <w:div w:id="214381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en.wikipedia.org/wiki/GDP" TargetMode="External"/><Relationship Id="rId26" Type="http://schemas.openxmlformats.org/officeDocument/2006/relationships/chart" Target="charts/chart2.xml"/><Relationship Id="rId39" Type="http://schemas.openxmlformats.org/officeDocument/2006/relationships/image" Target="media/image12.jpeg"/><Relationship Id="rId21" Type="http://schemas.openxmlformats.org/officeDocument/2006/relationships/hyperlink" Target="https://ourworldindata.org/" TargetMode="External"/><Relationship Id="rId34" Type="http://schemas.openxmlformats.org/officeDocument/2006/relationships/image" Target="media/image9.png"/><Relationship Id="rId42" Type="http://schemas.openxmlformats.org/officeDocument/2006/relationships/image" Target="media/image14.png"/><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en.wikipedia.org/wiki/Inflation"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chart" Target="charts/chart6.xml"/><Relationship Id="rId37" Type="http://schemas.openxmlformats.org/officeDocument/2006/relationships/image" Target="media/image11.png"/><Relationship Id="rId40" Type="http://schemas.openxmlformats.org/officeDocument/2006/relationships/image" Target="media/image13.jpe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en.wikipedia.org/wiki/Market_economy" TargetMode="External"/><Relationship Id="rId23" Type="http://schemas.openxmlformats.org/officeDocument/2006/relationships/image" Target="media/image4.png"/><Relationship Id="rId28" Type="http://schemas.openxmlformats.org/officeDocument/2006/relationships/image" Target="media/image6.jpeg"/><Relationship Id="rId36" Type="http://schemas.openxmlformats.org/officeDocument/2006/relationships/image" Target="media/image10.png"/><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chart" Target="charts/chart5.xml"/><Relationship Id="rId44" Type="http://schemas.openxmlformats.org/officeDocument/2006/relationships/hyperlink" Target="https://www.euro.who.int/en/publications/abstracts/compendium-of-good-practices-in-the-health-sector-response-to-hiv-in-the-who-european-region"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orldpopulationreview.com/countries/moldova-population/" TargetMode="External"/><Relationship Id="rId27" Type="http://schemas.openxmlformats.org/officeDocument/2006/relationships/chart" Target="charts/chart3.xml"/><Relationship Id="rId30" Type="http://schemas.openxmlformats.org/officeDocument/2006/relationships/chart" Target="charts/chart4.xml"/><Relationship Id="rId35" Type="http://schemas.openxmlformats.org/officeDocument/2006/relationships/hyperlink" Target="http://aidsinfo.unaids.org/" TargetMode="External"/><Relationship Id="rId43" Type="http://schemas.openxmlformats.org/officeDocument/2006/relationships/hyperlink" Target="https://www.theglobalfund.org/media/5648/core_sustainabilityandtransition_guidancenote_en.pdf" TargetMode="External"/><Relationship Id="rId48"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en.wikipedia.org/wiki/Remittance" TargetMode="External"/><Relationship Id="rId25" Type="http://schemas.openxmlformats.org/officeDocument/2006/relationships/chart" Target="charts/chart1.xml"/><Relationship Id="rId33" Type="http://schemas.openxmlformats.org/officeDocument/2006/relationships/image" Target="media/image8.png"/><Relationship Id="rId38" Type="http://schemas.openxmlformats.org/officeDocument/2006/relationships/chart" Target="charts/chart7.xml"/><Relationship Id="rId46" Type="http://schemas.openxmlformats.org/officeDocument/2006/relationships/footer" Target="footer2.xml"/><Relationship Id="rId20" Type="http://schemas.openxmlformats.org/officeDocument/2006/relationships/image" Target="media/image3.png"/><Relationship Id="rId41" Type="http://schemas.openxmlformats.org/officeDocument/2006/relationships/chart" Target="charts/chart8.xml"/></Relationships>
</file>

<file path=word/_rels/footnotes.xml.rels><?xml version="1.0" encoding="UTF-8" standalone="yes"?>
<Relationships xmlns="http://schemas.openxmlformats.org/package/2006/relationships"><Relationship Id="rId13" Type="http://schemas.openxmlformats.org/officeDocument/2006/relationships/hyperlink" Target="https://apps.who.int/iris/bitstream/handle/10665/311065/9789289053983-eng.pdf?sequence=1&amp;isAllowed=y" TargetMode="External"/><Relationship Id="rId18" Type="http://schemas.openxmlformats.org/officeDocument/2006/relationships/hyperlink" Target="https://www.euro.who.int/__data/assets/pdf_file/0006/178053/HiT-Moldova.pdf?ua=1" TargetMode="External"/><Relationship Id="rId26" Type="http://schemas.openxmlformats.org/officeDocument/2006/relationships/hyperlink" Target="http://www.pas.md/en/PAS/Studies/Details/79" TargetMode="External"/><Relationship Id="rId39" Type="http://schemas.openxmlformats.org/officeDocument/2006/relationships/hyperlink" Target="https://www.scoreforpeace.org/en/moldova/2018-General%20population-0" TargetMode="External"/><Relationship Id="rId21" Type="http://schemas.openxmlformats.org/officeDocument/2006/relationships/hyperlink" Target="https://gateway.euro.who.int/ru/indicators/hfa_569-6720-total-health-expenditure-ppp-per-capita-who-estimates/visualizations/" TargetMode="External"/><Relationship Id="rId34" Type="http://schemas.openxmlformats.org/officeDocument/2006/relationships/hyperlink" Target="https://www.ncbi.nlm.nih.gov/entrez/eutils/elink.fcgi?dbfrom=pubmed&amp;retmode=ref&amp;cmd=prlinks&amp;id=23100496" TargetMode="External"/><Relationship Id="rId7" Type="http://schemas.openxmlformats.org/officeDocument/2006/relationships/hyperlink" Target="http://pas.md/en/PAS/Studies/Details/114" TargetMode="External"/><Relationship Id="rId2" Type="http://schemas.openxmlformats.org/officeDocument/2006/relationships/hyperlink" Target="https://moldova.md/en/content/administrative-territorial-organization-moldova" TargetMode="External"/><Relationship Id="rId16" Type="http://schemas.openxmlformats.org/officeDocument/2006/relationships/hyperlink" Target="https://www.euro.who.int/en/publications/abstracts/compendium-of-good-practices-in-the-health-sector-response-to-hiv-in-the-who-european-region" TargetMode="External"/><Relationship Id="rId20" Type="http://schemas.openxmlformats.org/officeDocument/2006/relationships/hyperlink" Target="https://gov.md/sites/default/files/document/attachments/intr40_12_0.pdf" TargetMode="External"/><Relationship Id="rId29" Type="http://schemas.openxmlformats.org/officeDocument/2006/relationships/hyperlink" Target="http://md.one.un.org/content/unct/moldova/en/home/publications/joint-publications/perceptions-of-human-rights-in-the-republic-of-moldova/" TargetMode="External"/><Relationship Id="rId41" Type="http://schemas.openxmlformats.org/officeDocument/2006/relationships/hyperlink" Target="https://www.legis.md/cautare/getResults?doc_id=111740&amp;lang=ro" TargetMode="External"/><Relationship Id="rId1" Type="http://schemas.openxmlformats.org/officeDocument/2006/relationships/hyperlink" Target="http://data.worldbank.org/country/kazakhstan" TargetMode="External"/><Relationship Id="rId6" Type="http://schemas.openxmlformats.org/officeDocument/2006/relationships/hyperlink" Target="http://optimamodel.com/pubs/Moldova%202018.pdf" TargetMode="External"/><Relationship Id="rId11" Type="http://schemas.openxmlformats.org/officeDocument/2006/relationships/hyperlink" Target="http://old2.ms.gov.md/sites/default/files/legislatie/ordin_nr._1080_din_13.10.2014_cu_privire_la_masurile_de_eficientizare_a_depistarii_tuberculozei.pdf" TargetMode="External"/><Relationship Id="rId24" Type="http://schemas.openxmlformats.org/officeDocument/2006/relationships/hyperlink" Target="http://pas.md/en/PAS/Studies/Details/171" TargetMode="External"/><Relationship Id="rId32" Type="http://schemas.openxmlformats.org/officeDocument/2006/relationships/hyperlink" Target="http://optimamodel.com/pubs/Moldova%202018.pdf" TargetMode="External"/><Relationship Id="rId37" Type="http://schemas.openxmlformats.org/officeDocument/2006/relationships/hyperlink" Target="https://www.ncbi.nlm.nih.gov/pubmed/30904521" TargetMode="External"/><Relationship Id="rId40" Type="http://schemas.openxmlformats.org/officeDocument/2006/relationships/hyperlink" Target="https://www.euro.who.int/en/publications/abstracts/compendium-of-good-practices-in-the-health-sector-response-to-hiv-in-the-who-european-region" TargetMode="External"/><Relationship Id="rId5" Type="http://schemas.openxmlformats.org/officeDocument/2006/relationships/hyperlink" Target="https://statistica.gov.md/category.php?l=en&amp;idc=103&amp;" TargetMode="External"/><Relationship Id="rId15" Type="http://schemas.openxmlformats.org/officeDocument/2006/relationships/hyperlink" Target="http://pas.md/en/PAS/Studies/Details/27" TargetMode="External"/><Relationship Id="rId23" Type="http://schemas.openxmlformats.org/officeDocument/2006/relationships/hyperlink" Target="https://www.ncbi.nlm.nih.gov/pmc/articles/PMC4531477/" TargetMode="External"/><Relationship Id="rId28" Type="http://schemas.openxmlformats.org/officeDocument/2006/relationships/hyperlink" Target="https://www.scoreforpeace.org/en/moldova/2018-General%20population-0" TargetMode="External"/><Relationship Id="rId36" Type="http://schemas.openxmlformats.org/officeDocument/2006/relationships/hyperlink" Target="https://www.ncbi.nlm.nih.gov/pubmed/?term=Vesga%20JF%5bAuthor%5d&amp;cauthor=true&amp;cauthor_uid=30904521" TargetMode="External"/><Relationship Id="rId10" Type="http://schemas.openxmlformats.org/officeDocument/2006/relationships/hyperlink" Target="http://simetb.ifp.md/Download/oficial_docs/PCN-55-2020-Tuberculoza_la_copil.pdf" TargetMode="External"/><Relationship Id="rId19" Type="http://schemas.openxmlformats.org/officeDocument/2006/relationships/hyperlink" Target="https://ansp.md/wp-content/uploads/2014/07/strategia-HG1032RUS.pdf" TargetMode="External"/><Relationship Id="rId31" Type="http://schemas.openxmlformats.org/officeDocument/2006/relationships/hyperlink" Target="http://optimamodel.com/pubs/Moldova_2020.pdf" TargetMode="External"/><Relationship Id="rId4" Type="http://schemas.openxmlformats.org/officeDocument/2006/relationships/hyperlink" Target="https://www.worldbank.org/en/country/moldova/brief/moldova-economic-update" TargetMode="External"/><Relationship Id="rId9" Type="http://schemas.openxmlformats.org/officeDocument/2006/relationships/hyperlink" Target="http://simetb.ifp.md/Download/oficial_docs/Ordin_MS_2020_05_05_nr_440_441-aprobare-protocoale.pdf" TargetMode="External"/><Relationship Id="rId14" Type="http://schemas.openxmlformats.org/officeDocument/2006/relationships/hyperlink" Target="http://pas.md/en/PAS/Studies/Details/173?fbclid=IwAR08GRlq3BcWIDZalwj8JWuEGYtocqsr_nNaHYcPgw1RRUaVcLI95alJ39U" TargetMode="External"/><Relationship Id="rId22" Type="http://schemas.openxmlformats.org/officeDocument/2006/relationships/hyperlink" Target="https://www.euro.who.int/__data/assets/pdf_file/0018/183510/e96775-final.pdf" TargetMode="External"/><Relationship Id="rId27" Type="http://schemas.openxmlformats.org/officeDocument/2006/relationships/hyperlink" Target="https://www.stigmaindex.org/country-report/moldova/" TargetMode="External"/><Relationship Id="rId30" Type="http://schemas.openxmlformats.org/officeDocument/2006/relationships/hyperlink" Target="https://moldova.unwomen.org/en/biblioteca-digitala/publicatii/2016/01/report-on-costing-of-domestic-violence-and-violence-against-women-in-moldova" TargetMode="External"/><Relationship Id="rId35" Type="http://schemas.openxmlformats.org/officeDocument/2006/relationships/hyperlink" Target="https://www.ncbi.nlm.nih.gov/pubmed/?term=Vesga%20JF%5bAuthor%5d&amp;cauthor=true&amp;cauthor_uid=30904521" TargetMode="External"/><Relationship Id="rId8" Type="http://schemas.openxmlformats.org/officeDocument/2006/relationships/hyperlink" Target="http://pas.md/en/PAS/Studies/Details/172?fbclid=IwAR1kOhSXdOnX1q4LJLS3UOBuAs436Km-6ddI2CPjdxRGakPSAtROgjwu65s" TargetMode="External"/><Relationship Id="rId3" Type="http://schemas.openxmlformats.org/officeDocument/2006/relationships/hyperlink" Target="https://statbank.statistica.md/pxweb/pxweb/ro/20%20Populatia%20si%20procesele%20demografice/20%20Populatia%20si%20procesele%20demografice__POPrec__POP010/POP010100rcl.px/table/tableViewLayout1/?rxid=b2ff27d7-0b96-43c9-934b-42e1a2a9a774" TargetMode="External"/><Relationship Id="rId12" Type="http://schemas.openxmlformats.org/officeDocument/2006/relationships/hyperlink" Target="http://old2.ms.gov.md/sites/default/files/legislatie/ord._411_din_31.05.2017_modificarea%201080%20depistarea_tbc.pdf" TargetMode="External"/><Relationship Id="rId17" Type="http://schemas.openxmlformats.org/officeDocument/2006/relationships/hyperlink" Target="http://www.pas.md/en/PAS/Studies/Details/121" TargetMode="External"/><Relationship Id="rId25" Type="http://schemas.openxmlformats.org/officeDocument/2006/relationships/hyperlink" Target="https://www.euro.who.int/en/publications/abstracts/compendium-of-good-practices-in-the-health-sector-response-to-hiv-in-the-who-european-region" TargetMode="External"/><Relationship Id="rId33" Type="http://schemas.openxmlformats.org/officeDocument/2006/relationships/hyperlink" Target="http://www.stoptb.org/assets/documents/global/plan/GPR_2018-2022_Digital.pdf" TargetMode="External"/><Relationship Id="rId38" Type="http://schemas.openxmlformats.org/officeDocument/2006/relationships/hyperlink" Target="https://tbinternet.ohchr.org/Treaties/CRC/Shared%20Documents/MDA/INT_CRC_IFS_MDA_26438_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nash-mendez\AppData\Roaming\Microsoft\Templates\GF%20Report%20Template%201%20Colum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tela%20Bivol\OneDrive%20-%20Center%20for%20Health%20Policies%20and%20Studies\2020_GF_Application\Funding%20Request\stats\paturi%202014_2020_fin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tela%20Bivol\OneDrive%20-%20Center%20for%20Health%20Policies%20and%20Studies\2020_GF_Application\Funding%20Request\stats\paturi%202014_2020_fi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tela%20Bivol\AppData\Local\Microsoft\Windows\INetCache\Content.Outlook\837HB3RO\Stel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tela%20Bivol\AppData\Local\Microsoft\Windows\INetCache\Content.Outlook\837HB3RO\Stel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tela%20Bivol\AppData\Local\Microsoft\Windows\INetCache\Content.Outlook\837HB3RO\1.%20EPI%20info%20%20data%20request%2003.06%20.2020_late%20diagnosi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'age gender breakdown'!$A$4</c:f>
              <c:strCache>
                <c:ptCount val="1"/>
                <c:pt idx="0">
                  <c:v>Male</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 gender breakdown'!$B$3:$I$3</c:f>
              <c:strCache>
                <c:ptCount val="8"/>
                <c:pt idx="0">
                  <c:v>0 – 4</c:v>
                </c:pt>
                <c:pt idx="1">
                  <c:v>5 – 14</c:v>
                </c:pt>
                <c:pt idx="2">
                  <c:v>15 – 24</c:v>
                </c:pt>
                <c:pt idx="3">
                  <c:v>25 – 34</c:v>
                </c:pt>
                <c:pt idx="4">
                  <c:v>35 – 44</c:v>
                </c:pt>
                <c:pt idx="5">
                  <c:v>45 – 54</c:v>
                </c:pt>
                <c:pt idx="6">
                  <c:v>55 – 64</c:v>
                </c:pt>
                <c:pt idx="7">
                  <c:v>65+</c:v>
                </c:pt>
              </c:strCache>
            </c:strRef>
          </c:cat>
          <c:val>
            <c:numRef>
              <c:f>'age gender breakdown'!$B$4:$I$4</c:f>
              <c:numCache>
                <c:formatCode>General</c:formatCode>
                <c:ptCount val="8"/>
                <c:pt idx="0">
                  <c:v>21</c:v>
                </c:pt>
                <c:pt idx="1">
                  <c:v>30</c:v>
                </c:pt>
                <c:pt idx="2">
                  <c:v>99</c:v>
                </c:pt>
                <c:pt idx="3">
                  <c:v>383</c:v>
                </c:pt>
                <c:pt idx="4">
                  <c:v>535</c:v>
                </c:pt>
                <c:pt idx="5">
                  <c:v>505</c:v>
                </c:pt>
                <c:pt idx="6">
                  <c:v>379</c:v>
                </c:pt>
                <c:pt idx="7">
                  <c:v>166</c:v>
                </c:pt>
              </c:numCache>
            </c:numRef>
          </c:val>
          <c:extLst>
            <c:ext xmlns:c16="http://schemas.microsoft.com/office/drawing/2014/chart" uri="{C3380CC4-5D6E-409C-BE32-E72D297353CC}">
              <c16:uniqueId val="{00000000-BAA3-4E0C-A2BF-9D62B4389D40}"/>
            </c:ext>
          </c:extLst>
        </c:ser>
        <c:ser>
          <c:idx val="1"/>
          <c:order val="1"/>
          <c:tx>
            <c:strRef>
              <c:f>'age gender breakdown'!$A$5</c:f>
              <c:strCache>
                <c:ptCount val="1"/>
                <c:pt idx="0">
                  <c:v>Female</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 gender breakdown'!$B$3:$I$3</c:f>
              <c:strCache>
                <c:ptCount val="8"/>
                <c:pt idx="0">
                  <c:v>0 – 4</c:v>
                </c:pt>
                <c:pt idx="1">
                  <c:v>5 – 14</c:v>
                </c:pt>
                <c:pt idx="2">
                  <c:v>15 – 24</c:v>
                </c:pt>
                <c:pt idx="3">
                  <c:v>25 – 34</c:v>
                </c:pt>
                <c:pt idx="4">
                  <c:v>35 – 44</c:v>
                </c:pt>
                <c:pt idx="5">
                  <c:v>45 – 54</c:v>
                </c:pt>
                <c:pt idx="6">
                  <c:v>55 – 64</c:v>
                </c:pt>
                <c:pt idx="7">
                  <c:v>65+</c:v>
                </c:pt>
              </c:strCache>
            </c:strRef>
          </c:cat>
          <c:val>
            <c:numRef>
              <c:f>'age gender breakdown'!$B$5:$I$5</c:f>
              <c:numCache>
                <c:formatCode>General</c:formatCode>
                <c:ptCount val="8"/>
                <c:pt idx="0">
                  <c:v>20</c:v>
                </c:pt>
                <c:pt idx="1">
                  <c:v>30</c:v>
                </c:pt>
                <c:pt idx="2">
                  <c:v>62</c:v>
                </c:pt>
                <c:pt idx="3">
                  <c:v>202</c:v>
                </c:pt>
                <c:pt idx="4">
                  <c:v>161</c:v>
                </c:pt>
                <c:pt idx="5">
                  <c:v>110</c:v>
                </c:pt>
                <c:pt idx="6">
                  <c:v>90</c:v>
                </c:pt>
                <c:pt idx="7">
                  <c:v>86</c:v>
                </c:pt>
              </c:numCache>
            </c:numRef>
          </c:val>
          <c:extLst>
            <c:ext xmlns:c16="http://schemas.microsoft.com/office/drawing/2014/chart" uri="{C3380CC4-5D6E-409C-BE32-E72D297353CC}">
              <c16:uniqueId val="{00000001-BAA3-4E0C-A2BF-9D62B4389D40}"/>
            </c:ext>
          </c:extLst>
        </c:ser>
        <c:dLbls>
          <c:showLegendKey val="0"/>
          <c:showVal val="0"/>
          <c:showCatName val="0"/>
          <c:showSerName val="0"/>
          <c:showPercent val="0"/>
          <c:showBubbleSize val="0"/>
        </c:dLbls>
        <c:gapWidth val="219"/>
        <c:overlap val="-27"/>
        <c:axId val="438222792"/>
        <c:axId val="438226728"/>
      </c:barChart>
      <c:catAx>
        <c:axId val="438222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26728"/>
        <c:crosses val="autoZero"/>
        <c:auto val="1"/>
        <c:lblAlgn val="ctr"/>
        <c:lblOffset val="100"/>
        <c:noMultiLvlLbl val="0"/>
      </c:catAx>
      <c:valAx>
        <c:axId val="4382267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22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4.3234908136482939E-2"/>
          <c:y val="2.7565052352326928E-2"/>
          <c:w val="0.90620525695157672"/>
          <c:h val="0.74361311905683924"/>
        </c:manualLayout>
      </c:layout>
      <c:barChart>
        <c:barDir val="col"/>
        <c:grouping val="clustered"/>
        <c:varyColors val="0"/>
        <c:ser>
          <c:idx val="0"/>
          <c:order val="0"/>
          <c:tx>
            <c:strRef>
              <c:f>Sheet1!$B$1</c:f>
              <c:strCache>
                <c:ptCount val="1"/>
                <c:pt idx="0">
                  <c:v>Global incidence #</c:v>
                </c:pt>
              </c:strCache>
            </c:strRef>
          </c:tx>
          <c:spPr>
            <a:solidFill>
              <a:schemeClr val="accent5">
                <a:tint val="58000"/>
              </a:schemeClr>
            </a:solidFill>
            <a:ln>
              <a:noFill/>
            </a:ln>
            <a:effectLst/>
          </c:spPr>
          <c:invertIfNegative val="0"/>
          <c:dLbls>
            <c:dLbl>
              <c:idx val="1"/>
              <c:layout>
                <c:manualLayout>
                  <c:x val="-1.610305958132046E-2"/>
                  <c:y val="-2.27686703096539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C8-48A6-9F0D-BF060DD578DF}"/>
                </c:ext>
              </c:extLst>
            </c:dLbl>
            <c:dLbl>
              <c:idx val="2"/>
              <c:delete val="1"/>
              <c:extLst>
                <c:ext xmlns:c15="http://schemas.microsoft.com/office/drawing/2012/chart" uri="{CE6537A1-D6FC-4f65-9D91-7224C49458BB}"/>
                <c:ext xmlns:c16="http://schemas.microsoft.com/office/drawing/2014/chart" uri="{C3380CC4-5D6E-409C-BE32-E72D297353CC}">
                  <c16:uniqueId val="{00000001-89C8-48A6-9F0D-BF060DD578DF}"/>
                </c:ext>
              </c:extLst>
            </c:dLbl>
            <c:dLbl>
              <c:idx val="3"/>
              <c:layout>
                <c:manualLayout>
                  <c:x val="4.830917874396135E-3"/>
                  <c:y val="-2.27686703096539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C8-48A6-9F0D-BF060DD578DF}"/>
                </c:ext>
              </c:extLst>
            </c:dLbl>
            <c:dLbl>
              <c:idx val="4"/>
              <c:delete val="1"/>
              <c:extLst>
                <c:ext xmlns:c15="http://schemas.microsoft.com/office/drawing/2012/chart" uri="{CE6537A1-D6FC-4f65-9D91-7224C49458BB}"/>
                <c:ext xmlns:c16="http://schemas.microsoft.com/office/drawing/2014/chart" uri="{C3380CC4-5D6E-409C-BE32-E72D297353CC}">
                  <c16:uniqueId val="{00000003-89C8-48A6-9F0D-BF060DD578DF}"/>
                </c:ext>
              </c:extLst>
            </c:dLbl>
            <c:dLbl>
              <c:idx val="5"/>
              <c:layout>
                <c:manualLayout>
                  <c:x val="9.661835748792270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C8-48A6-9F0D-BF060DD578DF}"/>
                </c:ext>
              </c:extLst>
            </c:dLbl>
            <c:dLbl>
              <c:idx val="6"/>
              <c:delete val="1"/>
              <c:extLst>
                <c:ext xmlns:c15="http://schemas.microsoft.com/office/drawing/2012/chart" uri="{CE6537A1-D6FC-4f65-9D91-7224C49458BB}"/>
                <c:ext xmlns:c16="http://schemas.microsoft.com/office/drawing/2014/chart" uri="{C3380CC4-5D6E-409C-BE32-E72D297353CC}">
                  <c16:uniqueId val="{00000005-89C8-48A6-9F0D-BF060DD578DF}"/>
                </c:ext>
              </c:extLst>
            </c:dLbl>
            <c:dLbl>
              <c:idx val="7"/>
              <c:delete val="1"/>
              <c:extLst>
                <c:ext xmlns:c15="http://schemas.microsoft.com/office/drawing/2012/chart" uri="{CE6537A1-D6FC-4f65-9D91-7224C49458BB}"/>
                <c:ext xmlns:c16="http://schemas.microsoft.com/office/drawing/2014/chart" uri="{C3380CC4-5D6E-409C-BE32-E72D297353CC}">
                  <c16:uniqueId val="{00000006-89C8-48A6-9F0D-BF060DD578DF}"/>
                </c:ext>
              </c:extLst>
            </c:dLbl>
            <c:dLbl>
              <c:idx val="8"/>
              <c:layout>
                <c:manualLayout>
                  <c:x val="1.127214170692431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C8-48A6-9F0D-BF060DD578DF}"/>
                </c:ext>
              </c:extLst>
            </c:dLbl>
            <c:dLbl>
              <c:idx val="9"/>
              <c:layout>
                <c:manualLayout>
                  <c:x val="0"/>
                  <c:y val="-2.959927140255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C8-48A6-9F0D-BF060DD578DF}"/>
                </c:ext>
              </c:extLst>
            </c:dLbl>
            <c:dLbl>
              <c:idx val="10"/>
              <c:delete val="1"/>
              <c:extLst>
                <c:ext xmlns:c15="http://schemas.microsoft.com/office/drawing/2012/chart" uri="{CE6537A1-D6FC-4f65-9D91-7224C49458BB}"/>
                <c:ext xmlns:c16="http://schemas.microsoft.com/office/drawing/2014/chart" uri="{C3380CC4-5D6E-409C-BE32-E72D297353CC}">
                  <c16:uniqueId val="{00000009-89C8-48A6-9F0D-BF060DD578DF}"/>
                </c:ext>
              </c:extLst>
            </c:dLbl>
            <c:dLbl>
              <c:idx val="12"/>
              <c:spPr>
                <a:noFill/>
                <a:ln w="25364">
                  <a:noFill/>
                </a:ln>
                <a:effectLst/>
              </c:spPr>
              <c:txPr>
                <a:bodyPr rot="0" spcFirstLastPara="1" vertOverflow="ellipsis" vert="horz" wrap="square" anchor="ctr" anchorCtr="1"/>
                <a:lstStyle/>
                <a:p>
                  <a:pPr>
                    <a:defRPr sz="800" b="1" i="0" u="none" strike="noStrike" kern="1200" baseline="0">
                      <a:solidFill>
                        <a:srgbClr val="0070C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A-89C8-48A6-9F0D-BF060DD578DF}"/>
                </c:ext>
              </c:extLst>
            </c:dLbl>
            <c:dLbl>
              <c:idx val="16"/>
              <c:delete val="1"/>
              <c:extLst>
                <c:ext xmlns:c15="http://schemas.microsoft.com/office/drawing/2012/chart" uri="{CE6537A1-D6FC-4f65-9D91-7224C49458BB}"/>
                <c:ext xmlns:c16="http://schemas.microsoft.com/office/drawing/2014/chart" uri="{C3380CC4-5D6E-409C-BE32-E72D297353CC}">
                  <c16:uniqueId val="{0000000B-89C8-48A6-9F0D-BF060DD578DF}"/>
                </c:ext>
              </c:extLst>
            </c:dLbl>
            <c:dLbl>
              <c:idx val="18"/>
              <c:delete val="1"/>
              <c:extLst>
                <c:ext xmlns:c15="http://schemas.microsoft.com/office/drawing/2012/chart" uri="{CE6537A1-D6FC-4f65-9D91-7224C49458BB}"/>
                <c:ext xmlns:c16="http://schemas.microsoft.com/office/drawing/2014/chart" uri="{C3380CC4-5D6E-409C-BE32-E72D297353CC}">
                  <c16:uniqueId val="{0000000C-89C8-48A6-9F0D-BF060DD578DF}"/>
                </c:ext>
              </c:extLst>
            </c:dLbl>
            <c:dLbl>
              <c:idx val="20"/>
              <c:delete val="1"/>
              <c:extLst>
                <c:ext xmlns:c15="http://schemas.microsoft.com/office/drawing/2012/chart" uri="{CE6537A1-D6FC-4f65-9D91-7224C49458BB}"/>
                <c:ext xmlns:c16="http://schemas.microsoft.com/office/drawing/2014/chart" uri="{C3380CC4-5D6E-409C-BE32-E72D297353CC}">
                  <c16:uniqueId val="{0000000D-89C8-48A6-9F0D-BF060DD578DF}"/>
                </c:ext>
              </c:extLst>
            </c:dLbl>
            <c:dLbl>
              <c:idx val="21"/>
              <c:layout>
                <c:manualLayout>
                  <c:x val="9.6618357487922701E-3"/>
                  <c:y val="-9.10746812386156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9C8-48A6-9F0D-BF060DD578DF}"/>
                </c:ext>
              </c:extLst>
            </c:dLbl>
            <c:dLbl>
              <c:idx val="22"/>
              <c:delete val="1"/>
              <c:extLst>
                <c:ext xmlns:c15="http://schemas.microsoft.com/office/drawing/2012/chart" uri="{CE6537A1-D6FC-4f65-9D91-7224C49458BB}"/>
                <c:ext xmlns:c16="http://schemas.microsoft.com/office/drawing/2014/chart" uri="{C3380CC4-5D6E-409C-BE32-E72D297353CC}">
                  <c16:uniqueId val="{0000000F-89C8-48A6-9F0D-BF060DD578DF}"/>
                </c:ext>
              </c:extLst>
            </c:dLbl>
            <c:dLbl>
              <c:idx val="26"/>
              <c:delete val="1"/>
              <c:extLst>
                <c:ext xmlns:c15="http://schemas.microsoft.com/office/drawing/2012/chart" uri="{CE6537A1-D6FC-4f65-9D91-7224C49458BB}"/>
                <c:ext xmlns:c16="http://schemas.microsoft.com/office/drawing/2014/chart" uri="{C3380CC4-5D6E-409C-BE32-E72D297353CC}">
                  <c16:uniqueId val="{00000010-89C8-48A6-9F0D-BF060DD578DF}"/>
                </c:ext>
              </c:extLst>
            </c:dLbl>
            <c:dLbl>
              <c:idx val="28"/>
              <c:delete val="1"/>
              <c:extLst>
                <c:ext xmlns:c15="http://schemas.microsoft.com/office/drawing/2012/chart" uri="{CE6537A1-D6FC-4f65-9D91-7224C49458BB}"/>
                <c:ext xmlns:c16="http://schemas.microsoft.com/office/drawing/2014/chart" uri="{C3380CC4-5D6E-409C-BE32-E72D297353CC}">
                  <c16:uniqueId val="{00000011-89C8-48A6-9F0D-BF060DD578DF}"/>
                </c:ext>
              </c:extLst>
            </c:dLbl>
            <c:spPr>
              <a:noFill/>
              <a:ln w="25364">
                <a:noFill/>
              </a:ln>
              <a:effectLst/>
            </c:spPr>
            <c:txPr>
              <a:bodyPr rot="0" spcFirstLastPara="1" vertOverflow="ellipsis" vert="horz" wrap="square" anchor="ctr" anchorCtr="1"/>
              <a:lstStyle/>
              <a:p>
                <a:pPr>
                  <a:defRPr sz="900" b="1" i="0" u="none" strike="noStrike" kern="1200" baseline="0">
                    <a:solidFill>
                      <a:srgbClr val="0070C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Sheet1!$B$2:$B$31</c:f>
              <c:numCache>
                <c:formatCode>General</c:formatCode>
                <c:ptCount val="30"/>
                <c:pt idx="0">
                  <c:v>1728</c:v>
                </c:pt>
                <c:pt idx="1">
                  <c:v>2331</c:v>
                </c:pt>
                <c:pt idx="2">
                  <c:v>2298</c:v>
                </c:pt>
                <c:pt idx="3">
                  <c:v>2332</c:v>
                </c:pt>
                <c:pt idx="4">
                  <c:v>2627</c:v>
                </c:pt>
                <c:pt idx="5">
                  <c:v>2753</c:v>
                </c:pt>
                <c:pt idx="6">
                  <c:v>2921</c:v>
                </c:pt>
                <c:pt idx="7">
                  <c:v>2908</c:v>
                </c:pt>
                <c:pt idx="8">
                  <c:v>2891</c:v>
                </c:pt>
                <c:pt idx="9">
                  <c:v>2946</c:v>
                </c:pt>
                <c:pt idx="10">
                  <c:v>2935</c:v>
                </c:pt>
                <c:pt idx="11">
                  <c:v>3820</c:v>
                </c:pt>
                <c:pt idx="12">
                  <c:v>4142</c:v>
                </c:pt>
                <c:pt idx="13">
                  <c:v>4579</c:v>
                </c:pt>
                <c:pt idx="14">
                  <c:v>5154</c:v>
                </c:pt>
                <c:pt idx="15">
                  <c:v>5632</c:v>
                </c:pt>
                <c:pt idx="16">
                  <c:v>5471</c:v>
                </c:pt>
                <c:pt idx="17">
                  <c:v>5325</c:v>
                </c:pt>
                <c:pt idx="18">
                  <c:v>4940</c:v>
                </c:pt>
                <c:pt idx="19">
                  <c:v>4744</c:v>
                </c:pt>
                <c:pt idx="20">
                  <c:v>4626</c:v>
                </c:pt>
                <c:pt idx="21">
                  <c:v>4673</c:v>
                </c:pt>
                <c:pt idx="22">
                  <c:v>4680</c:v>
                </c:pt>
                <c:pt idx="23">
                  <c:v>4488</c:v>
                </c:pt>
                <c:pt idx="24">
                  <c:v>4061</c:v>
                </c:pt>
                <c:pt idx="25">
                  <c:v>3599</c:v>
                </c:pt>
                <c:pt idx="26">
                  <c:v>3569</c:v>
                </c:pt>
                <c:pt idx="27">
                  <c:v>3358</c:v>
                </c:pt>
                <c:pt idx="28">
                  <c:v>3021</c:v>
                </c:pt>
                <c:pt idx="29">
                  <c:v>2865</c:v>
                </c:pt>
              </c:numCache>
            </c:numRef>
          </c:val>
          <c:extLst>
            <c:ext xmlns:c16="http://schemas.microsoft.com/office/drawing/2014/chart" uri="{C3380CC4-5D6E-409C-BE32-E72D297353CC}">
              <c16:uniqueId val="{00000012-89C8-48A6-9F0D-BF060DD578DF}"/>
            </c:ext>
          </c:extLst>
        </c:ser>
        <c:ser>
          <c:idx val="2"/>
          <c:order val="2"/>
          <c:tx>
            <c:strRef>
              <c:f>Sheet1!$D$1</c:f>
              <c:strCache>
                <c:ptCount val="1"/>
                <c:pt idx="0">
                  <c:v>Mortality #</c:v>
                </c:pt>
              </c:strCache>
            </c:strRef>
          </c:tx>
          <c:spPr>
            <a:solidFill>
              <a:schemeClr val="accent5">
                <a:shade val="86000"/>
              </a:schemeClr>
            </a:solidFill>
            <a:ln>
              <a:noFill/>
            </a:ln>
            <a:effectLst/>
          </c:spPr>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Sheet1!$D$2:$D$31</c:f>
              <c:numCache>
                <c:formatCode>General</c:formatCode>
                <c:ptCount val="30"/>
                <c:pt idx="0">
                  <c:v>194</c:v>
                </c:pt>
                <c:pt idx="1">
                  <c:v>361</c:v>
                </c:pt>
                <c:pt idx="2">
                  <c:v>273</c:v>
                </c:pt>
                <c:pt idx="3">
                  <c:v>279</c:v>
                </c:pt>
                <c:pt idx="4">
                  <c:v>457</c:v>
                </c:pt>
                <c:pt idx="5">
                  <c:v>429</c:v>
                </c:pt>
                <c:pt idx="6">
                  <c:v>549</c:v>
                </c:pt>
                <c:pt idx="7">
                  <c:v>494</c:v>
                </c:pt>
                <c:pt idx="8">
                  <c:v>492</c:v>
                </c:pt>
                <c:pt idx="9">
                  <c:v>695</c:v>
                </c:pt>
                <c:pt idx="10">
                  <c:v>734</c:v>
                </c:pt>
                <c:pt idx="11">
                  <c:v>690</c:v>
                </c:pt>
                <c:pt idx="12">
                  <c:v>716</c:v>
                </c:pt>
                <c:pt idx="13">
                  <c:v>712</c:v>
                </c:pt>
                <c:pt idx="14">
                  <c:v>726</c:v>
                </c:pt>
                <c:pt idx="15">
                  <c:v>805</c:v>
                </c:pt>
                <c:pt idx="16">
                  <c:v>797</c:v>
                </c:pt>
                <c:pt idx="17">
                  <c:v>830</c:v>
                </c:pt>
                <c:pt idx="18">
                  <c:v>713</c:v>
                </c:pt>
                <c:pt idx="19">
                  <c:v>736</c:v>
                </c:pt>
                <c:pt idx="20">
                  <c:v>727</c:v>
                </c:pt>
                <c:pt idx="21">
                  <c:v>657</c:v>
                </c:pt>
                <c:pt idx="22">
                  <c:v>588</c:v>
                </c:pt>
                <c:pt idx="23">
                  <c:v>459</c:v>
                </c:pt>
                <c:pt idx="24">
                  <c:v>510</c:v>
                </c:pt>
                <c:pt idx="25">
                  <c:v>406</c:v>
                </c:pt>
                <c:pt idx="26">
                  <c:v>372</c:v>
                </c:pt>
                <c:pt idx="27">
                  <c:v>320</c:v>
                </c:pt>
                <c:pt idx="28">
                  <c:v>304</c:v>
                </c:pt>
                <c:pt idx="29">
                  <c:v>238</c:v>
                </c:pt>
              </c:numCache>
            </c:numRef>
          </c:val>
          <c:extLst>
            <c:ext xmlns:c16="http://schemas.microsoft.com/office/drawing/2014/chart" uri="{C3380CC4-5D6E-409C-BE32-E72D297353CC}">
              <c16:uniqueId val="{00000013-89C8-48A6-9F0D-BF060DD578DF}"/>
            </c:ext>
          </c:extLst>
        </c:ser>
        <c:dLbls>
          <c:showLegendKey val="0"/>
          <c:showVal val="0"/>
          <c:showCatName val="0"/>
          <c:showSerName val="0"/>
          <c:showPercent val="0"/>
          <c:showBubbleSize val="0"/>
        </c:dLbls>
        <c:gapWidth val="219"/>
        <c:axId val="170932808"/>
        <c:axId val="1"/>
      </c:barChart>
      <c:lineChart>
        <c:grouping val="standard"/>
        <c:varyColors val="0"/>
        <c:ser>
          <c:idx val="1"/>
          <c:order val="1"/>
          <c:tx>
            <c:strRef>
              <c:f>Sheet1!$C$1</c:f>
              <c:strCache>
                <c:ptCount val="1"/>
                <c:pt idx="0">
                  <c:v>Global Incidence, per 100k</c:v>
                </c:pt>
              </c:strCache>
            </c:strRef>
          </c:tx>
          <c:spPr>
            <a:ln w="19050" cap="rnd" cmpd="sng" algn="ctr">
              <a:solidFill>
                <a:schemeClr val="accent5">
                  <a:tint val="86000"/>
                </a:schemeClr>
              </a:solidFill>
              <a:prstDash val="solid"/>
              <a:round/>
            </a:ln>
            <a:effectLst/>
          </c:spPr>
          <c:marker>
            <c:symbol val="circle"/>
            <c:size val="4"/>
            <c:spPr>
              <a:solidFill>
                <a:schemeClr val="accent5">
                  <a:tint val="86000"/>
                </a:schemeClr>
              </a:solidFill>
              <a:ln w="6350" cap="flat" cmpd="sng" algn="ctr">
                <a:solidFill>
                  <a:schemeClr val="accent5">
                    <a:tint val="86000"/>
                  </a:schemeClr>
                </a:solidFill>
                <a:prstDash val="solid"/>
                <a:round/>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14-89C8-48A6-9F0D-BF060DD578DF}"/>
                </c:ext>
              </c:extLst>
            </c:dLbl>
            <c:dLbl>
              <c:idx val="2"/>
              <c:delete val="1"/>
              <c:extLst>
                <c:ext xmlns:c15="http://schemas.microsoft.com/office/drawing/2012/chart" uri="{CE6537A1-D6FC-4f65-9D91-7224C49458BB}"/>
                <c:ext xmlns:c16="http://schemas.microsoft.com/office/drawing/2014/chart" uri="{C3380CC4-5D6E-409C-BE32-E72D297353CC}">
                  <c16:uniqueId val="{00000015-89C8-48A6-9F0D-BF060DD578DF}"/>
                </c:ext>
              </c:extLst>
            </c:dLbl>
            <c:dLbl>
              <c:idx val="3"/>
              <c:layout>
                <c:manualLayout>
                  <c:x val="-2.8011335539579293E-2"/>
                  <c:y val="2.07252269695796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9C8-48A6-9F0D-BF060DD578DF}"/>
                </c:ext>
              </c:extLst>
            </c:dLbl>
            <c:dLbl>
              <c:idx val="4"/>
              <c:layout>
                <c:manualLayout>
                  <c:x val="-2.1570111707051112E-2"/>
                  <c:y val="3.43864291553719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9C8-48A6-9F0D-BF060DD578DF}"/>
                </c:ext>
              </c:extLst>
            </c:dLbl>
            <c:dLbl>
              <c:idx val="5"/>
              <c:delete val="1"/>
              <c:extLst>
                <c:ext xmlns:c15="http://schemas.microsoft.com/office/drawing/2012/chart" uri="{CE6537A1-D6FC-4f65-9D91-7224C49458BB}"/>
                <c:ext xmlns:c16="http://schemas.microsoft.com/office/drawing/2014/chart" uri="{C3380CC4-5D6E-409C-BE32-E72D297353CC}">
                  <c16:uniqueId val="{00000018-89C8-48A6-9F0D-BF060DD578DF}"/>
                </c:ext>
              </c:extLst>
            </c:dLbl>
            <c:dLbl>
              <c:idx val="7"/>
              <c:delete val="1"/>
              <c:extLst>
                <c:ext xmlns:c15="http://schemas.microsoft.com/office/drawing/2012/chart" uri="{CE6537A1-D6FC-4f65-9D91-7224C49458BB}"/>
                <c:ext xmlns:c16="http://schemas.microsoft.com/office/drawing/2014/chart" uri="{C3380CC4-5D6E-409C-BE32-E72D297353CC}">
                  <c16:uniqueId val="{00000019-89C8-48A6-9F0D-BF060DD578DF}"/>
                </c:ext>
              </c:extLst>
            </c:dLbl>
            <c:dLbl>
              <c:idx val="10"/>
              <c:delete val="1"/>
              <c:extLst>
                <c:ext xmlns:c15="http://schemas.microsoft.com/office/drawing/2012/chart" uri="{CE6537A1-D6FC-4f65-9D91-7224C49458BB}"/>
                <c:ext xmlns:c16="http://schemas.microsoft.com/office/drawing/2014/chart" uri="{C3380CC4-5D6E-409C-BE32-E72D297353CC}">
                  <c16:uniqueId val="{0000001A-89C8-48A6-9F0D-BF060DD578DF}"/>
                </c:ext>
              </c:extLst>
            </c:dLbl>
            <c:dLbl>
              <c:idx val="11"/>
              <c:layout>
                <c:manualLayout>
                  <c:x val="-1.9959805748919066E-2"/>
                  <c:y val="2.98326950934411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9C8-48A6-9F0D-BF060DD578DF}"/>
                </c:ext>
              </c:extLst>
            </c:dLbl>
            <c:dLbl>
              <c:idx val="16"/>
              <c:delete val="1"/>
              <c:extLst>
                <c:ext xmlns:c15="http://schemas.microsoft.com/office/drawing/2012/chart" uri="{CE6537A1-D6FC-4f65-9D91-7224C49458BB}"/>
                <c:ext xmlns:c16="http://schemas.microsoft.com/office/drawing/2014/chart" uri="{C3380CC4-5D6E-409C-BE32-E72D297353CC}">
                  <c16:uniqueId val="{0000001C-89C8-48A6-9F0D-BF060DD578DF}"/>
                </c:ext>
              </c:extLst>
            </c:dLbl>
            <c:dLbl>
              <c:idx val="17"/>
              <c:delete val="1"/>
              <c:extLst>
                <c:ext xmlns:c15="http://schemas.microsoft.com/office/drawing/2012/chart" uri="{CE6537A1-D6FC-4f65-9D91-7224C49458BB}"/>
                <c:ext xmlns:c16="http://schemas.microsoft.com/office/drawing/2014/chart" uri="{C3380CC4-5D6E-409C-BE32-E72D297353CC}">
                  <c16:uniqueId val="{0000001D-89C8-48A6-9F0D-BF060DD578DF}"/>
                </c:ext>
              </c:extLst>
            </c:dLbl>
            <c:dLbl>
              <c:idx val="20"/>
              <c:delete val="1"/>
              <c:extLst>
                <c:ext xmlns:c15="http://schemas.microsoft.com/office/drawing/2012/chart" uri="{CE6537A1-D6FC-4f65-9D91-7224C49458BB}"/>
                <c:ext xmlns:c16="http://schemas.microsoft.com/office/drawing/2014/chart" uri="{C3380CC4-5D6E-409C-BE32-E72D297353CC}">
                  <c16:uniqueId val="{0000001E-89C8-48A6-9F0D-BF060DD578DF}"/>
                </c:ext>
              </c:extLst>
            </c:dLbl>
            <c:dLbl>
              <c:idx val="22"/>
              <c:delete val="1"/>
              <c:extLst>
                <c:ext xmlns:c15="http://schemas.microsoft.com/office/drawing/2012/chart" uri="{CE6537A1-D6FC-4f65-9D91-7224C49458BB}"/>
                <c:ext xmlns:c16="http://schemas.microsoft.com/office/drawing/2014/chart" uri="{C3380CC4-5D6E-409C-BE32-E72D297353CC}">
                  <c16:uniqueId val="{0000001F-89C8-48A6-9F0D-BF060DD578DF}"/>
                </c:ext>
              </c:extLst>
            </c:dLbl>
            <c:dLbl>
              <c:idx val="26"/>
              <c:delete val="1"/>
              <c:extLst>
                <c:ext xmlns:c15="http://schemas.microsoft.com/office/drawing/2012/chart" uri="{CE6537A1-D6FC-4f65-9D91-7224C49458BB}"/>
                <c:ext xmlns:c16="http://schemas.microsoft.com/office/drawing/2014/chart" uri="{C3380CC4-5D6E-409C-BE32-E72D297353CC}">
                  <c16:uniqueId val="{00000020-89C8-48A6-9F0D-BF060DD578DF}"/>
                </c:ext>
              </c:extLst>
            </c:dLbl>
            <c:spPr>
              <a:solidFill>
                <a:schemeClr val="bg1"/>
              </a:solidFill>
              <a:ln>
                <a:noFill/>
              </a:ln>
              <a:effectLst/>
            </c:spPr>
            <c:txPr>
              <a:bodyPr rot="0" spcFirstLastPara="1" vertOverflow="ellipsis" vert="horz" wrap="square" anchor="ctr" anchorCtr="1"/>
              <a:lstStyle/>
              <a:p>
                <a:pPr>
                  <a:defRPr sz="800" b="1" i="0" u="none" strike="noStrike" kern="1200" baseline="0">
                    <a:solidFill>
                      <a:srgbClr val="FF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Sheet1!$C$2:$C$31</c:f>
              <c:numCache>
                <c:formatCode>General</c:formatCode>
                <c:ptCount val="30"/>
                <c:pt idx="0">
                  <c:v>39</c:v>
                </c:pt>
                <c:pt idx="1">
                  <c:v>52.5</c:v>
                </c:pt>
                <c:pt idx="2">
                  <c:v>53.3</c:v>
                </c:pt>
                <c:pt idx="3">
                  <c:v>52.6</c:v>
                </c:pt>
                <c:pt idx="4">
                  <c:v>53.5</c:v>
                </c:pt>
                <c:pt idx="5">
                  <c:v>60.2</c:v>
                </c:pt>
                <c:pt idx="6">
                  <c:v>63.3</c:v>
                </c:pt>
                <c:pt idx="7">
                  <c:v>67.400000000000006</c:v>
                </c:pt>
                <c:pt idx="8">
                  <c:v>67.099999999999994</c:v>
                </c:pt>
                <c:pt idx="9">
                  <c:v>67</c:v>
                </c:pt>
                <c:pt idx="10">
                  <c:v>68.599999999999994</c:v>
                </c:pt>
                <c:pt idx="11">
                  <c:v>68.5</c:v>
                </c:pt>
                <c:pt idx="12">
                  <c:v>89.4</c:v>
                </c:pt>
                <c:pt idx="13">
                  <c:v>97.1</c:v>
                </c:pt>
                <c:pt idx="14">
                  <c:v>108.3</c:v>
                </c:pt>
                <c:pt idx="15">
                  <c:v>133.9</c:v>
                </c:pt>
                <c:pt idx="16">
                  <c:v>132.5</c:v>
                </c:pt>
                <c:pt idx="17">
                  <c:v>129.4</c:v>
                </c:pt>
                <c:pt idx="18">
                  <c:v>120.5</c:v>
                </c:pt>
                <c:pt idx="19">
                  <c:v>116</c:v>
                </c:pt>
                <c:pt idx="20">
                  <c:v>113</c:v>
                </c:pt>
                <c:pt idx="21">
                  <c:v>114.5</c:v>
                </c:pt>
                <c:pt idx="22">
                  <c:v>114.7</c:v>
                </c:pt>
                <c:pt idx="23">
                  <c:v>110.3</c:v>
                </c:pt>
                <c:pt idx="24">
                  <c:v>99.7</c:v>
                </c:pt>
                <c:pt idx="25">
                  <c:v>88.4</c:v>
                </c:pt>
                <c:pt idx="26">
                  <c:v>88.5</c:v>
                </c:pt>
                <c:pt idx="27">
                  <c:v>83.3</c:v>
                </c:pt>
                <c:pt idx="28">
                  <c:v>75.099999999999994</c:v>
                </c:pt>
                <c:pt idx="29">
                  <c:v>71.3</c:v>
                </c:pt>
              </c:numCache>
            </c:numRef>
          </c:val>
          <c:smooth val="0"/>
          <c:extLst>
            <c:ext xmlns:c16="http://schemas.microsoft.com/office/drawing/2014/chart" uri="{C3380CC4-5D6E-409C-BE32-E72D297353CC}">
              <c16:uniqueId val="{00000021-89C8-48A6-9F0D-BF060DD578DF}"/>
            </c:ext>
          </c:extLst>
        </c:ser>
        <c:ser>
          <c:idx val="3"/>
          <c:order val="3"/>
          <c:tx>
            <c:strRef>
              <c:f>Sheet1!$E$1</c:f>
              <c:strCache>
                <c:ptCount val="1"/>
                <c:pt idx="0">
                  <c:v>Mortality, per 100k</c:v>
                </c:pt>
              </c:strCache>
            </c:strRef>
          </c:tx>
          <c:spPr>
            <a:ln w="19050" cap="rnd" cmpd="sng" algn="ctr">
              <a:solidFill>
                <a:schemeClr val="accent5">
                  <a:shade val="58000"/>
                </a:schemeClr>
              </a:solidFill>
              <a:prstDash val="solid"/>
              <a:round/>
            </a:ln>
            <a:effectLst/>
          </c:spPr>
          <c:marker>
            <c:symbol val="circle"/>
            <c:size val="4"/>
            <c:spPr>
              <a:solidFill>
                <a:schemeClr val="accent5">
                  <a:shade val="58000"/>
                </a:schemeClr>
              </a:solidFill>
              <a:ln w="6350" cap="flat" cmpd="sng" algn="ctr">
                <a:solidFill>
                  <a:schemeClr val="accent5">
                    <a:shade val="58000"/>
                  </a:schemeClr>
                </a:solidFill>
                <a:prstDash val="solid"/>
                <a:round/>
              </a:ln>
              <a:effectLst/>
            </c:spPr>
          </c:marker>
          <c:dLbls>
            <c:dLbl>
              <c:idx val="8"/>
              <c:delete val="1"/>
              <c:extLst>
                <c:ext xmlns:c15="http://schemas.microsoft.com/office/drawing/2012/chart" uri="{CE6537A1-D6FC-4f65-9D91-7224C49458BB}"/>
                <c:ext xmlns:c16="http://schemas.microsoft.com/office/drawing/2014/chart" uri="{C3380CC4-5D6E-409C-BE32-E72D297353CC}">
                  <c16:uniqueId val="{00000022-89C8-48A6-9F0D-BF060DD578DF}"/>
                </c:ext>
              </c:extLst>
            </c:dLbl>
            <c:dLbl>
              <c:idx val="18"/>
              <c:delete val="1"/>
              <c:extLst>
                <c:ext xmlns:c15="http://schemas.microsoft.com/office/drawing/2012/chart" uri="{CE6537A1-D6FC-4f65-9D91-7224C49458BB}"/>
                <c:ext xmlns:c16="http://schemas.microsoft.com/office/drawing/2014/chart" uri="{C3380CC4-5D6E-409C-BE32-E72D297353CC}">
                  <c16:uniqueId val="{00000023-89C8-48A6-9F0D-BF060DD578DF}"/>
                </c:ext>
              </c:extLst>
            </c:dLbl>
            <c:dLbl>
              <c:idx val="19"/>
              <c:delete val="1"/>
              <c:extLst>
                <c:ext xmlns:c15="http://schemas.microsoft.com/office/drawing/2012/chart" uri="{CE6537A1-D6FC-4f65-9D91-7224C49458BB}"/>
                <c:ext xmlns:c16="http://schemas.microsoft.com/office/drawing/2014/chart" uri="{C3380CC4-5D6E-409C-BE32-E72D297353CC}">
                  <c16:uniqueId val="{00000024-89C8-48A6-9F0D-BF060DD578DF}"/>
                </c:ext>
              </c:extLst>
            </c:dLbl>
            <c:dLbl>
              <c:idx val="25"/>
              <c:delete val="1"/>
              <c:extLst>
                <c:ext xmlns:c15="http://schemas.microsoft.com/office/drawing/2012/chart" uri="{CE6537A1-D6FC-4f65-9D91-7224C49458BB}"/>
                <c:ext xmlns:c16="http://schemas.microsoft.com/office/drawing/2014/chart" uri="{C3380CC4-5D6E-409C-BE32-E72D297353CC}">
                  <c16:uniqueId val="{00000025-89C8-48A6-9F0D-BF060DD578DF}"/>
                </c:ext>
              </c:extLst>
            </c:dLbl>
            <c:dLbl>
              <c:idx val="26"/>
              <c:delete val="1"/>
              <c:extLst>
                <c:ext xmlns:c15="http://schemas.microsoft.com/office/drawing/2012/chart" uri="{CE6537A1-D6FC-4f65-9D91-7224C49458BB}"/>
                <c:ext xmlns:c16="http://schemas.microsoft.com/office/drawing/2014/chart" uri="{C3380CC4-5D6E-409C-BE32-E72D297353CC}">
                  <c16:uniqueId val="{00000026-89C8-48A6-9F0D-BF060DD578DF}"/>
                </c:ext>
              </c:extLst>
            </c:dLbl>
            <c:dLbl>
              <c:idx val="28"/>
              <c:delete val="1"/>
              <c:extLst>
                <c:ext xmlns:c15="http://schemas.microsoft.com/office/drawing/2012/chart" uri="{CE6537A1-D6FC-4f65-9D91-7224C49458BB}"/>
                <c:ext xmlns:c16="http://schemas.microsoft.com/office/drawing/2014/chart" uri="{C3380CC4-5D6E-409C-BE32-E72D297353CC}">
                  <c16:uniqueId val="{00000027-89C8-48A6-9F0D-BF060DD578DF}"/>
                </c:ext>
              </c:extLst>
            </c:dLbl>
            <c:spPr>
              <a:solidFill>
                <a:schemeClr val="bg1"/>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Sheet1!$E$2:$E$31</c:f>
              <c:numCache>
                <c:formatCode>General</c:formatCode>
                <c:ptCount val="30"/>
                <c:pt idx="0">
                  <c:v>4.5999999999999996</c:v>
                </c:pt>
                <c:pt idx="1">
                  <c:v>6</c:v>
                </c:pt>
                <c:pt idx="2">
                  <c:v>6.3</c:v>
                </c:pt>
                <c:pt idx="3">
                  <c:v>6.4</c:v>
                </c:pt>
                <c:pt idx="4">
                  <c:v>10.5</c:v>
                </c:pt>
                <c:pt idx="5">
                  <c:v>9.9</c:v>
                </c:pt>
                <c:pt idx="6">
                  <c:v>12.7</c:v>
                </c:pt>
                <c:pt idx="7">
                  <c:v>11.4</c:v>
                </c:pt>
                <c:pt idx="8">
                  <c:v>11.4</c:v>
                </c:pt>
                <c:pt idx="9">
                  <c:v>15.5</c:v>
                </c:pt>
                <c:pt idx="10">
                  <c:v>17.2</c:v>
                </c:pt>
                <c:pt idx="11">
                  <c:v>15.5</c:v>
                </c:pt>
                <c:pt idx="12">
                  <c:v>15.6</c:v>
                </c:pt>
                <c:pt idx="13">
                  <c:v>16.899999999999999</c:v>
                </c:pt>
                <c:pt idx="14">
                  <c:v>17.100000000000001</c:v>
                </c:pt>
                <c:pt idx="15">
                  <c:v>19.100000000000001</c:v>
                </c:pt>
                <c:pt idx="16">
                  <c:v>19.3</c:v>
                </c:pt>
                <c:pt idx="17">
                  <c:v>20.2</c:v>
                </c:pt>
                <c:pt idx="18">
                  <c:v>17.399999999999999</c:v>
                </c:pt>
                <c:pt idx="19">
                  <c:v>18</c:v>
                </c:pt>
                <c:pt idx="20">
                  <c:v>17.8</c:v>
                </c:pt>
                <c:pt idx="21">
                  <c:v>16.100000000000001</c:v>
                </c:pt>
                <c:pt idx="22">
                  <c:v>14.4</c:v>
                </c:pt>
                <c:pt idx="23">
                  <c:v>11.3</c:v>
                </c:pt>
                <c:pt idx="24">
                  <c:v>12.5</c:v>
                </c:pt>
                <c:pt idx="25">
                  <c:v>10</c:v>
                </c:pt>
                <c:pt idx="26">
                  <c:v>9.1</c:v>
                </c:pt>
                <c:pt idx="27">
                  <c:v>7.9</c:v>
                </c:pt>
                <c:pt idx="28">
                  <c:v>7.6</c:v>
                </c:pt>
                <c:pt idx="29">
                  <c:v>5.9</c:v>
                </c:pt>
              </c:numCache>
            </c:numRef>
          </c:val>
          <c:smooth val="0"/>
          <c:extLst>
            <c:ext xmlns:c16="http://schemas.microsoft.com/office/drawing/2014/chart" uri="{C3380CC4-5D6E-409C-BE32-E72D297353CC}">
              <c16:uniqueId val="{00000028-89C8-48A6-9F0D-BF060DD578DF}"/>
            </c:ext>
          </c:extLst>
        </c:ser>
        <c:dLbls>
          <c:showLegendKey val="0"/>
          <c:showVal val="0"/>
          <c:showCatName val="0"/>
          <c:showSerName val="0"/>
          <c:showPercent val="0"/>
          <c:showBubbleSize val="0"/>
        </c:dLbls>
        <c:marker val="1"/>
        <c:smooth val="0"/>
        <c:axId val="3"/>
        <c:axId val="4"/>
      </c:lineChart>
      <c:catAx>
        <c:axId val="170932808"/>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600" b="0" i="0" u="none" strike="noStrike" kern="1200" baseline="0">
                <a:solidFill>
                  <a:schemeClr val="tx1"/>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r"/>
        <c:numFmt formatCode="General" sourceLinked="1"/>
        <c:majorTickMark val="out"/>
        <c:minorTickMark val="none"/>
        <c:tickLblPos val="nextTo"/>
        <c:spPr>
          <a:noFill/>
          <a:ln w="6341" cap="flat" cmpd="sng" algn="ctr">
            <a:noFill/>
            <a:prstDash val="solid"/>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0932808"/>
        <c:crosses val="max"/>
        <c:crossBetween val="between"/>
      </c:valAx>
      <c:catAx>
        <c:axId val="3"/>
        <c:scaling>
          <c:orientation val="minMax"/>
        </c:scaling>
        <c:delete val="1"/>
        <c:axPos val="t"/>
        <c:numFmt formatCode="General" sourceLinked="1"/>
        <c:majorTickMark val="out"/>
        <c:minorTickMark val="none"/>
        <c:tickLblPos val="nextTo"/>
        <c:crossAx val="4"/>
        <c:crosses val="max"/>
        <c:auto val="1"/>
        <c:lblAlgn val="ctr"/>
        <c:lblOffset val="100"/>
        <c:noMultiLvlLbl val="0"/>
      </c:catAx>
      <c:valAx>
        <c:axId val="4"/>
        <c:scaling>
          <c:orientation val="minMax"/>
        </c:scaling>
        <c:delete val="0"/>
        <c:axPos val="l"/>
        <c:numFmt formatCode="General" sourceLinked="1"/>
        <c:majorTickMark val="out"/>
        <c:minorTickMark val="none"/>
        <c:tickLblPos val="nextTo"/>
        <c:spPr>
          <a:noFill/>
          <a:ln w="6341" cap="flat" cmpd="sng" algn="ctr">
            <a:noFill/>
            <a:prstDash val="solid"/>
            <a:round/>
          </a:ln>
          <a:effectLst/>
        </c:spPr>
        <c:txPr>
          <a:bodyPr rot="-60000000" spcFirstLastPara="1" vertOverflow="ellipsis" vert="horz" wrap="square" anchor="ctr" anchorCtr="1"/>
          <a:lstStyle/>
          <a:p>
            <a:pPr>
              <a:defRPr sz="1195" b="0" i="0" u="none" strike="noStrike" kern="1200" baseline="0">
                <a:solidFill>
                  <a:schemeClr val="tx1">
                    <a:lumMod val="65000"/>
                    <a:lumOff val="35000"/>
                  </a:schemeClr>
                </a:solidFill>
                <a:latin typeface="+mn-lt"/>
                <a:ea typeface="+mn-ea"/>
                <a:cs typeface="+mn-cs"/>
              </a:defRPr>
            </a:pPr>
            <a:endParaRPr lang="en-US"/>
          </a:p>
        </c:txPr>
        <c:crossAx val="3"/>
        <c:crosses val="autoZero"/>
        <c:crossBetween val="between"/>
      </c:valAx>
      <c:spPr>
        <a:noFill/>
        <a:ln w="25364">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1">
                    <a:lumMod val="95000"/>
                    <a:lumOff val="5000"/>
                  </a:schemeClr>
                </a:solidFill>
                <a:latin typeface="Times New Roman" pitchFamily="18" charset="0"/>
                <a:ea typeface="+mn-ea"/>
                <a:cs typeface="Times New Roman" pitchFamily="18" charset="0"/>
              </a:defRPr>
            </a:pPr>
            <a:endParaRPr lang="en-US"/>
          </a:p>
        </c:txPr>
      </c:legendEntry>
      <c:legendEntry>
        <c:idx val="1"/>
        <c:txPr>
          <a:bodyPr rot="0" spcFirstLastPara="1" vertOverflow="ellipsis" vert="horz" wrap="square" anchor="ctr" anchorCtr="1"/>
          <a:lstStyle/>
          <a:p>
            <a:pPr>
              <a:defRPr sz="1000" b="1" i="0" u="none" strike="noStrike" kern="1200" baseline="0">
                <a:solidFill>
                  <a:schemeClr val="tx1">
                    <a:lumMod val="95000"/>
                    <a:lumOff val="5000"/>
                  </a:schemeClr>
                </a:solidFill>
                <a:latin typeface="Times New Roman" pitchFamily="18" charset="0"/>
                <a:ea typeface="+mn-ea"/>
                <a:cs typeface="Times New Roman" pitchFamily="18" charset="0"/>
              </a:defRPr>
            </a:pPr>
            <a:endParaRPr lang="en-US"/>
          </a:p>
        </c:txPr>
      </c:legendEntry>
      <c:legendEntry>
        <c:idx val="2"/>
        <c:txPr>
          <a:bodyPr rot="0" spcFirstLastPara="1" vertOverflow="ellipsis" vert="horz" wrap="square" anchor="ctr" anchorCtr="1"/>
          <a:lstStyle/>
          <a:p>
            <a:pPr>
              <a:defRPr sz="900" b="1" i="0" u="none" strike="noStrike" kern="1200" baseline="0">
                <a:solidFill>
                  <a:schemeClr val="tx1">
                    <a:lumMod val="95000"/>
                    <a:lumOff val="5000"/>
                  </a:schemeClr>
                </a:solidFill>
                <a:latin typeface="Times New Roman" pitchFamily="18" charset="0"/>
                <a:ea typeface="+mn-ea"/>
                <a:cs typeface="Times New Roman" pitchFamily="18" charset="0"/>
              </a:defRPr>
            </a:pPr>
            <a:endParaRPr lang="en-US"/>
          </a:p>
        </c:txPr>
      </c:legendEntry>
      <c:legendEntry>
        <c:idx val="3"/>
        <c:txPr>
          <a:bodyPr rot="0" spcFirstLastPara="1" vertOverflow="ellipsis" vert="horz" wrap="square" anchor="ctr" anchorCtr="1"/>
          <a:lstStyle/>
          <a:p>
            <a:pPr>
              <a:defRPr sz="1000" b="1" i="0" u="none" strike="noStrike" kern="1200" baseline="0">
                <a:solidFill>
                  <a:schemeClr val="tx1">
                    <a:lumMod val="95000"/>
                    <a:lumOff val="5000"/>
                  </a:schemeClr>
                </a:solidFill>
                <a:latin typeface="Times New Roman" pitchFamily="18" charset="0"/>
                <a:ea typeface="+mn-ea"/>
                <a:cs typeface="Times New Roman" pitchFamily="18" charset="0"/>
              </a:defRPr>
            </a:pPr>
            <a:endParaRPr lang="en-US"/>
          </a:p>
        </c:txPr>
      </c:legendEntry>
      <c:layout>
        <c:manualLayout>
          <c:xMode val="edge"/>
          <c:yMode val="edge"/>
          <c:x val="4.6376806347482424E-2"/>
          <c:y val="0.83156364075180256"/>
          <c:w val="0.9"/>
          <c:h val="0.15499562554680663"/>
        </c:manualLayout>
      </c:layout>
      <c:overlay val="0"/>
      <c:spPr>
        <a:noFill/>
        <a:ln w="25364">
          <a:noFill/>
        </a:ln>
        <a:effectLst/>
      </c:spPr>
      <c:txPr>
        <a:bodyPr rot="0" spcFirstLastPara="1" vertOverflow="ellipsis" vert="horz" wrap="square" anchor="ctr" anchorCtr="1"/>
        <a:lstStyle/>
        <a:p>
          <a:pPr>
            <a:defRPr sz="1398" b="1" i="0" u="none" strike="noStrike" kern="1200" baseline="0">
              <a:solidFill>
                <a:schemeClr val="tx1">
                  <a:lumMod val="95000"/>
                  <a:lumOff val="5000"/>
                </a:schemeClr>
              </a:solidFill>
              <a:latin typeface="Times New Roman" pitchFamily="18" charset="0"/>
              <a:ea typeface="+mn-ea"/>
              <a:cs typeface="Times New Roman" pitchFamily="18" charset="0"/>
            </a:defRPr>
          </a:pPr>
          <a:endParaRPr lang="en-US"/>
        </a:p>
      </c:txPr>
    </c:legend>
    <c:plotVisOnly val="1"/>
    <c:dispBlanksAs val="gap"/>
    <c:showDLblsOverMax val="0"/>
  </c:chart>
  <c:spPr>
    <a:noFill/>
    <a:ln w="6350" cap="flat" cmpd="sng" algn="ctr">
      <a:noFill/>
      <a:prstDash val="solid"/>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lineChart>
        <c:grouping val="standard"/>
        <c:varyColors val="0"/>
        <c:ser>
          <c:idx val="0"/>
          <c:order val="0"/>
          <c:tx>
            <c:strRef>
              <c:f>'mdr prevalence'!$A$4</c:f>
              <c:strCache>
                <c:ptCount val="1"/>
                <c:pt idx="0">
                  <c:v>New</c:v>
                </c:pt>
              </c:strCache>
            </c:strRef>
          </c:tx>
          <c:spPr>
            <a:ln w="28575" cap="rnd">
              <a:solidFill>
                <a:schemeClr val="accent5">
                  <a:shade val="76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'mdr prevalence'!$B$3:$G$3</c:f>
              <c:strCache>
                <c:ptCount val="6"/>
                <c:pt idx="0">
                  <c:v>2014</c:v>
                </c:pt>
                <c:pt idx="1">
                  <c:v>2015</c:v>
                </c:pt>
                <c:pt idx="2">
                  <c:v>2016</c:v>
                </c:pt>
                <c:pt idx="3">
                  <c:v>2017</c:v>
                </c:pt>
                <c:pt idx="4">
                  <c:v>2018</c:v>
                </c:pt>
                <c:pt idx="5">
                  <c:v>2019*</c:v>
                </c:pt>
              </c:strCache>
            </c:strRef>
          </c:cat>
          <c:val>
            <c:numRef>
              <c:f>'mdr prevalence'!$B$4:$G$4</c:f>
              <c:numCache>
                <c:formatCode>General</c:formatCode>
                <c:ptCount val="6"/>
                <c:pt idx="0">
                  <c:v>22.6</c:v>
                </c:pt>
                <c:pt idx="1">
                  <c:v>28.3</c:v>
                </c:pt>
                <c:pt idx="2">
                  <c:v>27.7</c:v>
                </c:pt>
                <c:pt idx="3">
                  <c:v>26.6</c:v>
                </c:pt>
                <c:pt idx="4">
                  <c:v>24.3</c:v>
                </c:pt>
                <c:pt idx="5">
                  <c:v>26.9</c:v>
                </c:pt>
              </c:numCache>
            </c:numRef>
          </c:val>
          <c:smooth val="0"/>
          <c:extLst>
            <c:ext xmlns:c16="http://schemas.microsoft.com/office/drawing/2014/chart" uri="{C3380CC4-5D6E-409C-BE32-E72D297353CC}">
              <c16:uniqueId val="{00000000-AE1D-4DB2-A523-67ADDBD6E428}"/>
            </c:ext>
          </c:extLst>
        </c:ser>
        <c:ser>
          <c:idx val="1"/>
          <c:order val="1"/>
          <c:tx>
            <c:strRef>
              <c:f>'mdr prevalence'!$A$5</c:f>
              <c:strCache>
                <c:ptCount val="1"/>
                <c:pt idx="0">
                  <c:v>Retreatment</c:v>
                </c:pt>
              </c:strCache>
            </c:strRef>
          </c:tx>
          <c:spPr>
            <a:ln w="28575" cap="rnd">
              <a:solidFill>
                <a:schemeClr val="accent5">
                  <a:tint val="77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'mdr prevalence'!$B$3:$G$3</c:f>
              <c:strCache>
                <c:ptCount val="6"/>
                <c:pt idx="0">
                  <c:v>2014</c:v>
                </c:pt>
                <c:pt idx="1">
                  <c:v>2015</c:v>
                </c:pt>
                <c:pt idx="2">
                  <c:v>2016</c:v>
                </c:pt>
                <c:pt idx="3">
                  <c:v>2017</c:v>
                </c:pt>
                <c:pt idx="4">
                  <c:v>2018</c:v>
                </c:pt>
                <c:pt idx="5">
                  <c:v>2019*</c:v>
                </c:pt>
              </c:strCache>
            </c:strRef>
          </c:cat>
          <c:val>
            <c:numRef>
              <c:f>'mdr prevalence'!$B$5:$G$5</c:f>
              <c:numCache>
                <c:formatCode>General</c:formatCode>
                <c:ptCount val="6"/>
                <c:pt idx="0">
                  <c:v>63.4</c:v>
                </c:pt>
                <c:pt idx="1">
                  <c:v>62.2</c:v>
                </c:pt>
                <c:pt idx="2">
                  <c:v>55.8</c:v>
                </c:pt>
                <c:pt idx="3">
                  <c:v>51.3</c:v>
                </c:pt>
                <c:pt idx="4">
                  <c:v>62.6</c:v>
                </c:pt>
                <c:pt idx="5">
                  <c:v>56.1</c:v>
                </c:pt>
              </c:numCache>
            </c:numRef>
          </c:val>
          <c:smooth val="0"/>
          <c:extLst>
            <c:ext xmlns:c16="http://schemas.microsoft.com/office/drawing/2014/chart" uri="{C3380CC4-5D6E-409C-BE32-E72D297353CC}">
              <c16:uniqueId val="{00000001-AE1D-4DB2-A523-67ADDBD6E428}"/>
            </c:ext>
          </c:extLst>
        </c:ser>
        <c:dLbls>
          <c:showLegendKey val="0"/>
          <c:showVal val="0"/>
          <c:showCatName val="0"/>
          <c:showSerName val="0"/>
          <c:showPercent val="0"/>
          <c:showBubbleSize val="0"/>
        </c:dLbls>
        <c:smooth val="0"/>
        <c:axId val="324693520"/>
        <c:axId val="324698768"/>
      </c:lineChart>
      <c:catAx>
        <c:axId val="32469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698768"/>
        <c:crosses val="autoZero"/>
        <c:auto val="1"/>
        <c:lblAlgn val="ctr"/>
        <c:lblOffset val="100"/>
        <c:noMultiLvlLbl val="0"/>
      </c:catAx>
      <c:valAx>
        <c:axId val="3246987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69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'TB beds'!$B$18</c:f>
              <c:strCache>
                <c:ptCount val="1"/>
                <c:pt idx="0">
                  <c:v>Total</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'TB beds'!$C$17:$I$17</c:f>
              <c:numCache>
                <c:formatCode>General</c:formatCode>
                <c:ptCount val="7"/>
                <c:pt idx="0">
                  <c:v>2014</c:v>
                </c:pt>
                <c:pt idx="1">
                  <c:v>2015</c:v>
                </c:pt>
                <c:pt idx="2">
                  <c:v>2016</c:v>
                </c:pt>
                <c:pt idx="3">
                  <c:v>2017</c:v>
                </c:pt>
                <c:pt idx="4">
                  <c:v>2018</c:v>
                </c:pt>
                <c:pt idx="5">
                  <c:v>2019</c:v>
                </c:pt>
                <c:pt idx="6">
                  <c:v>2020</c:v>
                </c:pt>
              </c:numCache>
            </c:numRef>
          </c:cat>
          <c:val>
            <c:numRef>
              <c:f>'TB beds'!$C$18:$I$18</c:f>
              <c:numCache>
                <c:formatCode>General</c:formatCode>
                <c:ptCount val="7"/>
                <c:pt idx="0">
                  <c:v>1420</c:v>
                </c:pt>
                <c:pt idx="1">
                  <c:v>1260</c:v>
                </c:pt>
                <c:pt idx="2">
                  <c:v>1220</c:v>
                </c:pt>
                <c:pt idx="3">
                  <c:v>945</c:v>
                </c:pt>
                <c:pt idx="4">
                  <c:v>910</c:v>
                </c:pt>
                <c:pt idx="5">
                  <c:v>910</c:v>
                </c:pt>
                <c:pt idx="6">
                  <c:v>865</c:v>
                </c:pt>
              </c:numCache>
            </c:numRef>
          </c:val>
          <c:extLst>
            <c:ext xmlns:c16="http://schemas.microsoft.com/office/drawing/2014/chart" uri="{C3380CC4-5D6E-409C-BE32-E72D297353CC}">
              <c16:uniqueId val="{00000000-367B-490D-A5FF-A48204320382}"/>
            </c:ext>
          </c:extLst>
        </c:ser>
        <c:ser>
          <c:idx val="1"/>
          <c:order val="1"/>
          <c:tx>
            <c:strRef>
              <c:f>'TB beds'!$B$19</c:f>
              <c:strCache>
                <c:ptCount val="1"/>
                <c:pt idx="0">
                  <c:v>MDR: Right Bank</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'TB beds'!$C$17:$I$17</c:f>
              <c:numCache>
                <c:formatCode>General</c:formatCode>
                <c:ptCount val="7"/>
                <c:pt idx="0">
                  <c:v>2014</c:v>
                </c:pt>
                <c:pt idx="1">
                  <c:v>2015</c:v>
                </c:pt>
                <c:pt idx="2">
                  <c:v>2016</c:v>
                </c:pt>
                <c:pt idx="3">
                  <c:v>2017</c:v>
                </c:pt>
                <c:pt idx="4">
                  <c:v>2018</c:v>
                </c:pt>
                <c:pt idx="5">
                  <c:v>2019</c:v>
                </c:pt>
                <c:pt idx="6">
                  <c:v>2020</c:v>
                </c:pt>
              </c:numCache>
            </c:numRef>
          </c:cat>
          <c:val>
            <c:numRef>
              <c:f>'TB beds'!$C$19:$I$19</c:f>
              <c:numCache>
                <c:formatCode>General</c:formatCode>
                <c:ptCount val="7"/>
                <c:pt idx="0">
                  <c:v>490</c:v>
                </c:pt>
                <c:pt idx="1">
                  <c:v>400</c:v>
                </c:pt>
                <c:pt idx="2">
                  <c:v>360</c:v>
                </c:pt>
                <c:pt idx="3">
                  <c:v>170</c:v>
                </c:pt>
                <c:pt idx="4">
                  <c:v>170</c:v>
                </c:pt>
                <c:pt idx="5">
                  <c:v>170</c:v>
                </c:pt>
                <c:pt idx="6">
                  <c:v>170</c:v>
                </c:pt>
              </c:numCache>
            </c:numRef>
          </c:val>
          <c:extLst>
            <c:ext xmlns:c16="http://schemas.microsoft.com/office/drawing/2014/chart" uri="{C3380CC4-5D6E-409C-BE32-E72D297353CC}">
              <c16:uniqueId val="{00000001-367B-490D-A5FF-A48204320382}"/>
            </c:ext>
          </c:extLst>
        </c:ser>
        <c:ser>
          <c:idx val="2"/>
          <c:order val="2"/>
          <c:tx>
            <c:strRef>
              <c:f>'TB beds'!$B$20</c:f>
              <c:strCache>
                <c:ptCount val="1"/>
                <c:pt idx="0">
                  <c:v>MDR: Transnistria</c:v>
                </c:pt>
              </c:strCache>
            </c:strRef>
          </c:tx>
          <c:spPr>
            <a:solidFill>
              <a:schemeClr val="accent5">
                <a:tint val="65000"/>
              </a:schemeClr>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7B-490D-A5FF-A48204320382}"/>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67B-490D-A5FF-A4820432038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'TB beds'!$C$17:$I$17</c:f>
              <c:numCache>
                <c:formatCode>General</c:formatCode>
                <c:ptCount val="7"/>
                <c:pt idx="0">
                  <c:v>2014</c:v>
                </c:pt>
                <c:pt idx="1">
                  <c:v>2015</c:v>
                </c:pt>
                <c:pt idx="2">
                  <c:v>2016</c:v>
                </c:pt>
                <c:pt idx="3">
                  <c:v>2017</c:v>
                </c:pt>
                <c:pt idx="4">
                  <c:v>2018</c:v>
                </c:pt>
                <c:pt idx="5">
                  <c:v>2019</c:v>
                </c:pt>
                <c:pt idx="6">
                  <c:v>2020</c:v>
                </c:pt>
              </c:numCache>
            </c:numRef>
          </c:cat>
          <c:val>
            <c:numRef>
              <c:f>'TB beds'!$C$20:$I$20</c:f>
              <c:numCache>
                <c:formatCode>General</c:formatCode>
                <c:ptCount val="7"/>
                <c:pt idx="0">
                  <c:v>120</c:v>
                </c:pt>
                <c:pt idx="1">
                  <c:v>120</c:v>
                </c:pt>
                <c:pt idx="2">
                  <c:v>120</c:v>
                </c:pt>
                <c:pt idx="3">
                  <c:v>120</c:v>
                </c:pt>
                <c:pt idx="4">
                  <c:v>120</c:v>
                </c:pt>
                <c:pt idx="5">
                  <c:v>120</c:v>
                </c:pt>
                <c:pt idx="6">
                  <c:v>120</c:v>
                </c:pt>
              </c:numCache>
            </c:numRef>
          </c:val>
          <c:extLst>
            <c:ext xmlns:c16="http://schemas.microsoft.com/office/drawing/2014/chart" uri="{C3380CC4-5D6E-409C-BE32-E72D297353CC}">
              <c16:uniqueId val="{00000002-367B-490D-A5FF-A48204320382}"/>
            </c:ext>
          </c:extLst>
        </c:ser>
        <c:dLbls>
          <c:showLegendKey val="0"/>
          <c:showVal val="0"/>
          <c:showCatName val="0"/>
          <c:showSerName val="0"/>
          <c:showPercent val="0"/>
          <c:showBubbleSize val="0"/>
        </c:dLbls>
        <c:gapWidth val="219"/>
        <c:overlap val="-27"/>
        <c:axId val="445843416"/>
        <c:axId val="445845712"/>
      </c:barChart>
      <c:catAx>
        <c:axId val="445843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845712"/>
        <c:crosses val="autoZero"/>
        <c:auto val="1"/>
        <c:lblAlgn val="ctr"/>
        <c:lblOffset val="100"/>
        <c:noMultiLvlLbl val="0"/>
      </c:catAx>
      <c:valAx>
        <c:axId val="445845712"/>
        <c:scaling>
          <c:orientation val="minMax"/>
        </c:scaling>
        <c:delete val="1"/>
        <c:axPos val="l"/>
        <c:numFmt formatCode="General" sourceLinked="1"/>
        <c:majorTickMark val="none"/>
        <c:minorTickMark val="none"/>
        <c:tickLblPos val="nextTo"/>
        <c:crossAx val="445843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'TB financing'!$A$3</c:f>
              <c:strCache>
                <c:ptCount val="1"/>
                <c:pt idx="0">
                  <c:v>Hospital</c:v>
                </c:pt>
              </c:strCache>
            </c:strRef>
          </c:tx>
          <c:spPr>
            <a:solidFill>
              <a:schemeClr val="accent5">
                <a:shade val="65000"/>
              </a:schemeClr>
            </a:solidFill>
            <a:ln>
              <a:noFill/>
            </a:ln>
            <a:effectLst/>
          </c:spPr>
          <c:invertIfNegative val="0"/>
          <c:cat>
            <c:numRef>
              <c:f>'TB financing'!$B$2:$E$2</c:f>
              <c:numCache>
                <c:formatCode>General</c:formatCode>
                <c:ptCount val="4"/>
                <c:pt idx="0">
                  <c:v>2016</c:v>
                </c:pt>
                <c:pt idx="1">
                  <c:v>2017</c:v>
                </c:pt>
                <c:pt idx="2">
                  <c:v>2018</c:v>
                </c:pt>
                <c:pt idx="3">
                  <c:v>2019</c:v>
                </c:pt>
              </c:numCache>
            </c:numRef>
          </c:cat>
          <c:val>
            <c:numRef>
              <c:f>'TB financing'!$B$3:$E$3</c:f>
              <c:numCache>
                <c:formatCode>0</c:formatCode>
                <c:ptCount val="4"/>
                <c:pt idx="0">
                  <c:v>94305304.950000003</c:v>
                </c:pt>
                <c:pt idx="1">
                  <c:v>98851802</c:v>
                </c:pt>
                <c:pt idx="2">
                  <c:v>90443978.099999994</c:v>
                </c:pt>
                <c:pt idx="3">
                  <c:v>82099793.640000001</c:v>
                </c:pt>
              </c:numCache>
            </c:numRef>
          </c:val>
          <c:extLst>
            <c:ext xmlns:c16="http://schemas.microsoft.com/office/drawing/2014/chart" uri="{C3380CC4-5D6E-409C-BE32-E72D297353CC}">
              <c16:uniqueId val="{00000000-74AB-448C-9DDF-AA48BC8A351F}"/>
            </c:ext>
          </c:extLst>
        </c:ser>
        <c:ser>
          <c:idx val="1"/>
          <c:order val="1"/>
          <c:tx>
            <c:strRef>
              <c:f>'TB financing'!$A$4</c:f>
              <c:strCache>
                <c:ptCount val="1"/>
                <c:pt idx="0">
                  <c:v>P4P PHC</c:v>
                </c:pt>
              </c:strCache>
            </c:strRef>
          </c:tx>
          <c:spPr>
            <a:solidFill>
              <a:schemeClr val="accent5"/>
            </a:solidFill>
            <a:ln>
              <a:noFill/>
            </a:ln>
            <a:effectLst/>
          </c:spPr>
          <c:invertIfNegative val="0"/>
          <c:cat>
            <c:numRef>
              <c:f>'TB financing'!$B$2:$E$2</c:f>
              <c:numCache>
                <c:formatCode>General</c:formatCode>
                <c:ptCount val="4"/>
                <c:pt idx="0">
                  <c:v>2016</c:v>
                </c:pt>
                <c:pt idx="1">
                  <c:v>2017</c:v>
                </c:pt>
                <c:pt idx="2">
                  <c:v>2018</c:v>
                </c:pt>
                <c:pt idx="3">
                  <c:v>2019</c:v>
                </c:pt>
              </c:numCache>
            </c:numRef>
          </c:cat>
          <c:val>
            <c:numRef>
              <c:f>'TB financing'!$B$4:$E$4</c:f>
              <c:numCache>
                <c:formatCode>0</c:formatCode>
                <c:ptCount val="4"/>
                <c:pt idx="0">
                  <c:v>6030710.3700000001</c:v>
                </c:pt>
                <c:pt idx="1">
                  <c:v>28771885.5</c:v>
                </c:pt>
                <c:pt idx="2">
                  <c:v>25484616</c:v>
                </c:pt>
                <c:pt idx="3">
                  <c:v>19781136.399999999</c:v>
                </c:pt>
              </c:numCache>
            </c:numRef>
          </c:val>
          <c:extLst>
            <c:ext xmlns:c16="http://schemas.microsoft.com/office/drawing/2014/chart" uri="{C3380CC4-5D6E-409C-BE32-E72D297353CC}">
              <c16:uniqueId val="{00000001-74AB-448C-9DDF-AA48BC8A351F}"/>
            </c:ext>
          </c:extLst>
        </c:ser>
        <c:ser>
          <c:idx val="2"/>
          <c:order val="2"/>
          <c:tx>
            <c:strRef>
              <c:f>'TB financing'!$A$5</c:f>
              <c:strCache>
                <c:ptCount val="1"/>
                <c:pt idx="0">
                  <c:v>Patient food vouchers and travel reimbursement</c:v>
                </c:pt>
              </c:strCache>
            </c:strRef>
          </c:tx>
          <c:spPr>
            <a:solidFill>
              <a:schemeClr val="accent5">
                <a:tint val="65000"/>
              </a:schemeClr>
            </a:solidFill>
            <a:ln>
              <a:noFill/>
            </a:ln>
            <a:effectLst/>
          </c:spPr>
          <c:invertIfNegative val="0"/>
          <c:cat>
            <c:numRef>
              <c:f>'TB financing'!$B$2:$E$2</c:f>
              <c:numCache>
                <c:formatCode>General</c:formatCode>
                <c:ptCount val="4"/>
                <c:pt idx="0">
                  <c:v>2016</c:v>
                </c:pt>
                <c:pt idx="1">
                  <c:v>2017</c:v>
                </c:pt>
                <c:pt idx="2">
                  <c:v>2018</c:v>
                </c:pt>
                <c:pt idx="3">
                  <c:v>2019</c:v>
                </c:pt>
              </c:numCache>
            </c:numRef>
          </c:cat>
          <c:val>
            <c:numRef>
              <c:f>'TB financing'!$B$5:$E$5</c:f>
              <c:numCache>
                <c:formatCode>0</c:formatCode>
                <c:ptCount val="4"/>
                <c:pt idx="0">
                  <c:v>11723522.460000001</c:v>
                </c:pt>
                <c:pt idx="1">
                  <c:v>13228593.99</c:v>
                </c:pt>
                <c:pt idx="2">
                  <c:v>16171023.5</c:v>
                </c:pt>
                <c:pt idx="3">
                  <c:v>16206550.859999999</c:v>
                </c:pt>
              </c:numCache>
            </c:numRef>
          </c:val>
          <c:extLst>
            <c:ext xmlns:c16="http://schemas.microsoft.com/office/drawing/2014/chart" uri="{C3380CC4-5D6E-409C-BE32-E72D297353CC}">
              <c16:uniqueId val="{00000002-74AB-448C-9DDF-AA48BC8A351F}"/>
            </c:ext>
          </c:extLst>
        </c:ser>
        <c:dLbls>
          <c:showLegendKey val="0"/>
          <c:showVal val="0"/>
          <c:showCatName val="0"/>
          <c:showSerName val="0"/>
          <c:showPercent val="0"/>
          <c:showBubbleSize val="0"/>
        </c:dLbls>
        <c:gapWidth val="219"/>
        <c:overlap val="-27"/>
        <c:axId val="377776240"/>
        <c:axId val="377780832"/>
      </c:barChart>
      <c:catAx>
        <c:axId val="37777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780832"/>
        <c:crosses val="autoZero"/>
        <c:auto val="1"/>
        <c:lblAlgn val="ctr"/>
        <c:lblOffset val="100"/>
        <c:noMultiLvlLbl val="0"/>
      </c:catAx>
      <c:valAx>
        <c:axId val="377780832"/>
        <c:scaling>
          <c:orientation val="minMax"/>
        </c:scaling>
        <c:delete val="1"/>
        <c:axPos val="l"/>
        <c:numFmt formatCode="0" sourceLinked="1"/>
        <c:majorTickMark val="none"/>
        <c:minorTickMark val="none"/>
        <c:tickLblPos val="nextTo"/>
        <c:crossAx val="377776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lineChart>
        <c:grouping val="standard"/>
        <c:varyColors val="0"/>
        <c:ser>
          <c:idx val="0"/>
          <c:order val="0"/>
          <c:tx>
            <c:strRef>
              <c:f>'[Stela.xlsx]Incidenta  2010-2019'!$B$8</c:f>
              <c:strCache>
                <c:ptCount val="1"/>
                <c:pt idx="0">
                  <c:v>Incidence   </c:v>
                </c:pt>
              </c:strCache>
            </c:strRef>
          </c:tx>
          <c:spPr>
            <a:ln w="28575" cap="rnd">
              <a:solidFill>
                <a:schemeClr val="accent4">
                  <a:tint val="65000"/>
                </a:schemeClr>
              </a:solidFill>
              <a:round/>
            </a:ln>
            <a:effectLst/>
          </c:spPr>
          <c:marker>
            <c:symbol val="none"/>
          </c:marker>
          <c:cat>
            <c:numRef>
              <c:f>'[Stela.xlsx]Incidenta  2010-2019'!$C$7:$V$7</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'[Stela.xlsx]Incidenta  2010-2019'!$C$8:$V$8</c:f>
              <c:numCache>
                <c:formatCode>General</c:formatCode>
                <c:ptCount val="20"/>
                <c:pt idx="0">
                  <c:v>4.0599999999999996</c:v>
                </c:pt>
                <c:pt idx="1">
                  <c:v>5.46</c:v>
                </c:pt>
                <c:pt idx="2">
                  <c:v>4.66</c:v>
                </c:pt>
                <c:pt idx="3">
                  <c:v>6.01</c:v>
                </c:pt>
                <c:pt idx="4">
                  <c:v>8.41</c:v>
                </c:pt>
                <c:pt idx="5">
                  <c:v>12.61</c:v>
                </c:pt>
                <c:pt idx="6">
                  <c:v>14.65</c:v>
                </c:pt>
                <c:pt idx="7">
                  <c:v>17.739999999999998</c:v>
                </c:pt>
                <c:pt idx="8">
                  <c:v>19.34</c:v>
                </c:pt>
                <c:pt idx="9">
                  <c:v>17.02</c:v>
                </c:pt>
                <c:pt idx="10">
                  <c:v>16.97</c:v>
                </c:pt>
                <c:pt idx="11">
                  <c:v>17.7</c:v>
                </c:pt>
                <c:pt idx="12">
                  <c:v>18.5</c:v>
                </c:pt>
                <c:pt idx="13">
                  <c:v>17.3</c:v>
                </c:pt>
                <c:pt idx="14">
                  <c:v>20.38</c:v>
                </c:pt>
                <c:pt idx="15">
                  <c:v>20.149999999999999</c:v>
                </c:pt>
                <c:pt idx="16">
                  <c:v>20.65</c:v>
                </c:pt>
                <c:pt idx="17">
                  <c:v>20.73</c:v>
                </c:pt>
                <c:pt idx="18">
                  <c:v>22.51</c:v>
                </c:pt>
                <c:pt idx="19">
                  <c:v>22.99</c:v>
                </c:pt>
              </c:numCache>
            </c:numRef>
          </c:val>
          <c:smooth val="0"/>
          <c:extLst>
            <c:ext xmlns:c16="http://schemas.microsoft.com/office/drawing/2014/chart" uri="{C3380CC4-5D6E-409C-BE32-E72D297353CC}">
              <c16:uniqueId val="{00000000-1455-41C3-8EA9-996F01C13809}"/>
            </c:ext>
          </c:extLst>
        </c:ser>
        <c:ser>
          <c:idx val="1"/>
          <c:order val="1"/>
          <c:tx>
            <c:strRef>
              <c:f>'[Stela.xlsx]Incidenta  2010-2019'!$B$9</c:f>
              <c:strCache>
                <c:ptCount val="1"/>
                <c:pt idx="0">
                  <c:v>Right bank (stable population )</c:v>
                </c:pt>
              </c:strCache>
            </c:strRef>
          </c:tx>
          <c:spPr>
            <a:ln w="28575" cap="rnd">
              <a:solidFill>
                <a:schemeClr val="accent4"/>
              </a:solidFill>
              <a:round/>
            </a:ln>
            <a:effectLst/>
          </c:spPr>
          <c:marker>
            <c:symbol val="none"/>
          </c:marker>
          <c:cat>
            <c:numRef>
              <c:f>'[Stela.xlsx]Incidenta  2010-2019'!$C$7:$V$7</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'[Stela.xlsx]Incidenta  2010-2019'!$C$9:$V$9</c:f>
              <c:numCache>
                <c:formatCode>General</c:formatCode>
                <c:ptCount val="20"/>
                <c:pt idx="0">
                  <c:v>4.66</c:v>
                </c:pt>
                <c:pt idx="1">
                  <c:v>5.66</c:v>
                </c:pt>
                <c:pt idx="2">
                  <c:v>4.34</c:v>
                </c:pt>
                <c:pt idx="3">
                  <c:v>4.6399999999999997</c:v>
                </c:pt>
                <c:pt idx="4">
                  <c:v>6.2</c:v>
                </c:pt>
                <c:pt idx="5">
                  <c:v>8.66</c:v>
                </c:pt>
                <c:pt idx="6">
                  <c:v>9.84</c:v>
                </c:pt>
                <c:pt idx="7">
                  <c:v>11.43</c:v>
                </c:pt>
                <c:pt idx="8">
                  <c:v>12.56</c:v>
                </c:pt>
                <c:pt idx="9">
                  <c:v>12.42</c:v>
                </c:pt>
                <c:pt idx="10">
                  <c:v>12.65</c:v>
                </c:pt>
                <c:pt idx="11">
                  <c:v>13.87</c:v>
                </c:pt>
                <c:pt idx="12">
                  <c:v>13.57</c:v>
                </c:pt>
                <c:pt idx="13">
                  <c:v>13.23</c:v>
                </c:pt>
                <c:pt idx="14" formatCode="0.00">
                  <c:v>16.170000000000002</c:v>
                </c:pt>
                <c:pt idx="15">
                  <c:v>16.149999999999999</c:v>
                </c:pt>
                <c:pt idx="16">
                  <c:v>20.97</c:v>
                </c:pt>
                <c:pt idx="17" formatCode="0.00">
                  <c:v>17.393477614763178</c:v>
                </c:pt>
                <c:pt idx="18" formatCode="0.00">
                  <c:v>19.16</c:v>
                </c:pt>
                <c:pt idx="19" formatCode="_-* #,##0.00_р_._-;\-* #,##0.00_р_._-;_-* &quot;-&quot;??_р_._-;_-@_-">
                  <c:v>19.79</c:v>
                </c:pt>
              </c:numCache>
            </c:numRef>
          </c:val>
          <c:smooth val="0"/>
          <c:extLst>
            <c:ext xmlns:c16="http://schemas.microsoft.com/office/drawing/2014/chart" uri="{C3380CC4-5D6E-409C-BE32-E72D297353CC}">
              <c16:uniqueId val="{00000001-1455-41C3-8EA9-996F01C13809}"/>
            </c:ext>
          </c:extLst>
        </c:ser>
        <c:ser>
          <c:idx val="2"/>
          <c:order val="2"/>
          <c:tx>
            <c:strRef>
              <c:f>'[Stela.xlsx]Incidenta  2010-2019'!$B$10</c:f>
              <c:strCache>
                <c:ptCount val="1"/>
                <c:pt idx="0">
                  <c:v>Left bank (stable population )</c:v>
                </c:pt>
              </c:strCache>
            </c:strRef>
          </c:tx>
          <c:spPr>
            <a:ln w="28575" cap="rnd">
              <a:solidFill>
                <a:schemeClr val="accent4">
                  <a:shade val="65000"/>
                </a:schemeClr>
              </a:solidFill>
              <a:round/>
            </a:ln>
            <a:effectLst/>
          </c:spPr>
          <c:marker>
            <c:symbol val="none"/>
          </c:marker>
          <c:cat>
            <c:numRef>
              <c:f>'[Stela.xlsx]Incidenta  2010-2019'!$C$7:$V$7</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'[Stela.xlsx]Incidenta  2010-2019'!$C$10:$V$10</c:f>
              <c:numCache>
                <c:formatCode>General</c:formatCode>
                <c:ptCount val="20"/>
                <c:pt idx="0">
                  <c:v>0.89</c:v>
                </c:pt>
                <c:pt idx="1">
                  <c:v>3.91</c:v>
                </c:pt>
                <c:pt idx="2">
                  <c:v>7.12</c:v>
                </c:pt>
                <c:pt idx="3">
                  <c:v>13.41</c:v>
                </c:pt>
                <c:pt idx="4">
                  <c:v>21.15</c:v>
                </c:pt>
                <c:pt idx="5">
                  <c:v>38.58</c:v>
                </c:pt>
                <c:pt idx="6">
                  <c:v>41.35</c:v>
                </c:pt>
                <c:pt idx="7">
                  <c:v>52.03</c:v>
                </c:pt>
                <c:pt idx="8">
                  <c:v>63.86</c:v>
                </c:pt>
                <c:pt idx="9">
                  <c:v>42.25</c:v>
                </c:pt>
                <c:pt idx="10">
                  <c:v>45.81</c:v>
                </c:pt>
                <c:pt idx="11">
                  <c:v>42.1</c:v>
                </c:pt>
                <c:pt idx="12">
                  <c:v>50.82</c:v>
                </c:pt>
                <c:pt idx="13">
                  <c:v>43.97</c:v>
                </c:pt>
                <c:pt idx="14" formatCode="0.00">
                  <c:v>46.861073175956633</c:v>
                </c:pt>
                <c:pt idx="15">
                  <c:v>48.3</c:v>
                </c:pt>
                <c:pt idx="16" formatCode="_-* #,##0.00_р_._-;\-* #,##0.00_р_._-;_-* &quot;-&quot;??_р_._-;_-@_-">
                  <c:v>48.196219648483293</c:v>
                </c:pt>
                <c:pt idx="17" formatCode="0.00">
                  <c:v>45.670653553366265</c:v>
                </c:pt>
                <c:pt idx="18" formatCode="0.00">
                  <c:v>47.81</c:v>
                </c:pt>
                <c:pt idx="19" formatCode="0.00">
                  <c:v>47.317970337413527</c:v>
                </c:pt>
              </c:numCache>
            </c:numRef>
          </c:val>
          <c:smooth val="0"/>
          <c:extLst>
            <c:ext xmlns:c16="http://schemas.microsoft.com/office/drawing/2014/chart" uri="{C3380CC4-5D6E-409C-BE32-E72D297353CC}">
              <c16:uniqueId val="{00000002-1455-41C3-8EA9-996F01C13809}"/>
            </c:ext>
          </c:extLst>
        </c:ser>
        <c:dLbls>
          <c:showLegendKey val="0"/>
          <c:showVal val="0"/>
          <c:showCatName val="0"/>
          <c:showSerName val="0"/>
          <c:showPercent val="0"/>
          <c:showBubbleSize val="0"/>
        </c:dLbls>
        <c:smooth val="0"/>
        <c:axId val="474117320"/>
        <c:axId val="474122240"/>
      </c:lineChart>
      <c:catAx>
        <c:axId val="474117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122240"/>
        <c:crosses val="autoZero"/>
        <c:auto val="1"/>
        <c:lblAlgn val="ctr"/>
        <c:lblOffset val="100"/>
        <c:noMultiLvlLbl val="0"/>
      </c:catAx>
      <c:valAx>
        <c:axId val="474122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117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lineChart>
        <c:grouping val="standard"/>
        <c:varyColors val="0"/>
        <c:ser>
          <c:idx val="0"/>
          <c:order val="0"/>
          <c:tx>
            <c:strRef>
              <c:f>[Stela.xlsx]Sheet1!$A$38</c:f>
              <c:strCache>
                <c:ptCount val="1"/>
                <c:pt idx="0">
                  <c:v>men</c:v>
                </c:pt>
              </c:strCache>
            </c:strRef>
          </c:tx>
          <c:spPr>
            <a:ln w="28575" cap="rnd">
              <a:solidFill>
                <a:schemeClr val="accent4">
                  <a:shade val="76000"/>
                </a:schemeClr>
              </a:solidFill>
              <a:round/>
            </a:ln>
            <a:effectLst/>
          </c:spPr>
          <c:marker>
            <c:symbol val="none"/>
          </c:marker>
          <c:cat>
            <c:numRef>
              <c:f>[Stela.xlsx]Sheet1!$B$37:$K$37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[Stela.xlsx]Sheet1!$B$38:$K$38</c:f>
              <c:numCache>
                <c:formatCode>0%</c:formatCode>
                <c:ptCount val="10"/>
                <c:pt idx="0">
                  <c:v>0.484375</c:v>
                </c:pt>
                <c:pt idx="1">
                  <c:v>0.52288488210818307</c:v>
                </c:pt>
                <c:pt idx="2">
                  <c:v>0.49273447820343463</c:v>
                </c:pt>
                <c:pt idx="3">
                  <c:v>0.53966005665722383</c:v>
                </c:pt>
                <c:pt idx="4">
                  <c:v>0.542719614921781</c:v>
                </c:pt>
                <c:pt idx="5">
                  <c:v>0.5647921760391198</c:v>
                </c:pt>
                <c:pt idx="6">
                  <c:v>0.56610576923076927</c:v>
                </c:pt>
                <c:pt idx="7">
                  <c:v>0.55928143712574852</c:v>
                </c:pt>
                <c:pt idx="8">
                  <c:v>0.5922651933701657</c:v>
                </c:pt>
                <c:pt idx="9">
                  <c:v>0.59002169197396959</c:v>
                </c:pt>
              </c:numCache>
            </c:numRef>
          </c:val>
          <c:smooth val="0"/>
          <c:extLst>
            <c:ext xmlns:c16="http://schemas.microsoft.com/office/drawing/2014/chart" uri="{C3380CC4-5D6E-409C-BE32-E72D297353CC}">
              <c16:uniqueId val="{00000000-A198-4442-8757-202BB21F1B8E}"/>
            </c:ext>
          </c:extLst>
        </c:ser>
        <c:ser>
          <c:idx val="1"/>
          <c:order val="1"/>
          <c:tx>
            <c:strRef>
              <c:f>[Stela.xlsx]Sheet1!$A$39</c:f>
              <c:strCache>
                <c:ptCount val="1"/>
                <c:pt idx="0">
                  <c:v>women</c:v>
                </c:pt>
              </c:strCache>
            </c:strRef>
          </c:tx>
          <c:spPr>
            <a:ln w="28575" cap="rnd">
              <a:solidFill>
                <a:schemeClr val="accent4">
                  <a:tint val="77000"/>
                </a:schemeClr>
              </a:solidFill>
              <a:round/>
            </a:ln>
            <a:effectLst/>
          </c:spPr>
          <c:marker>
            <c:symbol val="none"/>
          </c:marker>
          <c:cat>
            <c:numRef>
              <c:f>[Stela.xlsx]Sheet1!$B$37:$K$37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[Stela.xlsx]Sheet1!$B$39:$K$39</c:f>
              <c:numCache>
                <c:formatCode>0%</c:formatCode>
                <c:ptCount val="10"/>
                <c:pt idx="0">
                  <c:v>0.515625</c:v>
                </c:pt>
                <c:pt idx="1">
                  <c:v>0.47711511789181693</c:v>
                </c:pt>
                <c:pt idx="2">
                  <c:v>0.50726552179656537</c:v>
                </c:pt>
                <c:pt idx="3">
                  <c:v>0.46033994334277623</c:v>
                </c:pt>
                <c:pt idx="4">
                  <c:v>0.457280385078219</c:v>
                </c:pt>
                <c:pt idx="5">
                  <c:v>0.4352078239608802</c:v>
                </c:pt>
                <c:pt idx="6">
                  <c:v>0.43389423076923078</c:v>
                </c:pt>
                <c:pt idx="7">
                  <c:v>0.44071856287425148</c:v>
                </c:pt>
                <c:pt idx="8">
                  <c:v>0.40773480662983425</c:v>
                </c:pt>
                <c:pt idx="9">
                  <c:v>0.40997830802603036</c:v>
                </c:pt>
              </c:numCache>
            </c:numRef>
          </c:val>
          <c:smooth val="0"/>
          <c:extLst>
            <c:ext xmlns:c16="http://schemas.microsoft.com/office/drawing/2014/chart" uri="{C3380CC4-5D6E-409C-BE32-E72D297353CC}">
              <c16:uniqueId val="{00000001-A198-4442-8757-202BB21F1B8E}"/>
            </c:ext>
          </c:extLst>
        </c:ser>
        <c:dLbls>
          <c:showLegendKey val="0"/>
          <c:showVal val="0"/>
          <c:showCatName val="0"/>
          <c:showSerName val="0"/>
          <c:showPercent val="0"/>
          <c:showBubbleSize val="0"/>
        </c:dLbls>
        <c:smooth val="0"/>
        <c:axId val="227546696"/>
        <c:axId val="227555224"/>
      </c:lineChart>
      <c:catAx>
        <c:axId val="227546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55224"/>
        <c:crosses val="autoZero"/>
        <c:auto val="1"/>
        <c:lblAlgn val="ctr"/>
        <c:lblOffset val="100"/>
        <c:noMultiLvlLbl val="0"/>
      </c:catAx>
      <c:valAx>
        <c:axId val="227555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546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10870516185477"/>
          <c:y val="4.1666666666666664E-2"/>
          <c:w val="0.88389129483814521"/>
          <c:h val="0.73577136191309422"/>
        </c:manualLayout>
      </c:layout>
      <c:barChart>
        <c:barDir val="col"/>
        <c:grouping val="clustered"/>
        <c:varyColors val="0"/>
        <c:ser>
          <c:idx val="0"/>
          <c:order val="0"/>
          <c:tx>
            <c:strRef>
              <c:f>'Late diagnosis'!$B$49</c:f>
              <c:strCache>
                <c:ptCount val="1"/>
                <c:pt idx="0">
                  <c:v>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'Late diagnosis'!$C$48:$G$48</c:f>
              <c:numCache>
                <c:formatCode>General</c:formatCode>
                <c:ptCount val="5"/>
                <c:pt idx="0">
                  <c:v>2015</c:v>
                </c:pt>
                <c:pt idx="1">
                  <c:v>2016</c:v>
                </c:pt>
                <c:pt idx="2">
                  <c:v>2017</c:v>
                </c:pt>
                <c:pt idx="3">
                  <c:v>2018</c:v>
                </c:pt>
                <c:pt idx="4">
                  <c:v>2019</c:v>
                </c:pt>
              </c:numCache>
            </c:numRef>
          </c:cat>
          <c:val>
            <c:numRef>
              <c:f>'Late diagnosis'!$C$49:$G$49</c:f>
              <c:numCache>
                <c:formatCode>0</c:formatCode>
                <c:ptCount val="5"/>
                <c:pt idx="0">
                  <c:v>5.376344086021505</c:v>
                </c:pt>
                <c:pt idx="1">
                  <c:v>4.3478260869565215</c:v>
                </c:pt>
                <c:pt idx="2">
                  <c:v>5.1546391752577314</c:v>
                </c:pt>
                <c:pt idx="3">
                  <c:v>4.4247787610619467</c:v>
                </c:pt>
                <c:pt idx="4">
                  <c:v>1.8181818181818181</c:v>
                </c:pt>
              </c:numCache>
            </c:numRef>
          </c:val>
          <c:extLst>
            <c:ext xmlns:c16="http://schemas.microsoft.com/office/drawing/2014/chart" uri="{C3380CC4-5D6E-409C-BE32-E72D297353CC}">
              <c16:uniqueId val="{00000000-5096-448D-8249-C2CA3DA39DB7}"/>
            </c:ext>
          </c:extLst>
        </c:ser>
        <c:ser>
          <c:idx val="1"/>
          <c:order val="1"/>
          <c:tx>
            <c:strRef>
              <c:f>'Late diagnosis'!$B$50</c:f>
              <c:strCache>
                <c:ptCount val="1"/>
                <c:pt idx="0">
                  <c:v>25-39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'Late diagnosis'!$C$48:$G$48</c:f>
              <c:numCache>
                <c:formatCode>General</c:formatCode>
                <c:ptCount val="5"/>
                <c:pt idx="0">
                  <c:v>2015</c:v>
                </c:pt>
                <c:pt idx="1">
                  <c:v>2016</c:v>
                </c:pt>
                <c:pt idx="2">
                  <c:v>2017</c:v>
                </c:pt>
                <c:pt idx="3">
                  <c:v>2018</c:v>
                </c:pt>
                <c:pt idx="4">
                  <c:v>2019</c:v>
                </c:pt>
              </c:numCache>
            </c:numRef>
          </c:cat>
          <c:val>
            <c:numRef>
              <c:f>'Late diagnosis'!$C$50:$G$50</c:f>
              <c:numCache>
                <c:formatCode>0</c:formatCode>
                <c:ptCount val="5"/>
                <c:pt idx="0">
                  <c:v>48.387096774193552</c:v>
                </c:pt>
                <c:pt idx="1">
                  <c:v>51.207729468599034</c:v>
                </c:pt>
                <c:pt idx="2">
                  <c:v>46.391752577319586</c:v>
                </c:pt>
                <c:pt idx="3">
                  <c:v>43.362831858407077</c:v>
                </c:pt>
                <c:pt idx="4">
                  <c:v>40.909090909090907</c:v>
                </c:pt>
              </c:numCache>
            </c:numRef>
          </c:val>
          <c:extLst>
            <c:ext xmlns:c16="http://schemas.microsoft.com/office/drawing/2014/chart" uri="{C3380CC4-5D6E-409C-BE32-E72D297353CC}">
              <c16:uniqueId val="{00000001-5096-448D-8249-C2CA3DA39DB7}"/>
            </c:ext>
          </c:extLst>
        </c:ser>
        <c:ser>
          <c:idx val="2"/>
          <c:order val="2"/>
          <c:tx>
            <c:strRef>
              <c:f>'Late diagnosis'!$B$51</c:f>
              <c:strCache>
                <c:ptCount val="1"/>
                <c:pt idx="0">
                  <c:v>40-49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'Late diagnosis'!$C$48:$G$48</c:f>
              <c:numCache>
                <c:formatCode>General</c:formatCode>
                <c:ptCount val="5"/>
                <c:pt idx="0">
                  <c:v>2015</c:v>
                </c:pt>
                <c:pt idx="1">
                  <c:v>2016</c:v>
                </c:pt>
                <c:pt idx="2">
                  <c:v>2017</c:v>
                </c:pt>
                <c:pt idx="3">
                  <c:v>2018</c:v>
                </c:pt>
                <c:pt idx="4">
                  <c:v>2019</c:v>
                </c:pt>
              </c:numCache>
            </c:numRef>
          </c:cat>
          <c:val>
            <c:numRef>
              <c:f>'Late diagnosis'!$C$51:$G$51</c:f>
              <c:numCache>
                <c:formatCode>0</c:formatCode>
                <c:ptCount val="5"/>
                <c:pt idx="0">
                  <c:v>29.032258064516128</c:v>
                </c:pt>
                <c:pt idx="1">
                  <c:v>24.637681159420289</c:v>
                </c:pt>
                <c:pt idx="2">
                  <c:v>22.164948453608247</c:v>
                </c:pt>
                <c:pt idx="3">
                  <c:v>30.530973451327434</c:v>
                </c:pt>
                <c:pt idx="4">
                  <c:v>29.09090909090909</c:v>
                </c:pt>
              </c:numCache>
            </c:numRef>
          </c:val>
          <c:extLst>
            <c:ext xmlns:c16="http://schemas.microsoft.com/office/drawing/2014/chart" uri="{C3380CC4-5D6E-409C-BE32-E72D297353CC}">
              <c16:uniqueId val="{00000002-5096-448D-8249-C2CA3DA39DB7}"/>
            </c:ext>
          </c:extLst>
        </c:ser>
        <c:ser>
          <c:idx val="3"/>
          <c:order val="3"/>
          <c:tx>
            <c:strRef>
              <c:f>'Late diagnosis'!$B$52</c:f>
              <c:strCache>
                <c:ptCount val="1"/>
                <c:pt idx="0">
                  <c:v>50+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'Late diagnosis'!$C$48:$G$48</c:f>
              <c:numCache>
                <c:formatCode>General</c:formatCode>
                <c:ptCount val="5"/>
                <c:pt idx="0">
                  <c:v>2015</c:v>
                </c:pt>
                <c:pt idx="1">
                  <c:v>2016</c:v>
                </c:pt>
                <c:pt idx="2">
                  <c:v>2017</c:v>
                </c:pt>
                <c:pt idx="3">
                  <c:v>2018</c:v>
                </c:pt>
                <c:pt idx="4">
                  <c:v>2019</c:v>
                </c:pt>
              </c:numCache>
            </c:numRef>
          </c:cat>
          <c:val>
            <c:numRef>
              <c:f>'Late diagnosis'!$C$52:$G$52</c:f>
              <c:numCache>
                <c:formatCode>0</c:formatCode>
                <c:ptCount val="5"/>
                <c:pt idx="0">
                  <c:v>16.666666666666668</c:v>
                </c:pt>
                <c:pt idx="1">
                  <c:v>17.874396135265698</c:v>
                </c:pt>
                <c:pt idx="2">
                  <c:v>25.773195876288661</c:v>
                </c:pt>
                <c:pt idx="3">
                  <c:v>19.911504424778762</c:v>
                </c:pt>
                <c:pt idx="4">
                  <c:v>27.272727272727273</c:v>
                </c:pt>
              </c:numCache>
            </c:numRef>
          </c:val>
          <c:extLst>
            <c:ext xmlns:c16="http://schemas.microsoft.com/office/drawing/2014/chart" uri="{C3380CC4-5D6E-409C-BE32-E72D297353CC}">
              <c16:uniqueId val="{00000003-5096-448D-8249-C2CA3DA39DB7}"/>
            </c:ext>
          </c:extLst>
        </c:ser>
        <c:dLbls>
          <c:showLegendKey val="0"/>
          <c:showVal val="0"/>
          <c:showCatName val="0"/>
          <c:showSerName val="0"/>
          <c:showPercent val="0"/>
          <c:showBubbleSize val="0"/>
        </c:dLbls>
        <c:gapWidth val="219"/>
        <c:overlap val="-27"/>
        <c:axId val="845485488"/>
        <c:axId val="845488112"/>
      </c:barChart>
      <c:catAx>
        <c:axId val="84548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488112"/>
        <c:crosses val="autoZero"/>
        <c:auto val="1"/>
        <c:lblAlgn val="ctr"/>
        <c:lblOffset val="100"/>
        <c:noMultiLvlLbl val="0"/>
      </c:catAx>
      <c:valAx>
        <c:axId val="84548811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485488"/>
        <c:crosses val="autoZero"/>
        <c:crossBetween val="between"/>
      </c:valAx>
      <c:spPr>
        <a:noFill/>
        <a:ln>
          <a:noFill/>
        </a:ln>
        <a:effectLst/>
      </c:spPr>
    </c:plotArea>
    <c:legend>
      <c:legendPos val="b"/>
      <c:layout>
        <c:manualLayout>
          <c:xMode val="edge"/>
          <c:yMode val="edge"/>
          <c:x val="0.36648512685914253"/>
          <c:y val="0.86454753665345974"/>
          <c:w val="0.27496625421822274"/>
          <c:h val="0.135452463346540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Reversed" id="24">
  <a:schemeClr val="accent4"/>
</cs:colorStyle>
</file>

<file path=word/charts/colors7.xml><?xml version="1.0" encoding="utf-8"?>
<cs:colorStyle xmlns:cs="http://schemas.microsoft.com/office/drawing/2012/chartStyle" xmlns:a="http://schemas.openxmlformats.org/drawingml/2006/main" meth="withinLinear" id="17">
  <a:schemeClr val="accent4"/>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GF Black">
      <a:dk1>
        <a:srgbClr val="404040"/>
      </a:dk1>
      <a:lt1>
        <a:sysClr val="window" lastClr="FFFFFF"/>
      </a:lt1>
      <a:dk2>
        <a:srgbClr val="FFFFFF"/>
      </a:dk2>
      <a:lt2>
        <a:srgbClr val="1E1E1E"/>
      </a:lt2>
      <a:accent1>
        <a:srgbClr val="C7C8CA"/>
      </a:accent1>
      <a:accent2>
        <a:srgbClr val="939598"/>
      </a:accent2>
      <a:accent3>
        <a:srgbClr val="636466"/>
      </a:accent3>
      <a:accent4>
        <a:srgbClr val="CD202C"/>
      </a:accent4>
      <a:accent5>
        <a:srgbClr val="0055AA"/>
      </a:accent5>
      <a:accent6>
        <a:srgbClr val="FFAA22"/>
      </a:accent6>
      <a:hlink>
        <a:srgbClr val="0563C1"/>
      </a:hlink>
      <a:folHlink>
        <a:srgbClr val="954F72"/>
      </a:folHlink>
    </a:clrScheme>
    <a:fontScheme name="Global Fund">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emplafyFormConfiguration><![CDATA[{"formFields":[{"dataSource":"ColourThemes","displayColumn":"displayName","hideIfNoUserInteractionRequired":false,"distinct":true,"required":true,"defaultValue":"3","autoSelectFirstOption":false,"type":"dropDown","name":"ColourTheme","label":"Colour theme","helpTexts":{"prefix":"","postfix":""},"spacing":{},"fullyQualifiedName":"ColourTheme"},{"type":"heading","name":"ReportHeadingA","label":"Items for title page and footer text","helpTexts":{"prefix":"","postfix":""},"spacing":{},"fullyQualifiedName":"ReportHeadingA"},{"type":"instructions","name":"ReportInstructionsA","label":"The date, location and country will appear on the front sheet and in the footer of the main part of the document.","helpTexts":{"prefix":"","postfix":""},"spacing":{},"fullyQualifiedName":"ReportInstructionsA"},{"required":true,"type":"datePicker","name":"ReportDate","label":"Document date","helpTexts":{"prefix":"","postfix":""},"spacing":{},"fullyQualifiedName":"ReportDate"},{"required":true,"placeholder":"","lines":0,"defaultValue":"Geneva","type":"textBox","name":"ReportLocation","label":"Location","helpTexts":{"prefix":"","postfix":"The entry on the title page will not be updatable through this form."},"spacing":{},"fullyQualifiedName":"ReportLocation"},{"required":true,"placeholder":"","lines":0,"defaultValue":"Switzerland","type":"textBox","name":"ReportCountry","label":"Country","helpTexts":{"prefix":"","postfix":"The entry on the title page will not be updatable through this form."},"spacing":{},"fullyQualifiedName":"ReportCountry"}],"formDataEntries":[{"name":"ColourTheme","value":"PHxKaO3dKTWBZQ8bFHvPTA=="},{"name":"ReportLocation","value":"TWCzxzGaVv/noqKfmWFd3g=="},{"name":"ReportCountry","value":"nBoaWl++UMM5RwVrtZXUvg=="}]}]]></TemplafyFormConfiguratio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TemplafyTemplateConfiguration><![CDATA[{"elementsMetadata":[{"type":"richTextContentControl","id":"12bec168-d80f-4ad3-b827-e94b457987f4","elementConfiguration":{"format":"d MMMM yyyy","binding":"Form.ReportDate","removeAndKeepContent":false,"disableUpdates":false,"type":"date"}},{"type":"richTextContentControl","id":"fe01dc37-8ac1-4b47-a65d-6e38f83aed95","elementConfiguration":{"binding":"Form.ReportLocation","removeAndKeepContent":false,"disableUpdates":false,"type":"text"}},{"type":"richTextContentControl","id":"a25d74cb-6c4b-40fa-9ec1-ddd0a35393d3","elementConfiguration":{"binding":"Form.ReportCountry","removeAndKeepContent":false,"disableUpdates":false,"type":"text"}},{"type":"richTextContentControl","id":"df3addba-5040-40ab-9b8a-156bd632013e","elementConfiguration":{"binding":"Form.ReportLocation","removeAndKeepContent":false,"disableUpdates":false,"type":"text"}},{"type":"richTextContentControl","id":"c0e2ba74-3394-4c55-b0cc-2fc8a393067e","elementConfiguration":{"binding":"Form.ReportCountry","removeAndKeepContent":false,"disableUpdates":false,"type":"text"}},{"type":"richTextContentControl","id":"227033cd-8895-47c3-9030-98457c383c51","elementConfiguration":{"format":"d MMMM yyyy","binding":"Form.ReportDate","removeAndKeepContent":false,"disableUpdates":false,"type":"date"}},{"type":"richTextContentControl","id":"15b78cde-5b03-4a4d-a494-ede7e8fb7397","elementConfiguration":{"binding":"Form.ReportLocation","removeAndKeepContent":false,"disableUpdates":false,"type":"text"}},{"type":"richTextContentControl","id":"44816cc2-e3cd-4b49-ba70-f976ad9120f6","elementConfiguration":{"binding":"Form.ReportCountry","removeAndKeepContent":false,"disableUpdates":false,"type":"text"}}],"transformationConfigurations":[{"colorTheme":"{{Form.ColourTheme.ThemeName}}","originalColorThemeXml":"<a:clrScheme name=\"GF Green\" xmlns:a=\"http://schemas.openxmlformats.org/drawingml/2006/main\"><a:dk1><a:srgbClr val=\"404040\" /></a:dk1><a:lt1><a:sysClr val=\"window\" lastClr=\"FFFFFF\" /></a:lt1><a:dk2><a:srgbClr val=\"F0F8EA\" /></a:dk2><a:lt2><a:srgbClr val=\"69BE28\" /></a:lt2><a:accent1><a:srgbClr val=\"D4EAC0\" /></a:accent1><a:accent2><a:srgbClr val=\"B7DD97\" /></a:accent2><a:accent3><a:srgbClr val=\"8CC95A\" /></a:accent3><a:accent4><a:srgbClr val=\"00B0CA\" /></a:accent4><a:accent5><a:srgbClr val=\"9A996E\" /></a:accent5><a:accent6><a:srgbClr val=\"9A996E\" /></a:accent6><a:hlink><a:srgbClr val=\"0563C1\" /></a:hlink><a:folHlink><a:srgbClr val=\"954F72\" /></a:folHlink></a:clrScheme>","disableUpdates":false,"type":"colorTheme"},{"propertyName":"Language","propertyValue":"en-US","disableUpdates":false,"type":"customDocumentProperty"},{"language":"en-US","disableUpdates":false,"type":"proofingLanguage"}],"isBaseTemplate":false,"templateName":"Report 1 Column","templateDescription":"","enableDocumentContentUpdater":true,"version":"1.3"}]]></TemplafyTemplateConfiguration>
</file>

<file path=customXml/item6.xml><?xml version="1.0" encoding="utf-8"?>
<ct:contentTypeSchema xmlns:ct="http://schemas.microsoft.com/office/2006/metadata/contentType" xmlns:ma="http://schemas.microsoft.com/office/2006/metadata/properties/metaAttributes" ct:_="" ma:_="" ma:contentTypeName="Working Document" ma:contentTypeID="0x010100DB1926E75FE6D448A94BA4FC7E9CAC0400EB82F3FDC0493647B521A7A424B5B012" ma:contentTypeVersion="8" ma:contentTypeDescription=" Working Document (0 years retention period)" ma:contentTypeScope="" ma:versionID="2e9cd3450a7698f9077782a12829d500">
  <xsd:schema xmlns:xsd="http://www.w3.org/2001/XMLSchema" xmlns:xs="http://www.w3.org/2001/XMLSchema" xmlns:p="http://schemas.microsoft.com/office/2006/metadata/properties" xmlns:ns2="a03ac030-8fc0-429e-a59d-aec15056182b" xmlns:ns3="http://schemas.microsoft.com/sharepoint/v4" xmlns:ns4="2219519e-2df8-4e68-9bc8-47ece53c639c" targetNamespace="http://schemas.microsoft.com/office/2006/metadata/properties" ma:root="true" ma:fieldsID="32a84c95add331215c70071da39b10c5" ns2:_="" ns3:_="" ns4:_="">
    <xsd:import namespace="a03ac030-8fc0-429e-a59d-aec15056182b"/>
    <xsd:import namespace="http://schemas.microsoft.com/sharepoint/v4"/>
    <xsd:import namespace="2219519e-2df8-4e68-9bc8-47ece53c639c"/>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element ref="ns4:MediaServiceMetadata" minOccurs="0"/>
                <xsd:element ref="ns4:MediaServiceFastMetadata" minOccurs="0"/>
                <xsd:element ref="ns4:MediaServiceAutoKeyPoints" minOccurs="0"/>
                <xsd:element ref="ns4:MediaServiceKeyPoints" minOccurs="0"/>
                <xsd:element ref="ns4:No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ac030-8fc0-429e-a59d-aec15056182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9519e-2df8-4e68-9bc8-47ece53c639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Note" ma:index="16" nillable="true" ma:displayName="Note" ma:format="Dropdown" ma:internalName="Not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Note xmlns="2219519e-2df8-4e68-9bc8-47ece53c639c" xsi:nil="true"/>
    <_dlc_DocId xmlns="a03ac030-8fc0-429e-a59d-aec15056182b">3NAZ7T4E3CZ3-539361286-741</_dlc_DocId>
    <_dlc_DocIdUrl xmlns="a03ac030-8fc0-429e-a59d-aec15056182b">
      <Url>https://tgf.sharepoint.com/sites/TSA2F1/A2FD/_layouts/15/DocIdRedir.aspx?ID=3NAZ7T4E3CZ3-539361286-741</Url>
      <Description>3NAZ7T4E3CZ3-539361286-741</Description>
    </_dlc_DocIdUrl>
  </documentManagement>
</p:properties>
</file>

<file path=customXml/itemProps1.xml><?xml version="1.0" encoding="utf-8"?>
<ds:datastoreItem xmlns:ds="http://schemas.openxmlformats.org/officeDocument/2006/customXml" ds:itemID="{29297F4F-34CC-4B4F-BCF9-54FC9670AF77}">
  <ds:schemaRefs>
    <ds:schemaRef ds:uri="http://schemas.openxmlformats.org/officeDocument/2006/bibliography"/>
  </ds:schemaRefs>
</ds:datastoreItem>
</file>

<file path=customXml/itemProps2.xml><?xml version="1.0" encoding="utf-8"?>
<ds:datastoreItem xmlns:ds="http://schemas.openxmlformats.org/officeDocument/2006/customXml" ds:itemID="{22310F86-9454-464A-B6A9-12945F3ED480}">
  <ds:schemaRefs>
    <ds:schemaRef ds:uri="http://schemas.microsoft.com/sharepoint/v3/contenttype/forms"/>
  </ds:schemaRefs>
</ds:datastoreItem>
</file>

<file path=customXml/itemProps3.xml><?xml version="1.0" encoding="utf-8"?>
<ds:datastoreItem xmlns:ds="http://schemas.openxmlformats.org/officeDocument/2006/customXml" ds:itemID="{AC9D8980-C987-48AF-BFD7-20D6444F7008}">
  <ds:schemaRefs/>
</ds:datastoreItem>
</file>

<file path=customXml/itemProps4.xml><?xml version="1.0" encoding="utf-8"?>
<ds:datastoreItem xmlns:ds="http://schemas.openxmlformats.org/officeDocument/2006/customXml" ds:itemID="{3278A80C-D36C-457D-B684-F34B9EA23A09}">
  <ds:schemaRefs>
    <ds:schemaRef ds:uri="http://schemas.microsoft.com/sharepoint/events"/>
  </ds:schemaRefs>
</ds:datastoreItem>
</file>

<file path=customXml/itemProps5.xml><?xml version="1.0" encoding="utf-8"?>
<ds:datastoreItem xmlns:ds="http://schemas.openxmlformats.org/officeDocument/2006/customXml" ds:itemID="{A7AE4FFB-B547-437A-A56E-613A8F346671}">
  <ds:schemaRefs/>
</ds:datastoreItem>
</file>

<file path=customXml/itemProps6.xml><?xml version="1.0" encoding="utf-8"?>
<ds:datastoreItem xmlns:ds="http://schemas.openxmlformats.org/officeDocument/2006/customXml" ds:itemID="{3B46B8E6-D388-4781-BC1B-AC3983645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ac030-8fc0-429e-a59d-aec15056182b"/>
    <ds:schemaRef ds:uri="http://schemas.microsoft.com/sharepoint/v4"/>
    <ds:schemaRef ds:uri="2219519e-2df8-4e68-9bc8-47ece53c6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1B133AE-9B08-49ED-96FC-CC948069E978}">
  <ds:schemaRefs>
    <ds:schemaRef ds:uri="http://schemas.microsoft.com/office/2006/metadata/properties"/>
    <ds:schemaRef ds:uri="http://schemas.microsoft.com/office/infopath/2007/PartnerControls"/>
    <ds:schemaRef ds:uri="http://schemas.microsoft.com/sharepoint/v4"/>
    <ds:schemaRef ds:uri="2219519e-2df8-4e68-9bc8-47ece53c639c"/>
    <ds:schemaRef ds:uri="a03ac030-8fc0-429e-a59d-aec15056182b"/>
  </ds:schemaRefs>
</ds:datastoreItem>
</file>

<file path=docProps/app.xml><?xml version="1.0" encoding="utf-8"?>
<Properties xmlns="http://schemas.openxmlformats.org/officeDocument/2006/extended-properties" xmlns:vt="http://schemas.openxmlformats.org/officeDocument/2006/docPropsVTypes">
  <Template>GF Report Template 1 Column</Template>
  <TotalTime>7</TotalTime>
  <Pages>67</Pages>
  <Words>36736</Words>
  <Characters>209397</Characters>
  <Application>Microsoft Office Word</Application>
  <DocSecurity>0</DocSecurity>
  <Lines>1744</Lines>
  <Paragraphs>491</Paragraphs>
  <ScaleCrop>false</ScaleCrop>
  <HeadingPairs>
    <vt:vector size="2" baseType="variant">
      <vt:variant>
        <vt:lpstr>Title</vt:lpstr>
      </vt:variant>
      <vt:variant>
        <vt:i4>1</vt:i4>
      </vt:variant>
    </vt:vector>
  </HeadingPairs>
  <TitlesOfParts>
    <vt:vector size="1" baseType="lpstr">
      <vt:lpstr>fundingrequest_focusedportfolio_template_en</vt:lpstr>
    </vt:vector>
  </TitlesOfParts>
  <Company/>
  <LinksUpToDate>false</LinksUpToDate>
  <CharactersWithSpaces>245642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fundingrequest_focusedportfolio_template_en</dc:title>
  <dc:subject/>
  <dc:creator>Rebecca Phillips</dc:creator>
  <cp:keywords/>
  <dc:description/>
  <cp:lastModifiedBy>User</cp:lastModifiedBy>
  <cp:revision>7</cp:revision>
  <cp:lastPrinted>2019-11-01T16:10:00Z</cp:lastPrinted>
  <dcterms:created xsi:type="dcterms:W3CDTF">2020-06-19T19:08:00Z</dcterms:created>
  <dcterms:modified xsi:type="dcterms:W3CDTF">2020-06-19T19:15:00Z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theglobalfund</vt:lpwstr>
  </property>
  <property fmtid="{D5CDD505-2E9C-101B-9397-08002B2CF9AE}" pid="3" name="TemplafyTemplateId">
    <vt:lpwstr>636857370821766504</vt:lpwstr>
  </property>
  <property fmtid="{D5CDD505-2E9C-101B-9397-08002B2CF9AE}" pid="4" name="TemplafyUserProfileId">
    <vt:lpwstr>636740640861854487</vt:lpwstr>
  </property>
  <property fmtid="{D5CDD505-2E9C-101B-9397-08002B2CF9AE}" pid="5" name="TemplafyLanguageCode">
    <vt:lpwstr>en-US</vt:lpwstr>
  </property>
  <property fmtid="{D5CDD505-2E9C-101B-9397-08002B2CF9AE}" pid="6" name="Language">
    <vt:lpwstr>en-US</vt:lpwstr>
  </property>
  <property fmtid="{D5CDD505-2E9C-101B-9397-08002B2CF9AE}" pid="7" name="ContentTypeId">
    <vt:lpwstr>0x010100DB1926E75FE6D448A94BA4FC7E9CAC0400EB82F3FDC0493647B521A7A424B5B012</vt:lpwstr>
  </property>
  <property fmtid="{D5CDD505-2E9C-101B-9397-08002B2CF9AE}" pid="8" name="_dlc_DocId">
    <vt:lpwstr>3NAZ7T4E3CZ3-539361286-741</vt:lpwstr>
  </property>
  <property fmtid="{D5CDD505-2E9C-101B-9397-08002B2CF9AE}" pid="9" name="_dlc_DocIdUrl">
    <vt:lpwstr>https://tgf.sharepoint.com/sites/TSA2F1/A2FT/_layouts/15/DocIdRedir.aspx?ID=3NAZ7T4E3CZ3-539361286-741, 3NAZ7T4E3CZ3-539361286-741</vt:lpwstr>
  </property>
  <property fmtid="{D5CDD505-2E9C-101B-9397-08002B2CF9AE}" pid="10" name="_dlc_DocIdItemGuid">
    <vt:lpwstr>fe5bd4ff-a96f-401e-8e5c-d1fcc5a70143</vt:lpwstr>
  </property>
  <property fmtid="{D5CDD505-2E9C-101B-9397-08002B2CF9AE}" pid="11" name="Order">
    <vt:r8>393300</vt:r8>
  </property>
  <property fmtid="{D5CDD505-2E9C-101B-9397-08002B2CF9AE}" pid="12" name="URL">
    <vt:lpwstr/>
  </property>
</Properties>
</file>